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168910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178435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660" w:right="1600" w:hanging="652"/>
        <w:spacing w:after="0" w:line="28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6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660"/>
        <w:spacing w:after="0"/>
        <w:tabs>
          <w:tab w:leader="none" w:pos="3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814-00735</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KCAP Financial,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167640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6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20-5951150</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360" w:space="720"/>
            <w:col w:w="3320"/>
          </w:cols>
          <w:pgMar w:left="240" w:top="783"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295 Madison Avenue, 6th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400"/>
          </w:cols>
          <w:pgMar w:left="240" w:top="783" w:right="259" w:bottom="1440" w:gutter="0" w:footer="0" w:header="0"/>
          <w:type w:val="continuous"/>
        </w:sect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455-8300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168910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5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8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6480" w:type="dxa"/>
            <w:vAlign w:val="bottom"/>
          </w:tcPr>
          <w:p>
            <w:pPr>
              <w:ind w:left="3540"/>
              <w:spacing w:after="0"/>
              <w:rPr>
                <w:sz w:val="20"/>
                <w:szCs w:val="20"/>
                <w:color w:val="auto"/>
              </w:rPr>
            </w:pPr>
            <w:r>
              <w:rPr>
                <w:rFonts w:ascii="Arial" w:cs="Arial" w:eastAsia="Arial" w:hAnsi="Arial"/>
                <w:sz w:val="18"/>
                <w:szCs w:val="18"/>
                <w:color w:val="auto"/>
              </w:rPr>
              <w:t>Accelerated filer</w:t>
            </w:r>
          </w:p>
        </w:tc>
        <w:tc>
          <w:tcPr>
            <w:tcW w:w="1120" w:type="dxa"/>
            <w:vAlign w:val="bottom"/>
          </w:tcPr>
          <w:p>
            <w:pPr>
              <w:jc w:val="center"/>
              <w:ind w:left="850"/>
              <w:spacing w:after="0"/>
              <w:rPr>
                <w:sz w:val="20"/>
                <w:szCs w:val="20"/>
                <w:color w:val="auto"/>
              </w:rPr>
            </w:pPr>
            <w:r>
              <w:rPr>
                <w:rFonts w:ascii="Arial" w:cs="Arial" w:eastAsia="Arial" w:hAnsi="Arial"/>
                <w:sz w:val="18"/>
                <w:szCs w:val="18"/>
                <w:color w:val="auto"/>
              </w:rPr>
              <w:t>x</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Non-accelerated filer</w:t>
            </w:r>
          </w:p>
        </w:tc>
        <w:tc>
          <w:tcPr>
            <w:tcW w:w="8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6480" w:type="dxa"/>
            <w:vAlign w:val="bottom"/>
          </w:tcPr>
          <w:p>
            <w:pPr>
              <w:ind w:left="120"/>
              <w:spacing w:after="0"/>
              <w:rPr>
                <w:sz w:val="20"/>
                <w:szCs w:val="20"/>
                <w:color w:val="auto"/>
              </w:rPr>
            </w:pPr>
            <w:r>
              <w:rPr>
                <w:rFonts w:ascii="Arial" w:cs="Arial" w:eastAsia="Arial" w:hAnsi="Arial"/>
                <w:sz w:val="18"/>
                <w:szCs w:val="18"/>
                <w:color w:val="auto"/>
              </w:rPr>
              <w:t>(Do not check if a smaller reporting company) Smaller reporting company</w:t>
            </w:r>
          </w:p>
        </w:tc>
        <w:tc>
          <w:tcPr>
            <w:tcW w:w="1120" w:type="dxa"/>
            <w:vAlign w:val="bottom"/>
          </w:tcPr>
          <w:p>
            <w:pPr>
              <w:jc w:val="center"/>
              <w:ind w:left="87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64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82"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July 30, 2018 was 37,357,221.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260" w:type="dxa"/>
            <w:vAlign w:val="bottom"/>
            <w:gridSpan w:val="13"/>
          </w:tcPr>
          <w:p>
            <w:pPr>
              <w:jc w:val="center"/>
              <w:ind w:right="3220"/>
              <w:spacing w:after="0"/>
              <w:rPr>
                <w:sz w:val="20"/>
                <w:szCs w:val="20"/>
                <w:color w:val="auto"/>
              </w:rPr>
            </w:pPr>
            <w:r>
              <w:rPr>
                <w:rFonts w:ascii="Arial" w:cs="Arial" w:eastAsia="Arial" w:hAnsi="Arial"/>
                <w:sz w:val="18"/>
                <w:szCs w:val="18"/>
                <w:b w:val="1"/>
                <w:bCs w:val="1"/>
                <w:color w:val="auto"/>
                <w:w w:val="98"/>
              </w:rPr>
              <w:t>TABLE OF CONTENTS</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gridSpan w:val="4"/>
          </w:tcPr>
          <w:p>
            <w:pPr>
              <w:ind w:left="7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80" w:type="dxa"/>
            <w:vAlign w:val="bottom"/>
            <w:gridSpan w:val="14"/>
            <w:shd w:val="clear" w:color="auto" w:fill="CCEEFF"/>
          </w:tcPr>
          <w:p>
            <w:pPr>
              <w:jc w:val="center"/>
              <w:ind w:right="2000"/>
              <w:spacing w:after="0"/>
              <w:rPr>
                <w:sz w:val="20"/>
                <w:szCs w:val="20"/>
                <w:color w:val="auto"/>
              </w:rPr>
            </w:pPr>
            <w:r>
              <w:rPr>
                <w:rFonts w:ascii="Arial" w:cs="Arial" w:eastAsia="Arial" w:hAnsi="Arial"/>
                <w:sz w:val="18"/>
                <w:szCs w:val="18"/>
                <w:b w:val="1"/>
                <w:bCs w:val="1"/>
                <w:color w:val="auto"/>
                <w:w w:val="94"/>
              </w:rPr>
              <w:t>Part I. Financial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2018 (unaudited) and December 31,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(unaudited) for the three and six months ended June 30, 2018 and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Changes in Net Assets (unaudited) for the six months ended June 30, 2018 and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2018 and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2018 (unaudited) and December 31,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Financial Highlights (unaudited) for the six months ended June 30, 2018 and 2017</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Notes to Consolidated Financial Statements (unaudited)</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Management’s Discussion and Analysis of Financial Condition and Results of Operations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Item 3.</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Quantitative and Qualitative Disclosures About Market Risk</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4.</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Changes in and Disagreements with Accountants on Accounting and Financial Disclosure</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5.</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Controls and Procedures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260" w:type="dxa"/>
            <w:vAlign w:val="bottom"/>
            <w:gridSpan w:val="13"/>
            <w:shd w:val="clear" w:color="auto" w:fill="CCEEFF"/>
          </w:tcPr>
          <w:p>
            <w:pPr>
              <w:jc w:val="center"/>
              <w:ind w:right="3200"/>
              <w:spacing w:after="0" w:line="176" w:lineRule="exact"/>
              <w:rPr>
                <w:rFonts w:ascii="Arial" w:cs="Arial" w:eastAsia="Arial" w:hAnsi="Arial"/>
                <w:sz w:val="18"/>
                <w:szCs w:val="18"/>
                <w:b w:val="1"/>
                <w:bCs w:val="1"/>
                <w:color w:val="0000EE"/>
                <w:w w:val="97"/>
              </w:rPr>
            </w:pPr>
            <w:hyperlink w:anchor="page85">
              <w:r>
                <w:rPr>
                  <w:rFonts w:ascii="Arial" w:cs="Arial" w:eastAsia="Arial" w:hAnsi="Arial"/>
                  <w:sz w:val="18"/>
                  <w:szCs w:val="18"/>
                  <w:b w:val="1"/>
                  <w:bCs w:val="1"/>
                  <w:color w:val="0000EE"/>
                  <w:w w:val="97"/>
                </w:rPr>
                <w:t>Part II. Other Information</w:t>
              </w:r>
            </w:hyperlink>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Item 1A.</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Risk Factors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2.</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Unregistered Sales of Equity Securities and Use of Proceeds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3.</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Defaults Upon Senior Securities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4.</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Mine Safety Disclosures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Item 5.</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Other Information</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Item 6.</w:t>
              </w:r>
            </w:hyperlink>
          </w:p>
        </w:tc>
        <w:tc>
          <w:tcPr>
            <w:tcW w:w="8800" w:type="dxa"/>
            <w:vAlign w:val="bottom"/>
            <w:gridSpan w:val="20"/>
            <w:shd w:val="clear" w:color="auto" w:fill="CCEEFF"/>
          </w:tcPr>
          <w:p>
            <w:pPr>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11"/>
          </w:tcPr>
          <w:p>
            <w:pPr>
              <w:jc w:val="center"/>
              <w:ind w:left="3430"/>
              <w:spacing w:after="0"/>
              <w:rPr>
                <w:sz w:val="20"/>
                <w:szCs w:val="20"/>
                <w:color w:val="auto"/>
              </w:rPr>
            </w:pPr>
            <w:r>
              <w:rPr>
                <w:rFonts w:ascii="Arial" w:cs="Arial" w:eastAsia="Arial" w:hAnsi="Arial"/>
                <w:sz w:val="18"/>
                <w:szCs w:val="18"/>
                <w:color w:val="auto"/>
                <w:w w:val="79"/>
              </w:rPr>
              <w:t>2</w:t>
            </w:r>
          </w:p>
        </w:tc>
        <w:tc>
          <w:tcPr>
            <w:tcW w:w="5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1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2018</w:t>
            </w:r>
          </w:p>
        </w:tc>
        <w:tc>
          <w:tcPr>
            <w:tcW w:w="8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 (cost: 2018 - $11,454,078; 2017 - $77,300,320)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11,454,078</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Debt securities (amortized cost: 2018 - $170,246,598; 2017 - $125,179,470)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162,139,246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8"/>
              </w:rPr>
              <w:t>CLO Fund Securities managed by affiliates (amortized cost: 2018 - $54,277,463; 2017 - $67,212,139)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35,545,465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w w:val="97"/>
              </w:rPr>
              <w:t>CLO Fund Securities managed by non-affiliates (amortized cost: 2018 - $5,168,837; 2017 - $5,126,893)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2,427,520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 (cost: 2018 - $10,571,007; 2017 - $10,571,007)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4,251,111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Asset Manager Affiliates (cost: 2018 - $51,591,230; 2017 - $52,591,230)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36,853,000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38,849,000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(cost: 2018 - $24,914,858; 2017 - $24,914,858)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21,091,494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21,516,000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Investments at Fair Value (cost: 2018 - $328,224,071; 2017 - $362,895,917)</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273,761,914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2,451,249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1,023,114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1,520,858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Receivable for open trades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2,993,750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1,155,635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478,024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280,390,794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319,808,974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6.125% Notes Due 2022 (net of offering costs of: 2018-$2,474,275; 2017 - $2,734,248)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74,932,925</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74,672,952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2018 - $40,536; 2017 - $259,635)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6,959,463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26,740,365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KCAP Funding I, LLC Revolving Credit Facility (net of offering costs of: 2018 - $1,265,107)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19,895,080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Payable for open trades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776,180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34,215,195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1,582,528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2,350,803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Due to affiliates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8,690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25,083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104,245,530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138,004,398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2"/>
              </w:rPr>
              <w:t>Common stock, par value $0.01 per share, 100,000,000 common shares authorized; 37,536,496 issued,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w w:val="90"/>
              </w:rPr>
              <w:t>37,341,924 outstanding at June 30, 2018, and 37,507,402 issued, and 37,339,224 outstanding at 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373,419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330,266,874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329,789,716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(12,432,385)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(9,987,928)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(86,201,443)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(86,031,799)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(55,861,201)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(52,338,805)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176,145,264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181,804,576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280,390,794</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319,808,974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Borders>
              <w:top w:val="single" w:sz="8" w:color="CCEEFF"/>
              <w:bottom w:val="single" w:sz="8" w:color="CCEEFF"/>
            </w:tcBorders>
            <w:vMerge w:val="restart"/>
          </w:tcPr>
          <w:p>
            <w:pPr>
              <w:jc w:val="center"/>
              <w:ind w:left="3270"/>
              <w:spacing w:after="0"/>
              <w:rPr>
                <w:sz w:val="20"/>
                <w:szCs w:val="20"/>
                <w:color w:val="auto"/>
              </w:rPr>
            </w:pPr>
            <w:r>
              <w:rPr>
                <w:rFonts w:ascii="Arial" w:cs="Arial" w:eastAsia="Arial" w:hAnsi="Arial"/>
                <w:sz w:val="18"/>
                <w:szCs w:val="18"/>
                <w:color w:val="auto"/>
                <w:w w:val="89"/>
              </w:rPr>
              <w:t>See accompanying notes to financial statements.</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02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20" w:type="dxa"/>
            <w:vAlign w:val="bottom"/>
            <w:gridSpan w:val="6"/>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9"/>
                <w:szCs w:val="19"/>
                <w:color w:val="auto"/>
              </w:rPr>
            </w:pPr>
          </w:p>
        </w:tc>
        <w:tc>
          <w:tcPr>
            <w:tcW w:w="23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gridSpan w:val="4"/>
          </w:tcPr>
          <w:p>
            <w:pPr>
              <w:ind w:left="840"/>
              <w:spacing w:after="0"/>
              <w:rPr>
                <w:sz w:val="20"/>
                <w:szCs w:val="20"/>
                <w:color w:val="auto"/>
              </w:rPr>
            </w:pPr>
            <w:r>
              <w:rPr>
                <w:rFonts w:ascii="Arial" w:cs="Arial" w:eastAsia="Arial" w:hAnsi="Arial"/>
                <w:sz w:val="18"/>
                <w:szCs w:val="18"/>
                <w:b w:val="1"/>
                <w:bCs w:val="1"/>
                <w:color w:val="auto"/>
                <w:w w:val="94"/>
              </w:rPr>
              <w:t>June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   3,910,473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4,565,276</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  7,308,670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   8,901,115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Payment-in-kind investment income</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369,116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204,577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732,053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Interest from cash and time deposits</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12,211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14,300</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61,416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1,414,903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2,710,680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3,248,569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5,685,238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non-affiliates</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98,341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111,419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197,702</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229,530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620,000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Investment income - Joint Venture</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1,400,000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106,509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164,124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Total investment income</w:t>
            </w:r>
          </w:p>
        </w:tc>
        <w:tc>
          <w:tcPr>
            <w:tcW w:w="6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6,848,443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7,659,732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13,674,919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15,434,129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1,847,432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2,237,317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3,711,280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1,005,050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1,175,294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2,212,387</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2,401,030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fees</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906,965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1,193,407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1,621,375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1,742,688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79,726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80,644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157,748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175,680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1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480,351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364,301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982,466</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869,534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expenses</w:t>
            </w:r>
          </w:p>
        </w:tc>
        <w:tc>
          <w:tcPr>
            <w:tcW w:w="640" w:type="dxa"/>
            <w:vAlign w:val="bottom"/>
            <w:tcBorders>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4,319,524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5,050,963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8,685,256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9,607,221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2,528,919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2,608,771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4,989,663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5,826,908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Net realized losses from investment transactions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(1,009,342)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(965,405)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unrealized (depreciation) appreciation 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Debt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(682,477)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1,211,554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(1,125,361)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2,413,571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securities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(163,573)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(419,811)</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CLO Fund Securities managed by affiliates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(787,433)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(852,828)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7"/>
              </w:rPr>
              <w:t>(1,008,252)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(2,105,814)</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CLO Fund Securities managed by non-affiliates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195,296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(293,897)</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Asset Manager Affiliates investments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9"/>
              </w:rPr>
              <w:t>(1,310,000)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1,165,000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(996,000)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(1,441,000)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Joint Venture Investment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net change in unrealized appreciation (depreciation)</w:t>
            </w:r>
          </w:p>
        </w:tc>
        <w:tc>
          <w:tcPr>
            <w:tcW w:w="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(3,837,020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1,029,574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(3,522,396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(1,846,951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realized and unrealized appreciation (depreciation) on investments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(3,840,691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(3,522,967</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(2,812,356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Realized losses on extinguishments of Debt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(169,074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(Decrease )Increase In Stockholders’ Equity Resulting From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(1,311,772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2,521,727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1,297,622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2,907,276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80"/>
              <w:spacing w:after="0" w:line="195" w:lineRule="exact"/>
              <w:rPr>
                <w:sz w:val="20"/>
                <w:szCs w:val="20"/>
                <w:color w:val="auto"/>
              </w:rPr>
            </w:pPr>
            <w:r>
              <w:rPr>
                <w:rFonts w:ascii="Arial" w:cs="Arial" w:eastAsia="Arial" w:hAnsi="Arial"/>
                <w:sz w:val="18"/>
                <w:szCs w:val="18"/>
                <w:color w:val="auto"/>
                <w:w w:val="95"/>
              </w:rPr>
              <w:t>Net (Decrease) Increase In Stockholders' Equity Resulting from Operations per</w:t>
            </w: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 Per Common Share: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40"/>
              <w:spacing w:after="0"/>
              <w:rPr>
                <w:sz w:val="20"/>
                <w:szCs w:val="20"/>
                <w:color w:val="auto"/>
              </w:rPr>
            </w:pPr>
            <w:r>
              <w:rPr>
                <w:rFonts w:ascii="Arial" w:cs="Arial" w:eastAsia="Arial" w:hAnsi="Arial"/>
                <w:sz w:val="18"/>
                <w:szCs w:val="18"/>
                <w:color w:val="auto"/>
              </w:rPr>
              <w:t>Basic:</w:t>
            </w: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of Common Stock Outstanding—Basic</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37,363,038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37,206,487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37,356,759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37,204,751</w:t>
            </w:r>
          </w:p>
        </w:tc>
        <w:tc>
          <w:tcPr>
            <w:tcW w:w="0" w:type="dxa"/>
            <w:vAlign w:val="bottom"/>
          </w:tcPr>
          <w:p>
            <w:pPr>
              <w:spacing w:after="0"/>
              <w:rPr>
                <w:sz w:val="1"/>
                <w:szCs w:val="1"/>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Weighted Average Shares of Common Stock Outstanding—Diluted</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37,363,038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37,206,487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37,356,759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37,204,751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10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4,989,663</w:t>
            </w:r>
          </w:p>
        </w:tc>
        <w:tc>
          <w:tcPr>
            <w:tcW w:w="4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5,826,908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(losses) from investment transactions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(169,074)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(107,276)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(3,522,396)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(1,846,951)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increase/(decrease) in stockholders’ equity resulting from operations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2,907,276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Stockholder distributions: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(7,434,120)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(8,867,480)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b w:val="1"/>
                <w:bCs w:val="1"/>
                <w:color w:val="auto"/>
              </w:rPr>
              <w:t>Capital share transactions: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reinvestment plan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102,079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(85,807)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(223,849)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460,913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647,612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increase in net assets resulting from capital share transactions</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477,185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648,242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181,804,576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194,924,925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assets at end of period (including undistributed net investment income of $0 in 2018 and $0 in 2017)</w:t>
            </w:r>
          </w:p>
        </w:tc>
        <w:tc>
          <w:tcPr>
            <w:tcW w:w="2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176,145,264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189,612,963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asset value per common share</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37,341,924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37,167,622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Net increase in stockholder's equity resulting from operations</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1,297,622</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2,907,276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Adjustments to reconcile net increase in stockholder’s equity resulting from operations to net cash provided</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by operations:</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realized losses on investment transactions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965,405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unrealized depreciation from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3,522,396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Purchases of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(61,534,043)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(60,293,176)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sales and redemptions of investments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100,935,386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69,846,940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Net accretion of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(3,998,143)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original issue discount on indebtedness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424,938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432,349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Realized losses on extinguishments of debt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169,074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Payment-in-kind interest income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(732,053)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460,913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payable for open trades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(33,439,015)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receivable for open trades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2,993,750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Increase in interest and dividends receivable</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(469,587)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Increase in accrued interest payable</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90,664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68,302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other assets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due from affiliates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87,858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Decrease in due to affiliates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320"/>
              <w:spacing w:after="0"/>
              <w:rPr>
                <w:sz w:val="20"/>
                <w:szCs w:val="20"/>
                <w:color w:val="auto"/>
              </w:rPr>
            </w:pPr>
            <w:r>
              <w:rPr>
                <w:rFonts w:ascii="Arial" w:cs="Arial" w:eastAsia="Arial" w:hAnsi="Arial"/>
                <w:sz w:val="18"/>
                <w:szCs w:val="18"/>
                <w:color w:val="auto"/>
              </w:rPr>
              <w:t>Decrease in accounts payable and accrued expenses</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(768,275)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(633,591)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9,077,848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12,584,641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Issuance (forfeitures) of restricted shares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(1,379,899)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Distributions to stockholders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(7,332,041)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(8,642,960)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(85,807)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Repayment 7.375% Notes Due 2019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(20,000,000)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(6,530,925)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Borrowings under KCAP Funding LLC, Revolving Credit Facility</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27,000,000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160"/>
              <w:spacing w:after="0"/>
              <w:rPr>
                <w:sz w:val="20"/>
                <w:szCs w:val="20"/>
                <w:color w:val="auto"/>
              </w:rPr>
            </w:pPr>
            <w:r>
              <w:rPr>
                <w:rFonts w:ascii="Arial" w:cs="Arial" w:eastAsia="Arial" w:hAnsi="Arial"/>
                <w:sz w:val="18"/>
                <w:szCs w:val="18"/>
                <w:color w:val="auto"/>
              </w:rPr>
              <w:t>Repayments of KCAP Funding LLC, Revolving Credit Facility</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(5,839,813)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(7,637,580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(15,397,674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right="2760"/>
        <w:spacing w:after="0" w:line="307" w:lineRule="auto"/>
        <w:rPr>
          <w:sz w:val="20"/>
          <w:szCs w:val="20"/>
          <w:color w:val="auto"/>
        </w:rPr>
      </w:pPr>
      <w:r>
        <w:rPr>
          <w:rFonts w:ascii="Arial" w:cs="Arial" w:eastAsia="Arial" w:hAnsi="Arial"/>
          <w:sz w:val="17"/>
          <w:szCs w:val="17"/>
          <w:color w:val="auto"/>
        </w:rPr>
        <w:t>CASH AND RESTRICTED CASH, BEGINNING OF PERIOD CASH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1,440,268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(2,813,033)</w:t>
            </w: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2,034,095</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9,835,555</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3,474,363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7,022,522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00" w:space="720"/>
            <w:col w:w="330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7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3,195,678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3,600,780</w:t>
            </w:r>
          </w:p>
        </w:tc>
      </w:tr>
      <w:tr>
        <w:trPr>
          <w:trHeight w:val="216"/>
        </w:trPr>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102,079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224,479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2018</w:t>
      </w:r>
    </w:p>
    <w:p>
      <w:pPr>
        <w:sectPr>
          <w:pgSz w:w="11900" w:h="16838" w:orient="portrait"/>
          <w:cols w:equalWidth="0" w:num="1">
            <w:col w:w="11420"/>
          </w:cols>
          <w:pgMar w:left="240" w:top="904"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u w:val="single" w:color="auto"/>
          <w:color w:val="auto"/>
        </w:rPr>
        <w:t xml:space="preserve">Portfolio Company / Principal Business </w:t>
      </w:r>
      <w:r>
        <w:rPr>
          <w:rFonts w:ascii="Arial" w:cs="Arial" w:eastAsia="Arial" w:hAnsi="Arial"/>
          <w:sz w:val="16"/>
          <w:szCs w:val="16"/>
          <w:color w:val="auto"/>
        </w:rPr>
        <w:t>Advanced Lighting Technologies, Inc.</w:t>
      </w:r>
      <w:r>
        <w:rPr>
          <w:rFonts w:ascii="Arial" w:cs="Arial" w:eastAsia="Arial" w:hAnsi="Arial"/>
          <w:sz w:val="26"/>
          <w:szCs w:val="26"/>
          <w:color w:val="auto"/>
          <w:vertAlign w:val="superscript"/>
        </w:rPr>
        <w:t>(8)</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(14)</w:t>
      </w:r>
    </w:p>
    <w:p>
      <w:pPr>
        <w:spacing w:after="0" w:line="6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Consumer goods: Durable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16</w:t>
      </w:r>
    </w:p>
    <w:p>
      <w:pPr>
        <w:jc w:val="center"/>
        <w:ind w:left="-19"/>
        <w:spacing w:after="0" w:line="188" w:lineRule="auto"/>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-8890</wp:posOffset>
            </wp:positionV>
            <wp:extent cx="7246620"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75" w:lineRule="auto"/>
        <w:rPr>
          <w:sz w:val="20"/>
          <w:szCs w:val="20"/>
          <w:color w:val="auto"/>
        </w:rPr>
      </w:pPr>
      <w:r>
        <w:rPr>
          <w:rFonts w:ascii="Arial" w:cs="Arial" w:eastAsia="Arial" w:hAnsi="Arial"/>
          <w:sz w:val="17"/>
          <w:szCs w:val="17"/>
          <w:color w:val="auto"/>
        </w:rPr>
        <w:t>Junior Secured Loan — Second Lien Notes 9.3% Cash, 10.0% PIK, 3 month LIBOR(12.31%) + 7.00%; LIBOR Floor 1.00%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10/23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rPr>
              <w:t>Initial</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Acquisition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Fair Value</w:t>
            </w:r>
            <w:r>
              <w:rPr>
                <w:rFonts w:ascii="Arial" w:cs="Arial" w:eastAsia="Arial" w:hAnsi="Arial"/>
                <w:sz w:val="30"/>
                <w:szCs w:val="30"/>
                <w:b w:val="1"/>
                <w:bCs w:val="1"/>
                <w:color w:val="auto"/>
                <w:w w:val="94"/>
                <w:vertAlign w:val="superscript"/>
              </w:rPr>
              <w:t>2</w:t>
            </w:r>
          </w:p>
        </w:tc>
        <w:tc>
          <w:tcPr>
            <w:tcW w:w="0" w:type="dxa"/>
            <w:vAlign w:val="bottom"/>
          </w:tcPr>
          <w:p>
            <w:pPr>
              <w:spacing w:after="0"/>
              <w:rPr>
                <w:sz w:val="1"/>
                <w:szCs w:val="1"/>
                <w:color w:val="auto"/>
              </w:rPr>
            </w:pPr>
          </w:p>
        </w:tc>
      </w:tr>
      <w:tr>
        <w:trPr>
          <w:trHeight w:val="234"/>
        </w:trPr>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98"/>
        </w:trPr>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6/13/2012 $</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911,573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911,573</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837,451</w:t>
            </w:r>
          </w:p>
        </w:tc>
        <w:tc>
          <w:tcPr>
            <w:tcW w:w="0" w:type="dxa"/>
            <w:vAlign w:val="bottom"/>
          </w:tcPr>
          <w:p>
            <w:pPr>
              <w:spacing w:after="0"/>
              <w:rPr>
                <w:sz w:val="1"/>
                <w:szCs w:val="1"/>
                <w:color w:val="auto"/>
              </w:rPr>
            </w:pPr>
          </w:p>
        </w:tc>
      </w:tr>
    </w:tbl>
    <w:p>
      <w:pPr>
        <w:spacing w:after="0" w:line="74" w:lineRule="exact"/>
        <w:rPr>
          <w:sz w:val="20"/>
          <w:szCs w:val="20"/>
          <w:color w:val="auto"/>
        </w:rPr>
      </w:pPr>
    </w:p>
    <w:p>
      <w:pPr>
        <w:sectPr>
          <w:pgSz w:w="11900" w:h="16838" w:orient="portrait"/>
          <w:cols w:equalWidth="0" w:num="3">
            <w:col w:w="3040" w:space="100"/>
            <w:col w:w="3540" w:space="120"/>
            <w:col w:w="46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1"/>
              </w:rPr>
              <w:t>Advantage Sales &amp; Marketing Inc.</w:t>
            </w:r>
            <w:r>
              <w:rPr>
                <w:rFonts w:ascii="Arial" w:cs="Arial" w:eastAsia="Arial" w:hAnsi="Arial"/>
                <w:sz w:val="30"/>
                <w:szCs w:val="30"/>
                <w:color w:val="auto"/>
                <w:w w:val="91"/>
                <w:vertAlign w:val="superscript"/>
              </w:rPr>
              <w:t>(8)(14)</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(15)</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8.6% Cash, 1 month LIBOR(2.09%) + 6.50%;</w:t>
            </w:r>
          </w:p>
        </w:tc>
        <w:tc>
          <w:tcPr>
            <w:tcW w:w="1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40" w:type="dxa"/>
            <w:vAlign w:val="bottom"/>
            <w:vMerge w:val="continue"/>
            <w:shd w:val="clear" w:color="auto" w:fill="CCEEFF"/>
          </w:tcPr>
          <w:p>
            <w:pPr>
              <w:spacing w:after="0"/>
              <w:rPr>
                <w:sz w:val="7"/>
                <w:szCs w:val="7"/>
                <w:color w:val="auto"/>
              </w:rPr>
            </w:pPr>
          </w:p>
        </w:tc>
        <w:tc>
          <w:tcPr>
            <w:tcW w:w="3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LIBOR Floor 1.00% , Due 7/22</w:t>
            </w:r>
          </w:p>
        </w:tc>
        <w:tc>
          <w:tcPr>
            <w:tcW w:w="11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7/17/2014</w:t>
            </w: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1,000,000</w:t>
            </w:r>
          </w:p>
        </w:tc>
        <w:tc>
          <w:tcPr>
            <w:tcW w:w="124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rPr>
              <w:t>1,001,281</w:t>
            </w:r>
          </w:p>
        </w:tc>
        <w:tc>
          <w:tcPr>
            <w:tcW w:w="10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977,900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3740" w:type="dxa"/>
            <w:vAlign w:val="bottom"/>
            <w:vMerge w:val="continue"/>
            <w:shd w:val="clear" w:color="auto" w:fill="CCEEFF"/>
          </w:tcPr>
          <w:p>
            <w:pPr>
              <w:spacing w:after="0"/>
              <w:rPr>
                <w:sz w:val="15"/>
                <w:szCs w:val="15"/>
                <w:color w:val="auto"/>
              </w:rPr>
            </w:pPr>
          </w:p>
        </w:tc>
        <w:tc>
          <w:tcPr>
            <w:tcW w:w="114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24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(8)(14)(15)</w:t>
            </w:r>
          </w:p>
        </w:tc>
        <w:tc>
          <w:tcPr>
            <w:tcW w:w="3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Senior Secured Loan — Initial Term Loan (First</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6.6% Cash, 1 month LIBOR(2.10%) + 4.50%;</w:t>
            </w:r>
          </w:p>
        </w:tc>
        <w:tc>
          <w:tcPr>
            <w:tcW w:w="1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7/16/2015</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1,058,929</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1,056,913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1,050,987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Avalign Technologies, Inc.</w:t>
            </w:r>
            <w:r>
              <w:rPr>
                <w:rFonts w:ascii="Arial" w:cs="Arial" w:eastAsia="Arial" w:hAnsi="Arial"/>
                <w:sz w:val="23"/>
                <w:szCs w:val="23"/>
                <w:color w:val="auto"/>
                <w:vertAlign w:val="superscript"/>
              </w:rPr>
              <w:t>(8)(14)(15)</w:t>
            </w:r>
          </w:p>
        </w:tc>
        <w:tc>
          <w:tcPr>
            <w:tcW w:w="3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Junior Secured Loan — Initial Term Loan</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(Second Lien)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10.4% Cash, 6 month LIBOR(2.13%) + 8.25%;</w:t>
            </w:r>
          </w:p>
        </w:tc>
        <w:tc>
          <w:tcPr>
            <w:tcW w:w="1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7/16/2015</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1,500,000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1,490,176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7"/>
              </w:rPr>
              <w:t>BMC Acquisition, Inc. (aka BenefitMall)</w:t>
            </w:r>
          </w:p>
        </w:tc>
        <w:tc>
          <w:tcPr>
            <w:tcW w:w="374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Senior Secured Loan — Initial Term Loan</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(8)(14)(15)</w:t>
            </w:r>
          </w:p>
        </w:tc>
        <w:tc>
          <w:tcPr>
            <w:tcW w:w="37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Banking, Finance, Insurance &amp; Real</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7.7% Cash, 6 month LIBOR(2.45%) + 5.25%;</w:t>
            </w:r>
          </w:p>
        </w:tc>
        <w:tc>
          <w:tcPr>
            <w:tcW w:w="1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12/24</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1/2/2018</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2,985,000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2,983,367</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2,957,837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BW NHHC Holdco Inc.</w:t>
            </w:r>
            <w:r>
              <w:rPr>
                <w:rFonts w:ascii="Arial" w:cs="Arial" w:eastAsia="Arial" w:hAnsi="Arial"/>
                <w:sz w:val="23"/>
                <w:szCs w:val="23"/>
                <w:color w:val="auto"/>
                <w:vertAlign w:val="superscript"/>
              </w:rPr>
              <w:t>(8)(14)(15)</w:t>
            </w:r>
          </w:p>
        </w:tc>
        <w:tc>
          <w:tcPr>
            <w:tcW w:w="374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6"/>
              </w:rPr>
              <w:t>Senior Secured Loan — Initial Term Loan (First</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7.1% Cash, 1 month LIBOR(2.07%) + 5.00%;</w:t>
            </w:r>
          </w:p>
        </w:tc>
        <w:tc>
          <w:tcPr>
            <w:tcW w:w="1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spacing w:after="0"/>
              <w:rPr>
                <w:sz w:val="22"/>
                <w:szCs w:val="22"/>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Due 5/25</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5/16/2018</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2,000,000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1,970,447</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Child Development Schools, Inc.</w:t>
            </w:r>
            <w:r>
              <w:rPr>
                <w:rFonts w:ascii="Arial" w:cs="Arial" w:eastAsia="Arial" w:hAnsi="Arial"/>
                <w:sz w:val="28"/>
                <w:szCs w:val="28"/>
                <w:color w:val="auto"/>
                <w:vertAlign w:val="superscript"/>
              </w:rPr>
              <w:t>(8)(14)</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w:t>
            </w:r>
          </w:p>
        </w:tc>
        <w:tc>
          <w:tcPr>
            <w:tcW w:w="1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(15)</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6.3% Cash, 3 month LIBOR(2.10%) + 4.25%;</w:t>
            </w:r>
          </w:p>
        </w:tc>
        <w:tc>
          <w:tcPr>
            <w:tcW w:w="11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Due 5/21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6/6/2018</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4,931,507</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4,919,462</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4,919,178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Community Care Health Network, Inc.</w:t>
            </w:r>
          </w:p>
        </w:tc>
        <w:tc>
          <w:tcPr>
            <w:tcW w:w="37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Senior Secured Loan — Closing Date Term</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(aka Matrix Medical Network)</w:t>
            </w:r>
            <w:r>
              <w:rPr>
                <w:rFonts w:ascii="Arial" w:cs="Arial" w:eastAsia="Arial" w:hAnsi="Arial"/>
                <w:sz w:val="25"/>
                <w:szCs w:val="25"/>
                <w:color w:val="auto"/>
                <w:vertAlign w:val="superscript"/>
              </w:rPr>
              <w:t>(8)(15)</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6.9% Cash, 3 month LIBOR(2.17%) + 4.75%;</w:t>
            </w:r>
          </w:p>
        </w:tc>
        <w:tc>
          <w:tcPr>
            <w:tcW w:w="1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2/25</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2/9/2018</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2,000,000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1,995,253</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1,959,400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CSM Bakery Solutions Limited (fka</w:t>
            </w:r>
          </w:p>
        </w:tc>
        <w:tc>
          <w:tcPr>
            <w:tcW w:w="374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Junior Secured Loan — Term Loan (Second</w:t>
            </w: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CSM Bakery Supplies Limited)</w:t>
            </w:r>
            <w:r>
              <w:rPr>
                <w:rFonts w:ascii="Arial" w:cs="Arial" w:eastAsia="Arial" w:hAnsi="Arial"/>
                <w:sz w:val="25"/>
                <w:szCs w:val="25"/>
                <w:color w:val="auto"/>
                <w:vertAlign w:val="superscript"/>
              </w:rPr>
              <w:t>(8)</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7"/>
              </w:rPr>
              <w:t>10.1% Cash, 3 month LIBOR(2.31%) + 7.75%;</w:t>
            </w:r>
          </w:p>
        </w:tc>
        <w:tc>
          <w:tcPr>
            <w:tcW w:w="1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7/21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5/23/2013</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3,000,000</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3,007,571</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2,892,600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CT Technologies Intermediate Holdings,</w:t>
            </w:r>
          </w:p>
        </w:tc>
        <w:tc>
          <w:tcPr>
            <w:tcW w:w="3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 (Smart Holdings Corp.) (aka</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Senior Secured Loan — New Term Loan Facility</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HealthPort)</w:t>
            </w:r>
            <w:r>
              <w:rPr>
                <w:rFonts w:ascii="Arial" w:cs="Arial" w:eastAsia="Arial" w:hAnsi="Arial"/>
                <w:sz w:val="29"/>
                <w:szCs w:val="29"/>
                <w:color w:val="auto"/>
                <w:vertAlign w:val="superscript"/>
              </w:rPr>
              <w:t>(8)(15)</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6.3% Cash, 1 month LIBOR(2.09%) + 4.25%;</w:t>
            </w:r>
          </w:p>
        </w:tc>
        <w:tc>
          <w:tcPr>
            <w:tcW w:w="11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LIBOR Floor 1.00% , Due 12/21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11/19/2014</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3,984,602</w:t>
            </w:r>
          </w:p>
        </w:tc>
        <w:tc>
          <w:tcPr>
            <w:tcW w:w="1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3,977,456</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3,856,696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Initial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9"/>
              </w:rPr>
              <w:t>Acquisition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81"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00" w:type="dxa"/>
            <w:vAlign w:val="bottom"/>
          </w:tcPr>
          <w:p>
            <w:pPr>
              <w:spacing w:after="0"/>
              <w:rPr>
                <w:sz w:val="23"/>
                <w:szCs w:val="23"/>
                <w:color w:val="auto"/>
              </w:rPr>
            </w:pPr>
          </w:p>
        </w:tc>
        <w:tc>
          <w:tcPr>
            <w:tcW w:w="366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93"/>
              </w:rPr>
              <w:t>Interest Rate</w:t>
            </w:r>
            <w:r>
              <w:rPr>
                <w:rFonts w:ascii="Arial" w:cs="Arial" w:eastAsia="Arial" w:hAnsi="Arial"/>
                <w:sz w:val="30"/>
                <w:szCs w:val="30"/>
                <w:b w:val="1"/>
                <w:bCs w:val="1"/>
                <w:color w:val="auto"/>
                <w:w w:val="93"/>
                <w:vertAlign w:val="superscript"/>
              </w:rPr>
              <w:t>1</w:t>
            </w:r>
            <w:r>
              <w:rPr>
                <w:rFonts w:ascii="Arial" w:cs="Arial" w:eastAsia="Arial" w:hAnsi="Arial"/>
                <w:sz w:val="18"/>
                <w:szCs w:val="18"/>
                <w:b w:val="1"/>
                <w:bCs w:val="1"/>
                <w:color w:val="auto"/>
                <w:w w:val="93"/>
              </w:rPr>
              <w:t xml:space="preserve"> / Maturity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Cyanco Intermediate 2 Corp.</w:t>
            </w:r>
            <w:r>
              <w:rPr>
                <w:rFonts w:ascii="Arial" w:cs="Arial" w:eastAsia="Arial" w:hAnsi="Arial"/>
                <w:sz w:val="22"/>
                <w:szCs w:val="22"/>
                <w:color w:val="auto"/>
                <w:vertAlign w:val="superscript"/>
              </w:rPr>
              <w:t>(8)</w:t>
            </w:r>
          </w:p>
        </w:tc>
        <w:tc>
          <w:tcPr>
            <w:tcW w:w="10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Initial Term Loan</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Chemicals, Plastics and Rubber</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9.6% Cash, 1 month LIBOR(2.09%) + 7.50%;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Due 3/26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3/9/2018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4,681,250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4,635,825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160"/>
              <w:spacing w:after="0" w:line="202" w:lineRule="exact"/>
              <w:rPr>
                <w:sz w:val="20"/>
                <w:szCs w:val="20"/>
                <w:color w:val="auto"/>
              </w:rPr>
            </w:pPr>
            <w:r>
              <w:rPr>
                <w:rFonts w:ascii="Arial" w:cs="Arial" w:eastAsia="Arial" w:hAnsi="Arial"/>
                <w:sz w:val="15"/>
                <w:szCs w:val="15"/>
                <w:color w:val="auto"/>
              </w:rPr>
              <w:t>Decolin Inc.</w:t>
            </w:r>
            <w:r>
              <w:rPr>
                <w:rFonts w:ascii="Arial" w:cs="Arial" w:eastAsia="Arial" w:hAnsi="Arial"/>
                <w:sz w:val="23"/>
                <w:szCs w:val="23"/>
                <w:color w:val="auto"/>
                <w:vertAlign w:val="superscript"/>
              </w:rPr>
              <w:t>(3)(14)(15)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Textiles and Leather</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6.6% Cash, 1 month LIBOR(2.08%) + 4.50%;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1/26/2018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2,238,750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2,228,321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2,214,795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DigiCert, Inc.</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10.1% Cash, 1 month LIBOR(2.09%) + 8.00%;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10/25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995,371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967,600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Drew Marine Group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Cargo</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9.1% Cash, 1 month LIBOR(2.09%) + 7.00%;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5/21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4,000,768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4,001,600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EagleTree-Carbide Acquisition Corp.</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(aka Corsair Components, Inc.)</w:t>
            </w:r>
            <w:r>
              <w:rPr>
                <w:rFonts w:ascii="Arial" w:cs="Arial" w:eastAsia="Arial" w:hAnsi="Arial"/>
                <w:sz w:val="25"/>
                <w:szCs w:val="25"/>
                <w:color w:val="auto"/>
                <w:vertAlign w:val="superscript"/>
              </w:rPr>
              <w:t>(8)(14)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10.8% Cash, 3 month LIBOR(2.33%) + 8.50%;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8/25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4,931,735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EagleTree-Carbide Acquisition Corp.</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Senior Secured Loan — Term Loan (First Lien)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w w:val="92"/>
              </w:rPr>
              <w:t>(aka Corsair Components, Inc.)</w:t>
            </w:r>
            <w:r>
              <w:rPr>
                <w:rFonts w:ascii="Arial" w:cs="Arial" w:eastAsia="Arial" w:hAnsi="Arial"/>
                <w:sz w:val="29"/>
                <w:szCs w:val="29"/>
                <w:color w:val="auto"/>
                <w:w w:val="92"/>
                <w:vertAlign w:val="superscript"/>
              </w:rPr>
              <w:t>(8)(15)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7.1% Cash, 3 month LIBOR(2.33%) + 4.75%;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8/24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997,491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992,674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998,089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Evergreen North America Acquisition,</w:t>
            </w:r>
          </w:p>
        </w:tc>
        <w:tc>
          <w:tcPr>
            <w:tcW w:w="1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LLC (f/k/a Industrial Services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Acquisition, LLC)</w:t>
            </w:r>
            <w:r>
              <w:rPr>
                <w:rFonts w:ascii="Arial" w:cs="Arial" w:eastAsia="Arial" w:hAnsi="Arial"/>
                <w:sz w:val="29"/>
                <w:szCs w:val="29"/>
                <w:color w:val="auto"/>
                <w:vertAlign w:val="superscript"/>
              </w:rPr>
              <w:t>(8)(14)(15)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7.4% Cash, 3 month LIBOR(2.38%)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6/22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1,135,819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1,140,566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5"/>
              </w:rPr>
              <w:t>First American Payment Systems, L.P.</w:t>
            </w:r>
            <w:r>
              <w:rPr>
                <w:rFonts w:ascii="Arial" w:cs="Arial" w:eastAsia="Arial" w:hAnsi="Arial"/>
                <w:sz w:val="28"/>
                <w:szCs w:val="28"/>
                <w:color w:val="auto"/>
                <w:w w:val="95"/>
                <w:vertAlign w:val="superscript"/>
              </w:rPr>
              <w:t>(8)</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Banking, Finance, Insurance &amp; Real</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12.5% Cash, 1 month LIBOR(2.01%) + 10.50%;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7/24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1,463,838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1,437,750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Flexera Software LLC (fka Flexera</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Software, Inc.)</w:t>
            </w:r>
            <w:r>
              <w:rPr>
                <w:rFonts w:ascii="Arial" w:cs="Arial" w:eastAsia="Arial" w:hAnsi="Arial"/>
                <w:sz w:val="25"/>
                <w:szCs w:val="25"/>
                <w:color w:val="auto"/>
                <w:vertAlign w:val="superscript"/>
              </w:rPr>
              <w:t>(8)</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9.4% Cash, 1 month LIBOR(2.10%) + 7.25%;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2/26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GI Advo Opco, LLC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7.3% Cash, 3 month LIBOR(2.33%)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11/21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11/19/2015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180,304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GK Holdings, Inc. (aka Global</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Knowledge)</w:t>
            </w:r>
            <w:r>
              <w:rPr>
                <w:rFonts w:ascii="Arial" w:cs="Arial" w:eastAsia="Arial" w:hAnsi="Arial"/>
                <w:sz w:val="25"/>
                <w:szCs w:val="25"/>
                <w:color w:val="auto"/>
                <w:vertAlign w:val="superscript"/>
              </w:rPr>
              <w:t>(8)(14)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12.6% Cash, 3 month LIBOR(2.33%) + 10.25%;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1,484,657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1,406,400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Initial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9"/>
              </w:rPr>
              <w:t>Acquisition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81"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00" w:type="dxa"/>
            <w:vAlign w:val="bottom"/>
          </w:tcPr>
          <w:p>
            <w:pPr>
              <w:spacing w:after="0"/>
              <w:rPr>
                <w:sz w:val="23"/>
                <w:szCs w:val="23"/>
                <w:color w:val="auto"/>
              </w:rPr>
            </w:pPr>
          </w:p>
        </w:tc>
        <w:tc>
          <w:tcPr>
            <w:tcW w:w="366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93"/>
              </w:rPr>
              <w:t>Interest Rate</w:t>
            </w:r>
            <w:r>
              <w:rPr>
                <w:rFonts w:ascii="Arial" w:cs="Arial" w:eastAsia="Arial" w:hAnsi="Arial"/>
                <w:sz w:val="30"/>
                <w:szCs w:val="30"/>
                <w:b w:val="1"/>
                <w:bCs w:val="1"/>
                <w:color w:val="auto"/>
                <w:w w:val="93"/>
                <w:vertAlign w:val="superscript"/>
              </w:rPr>
              <w:t>1</w:t>
            </w:r>
            <w:r>
              <w:rPr>
                <w:rFonts w:ascii="Arial" w:cs="Arial" w:eastAsia="Arial" w:hAnsi="Arial"/>
                <w:sz w:val="18"/>
                <w:szCs w:val="18"/>
                <w:b w:val="1"/>
                <w:bCs w:val="1"/>
                <w:color w:val="auto"/>
                <w:w w:val="93"/>
              </w:rPr>
              <w:t xml:space="preserve"> / Maturity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Global Tel*Link Corporation</w:t>
            </w:r>
            <w:r>
              <w:rPr>
                <w:rFonts w:ascii="Arial" w:cs="Arial" w:eastAsia="Arial" w:hAnsi="Arial"/>
                <w:sz w:val="22"/>
                <w:szCs w:val="22"/>
                <w:color w:val="auto"/>
                <w:vertAlign w:val="superscript"/>
              </w:rPr>
              <w:t>(8)(14)</w:t>
            </w:r>
          </w:p>
        </w:tc>
        <w:tc>
          <w:tcPr>
            <w:tcW w:w="10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Term Loan (Second</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10.6% Cash, 3 month LIBOR(2.33%) + 8.25%;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1.25% , Due 11/20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4,969,724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Global Tel*Link Corporation</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7"/>
              </w:rPr>
              <w:t>Senior Secured Loan — Term Loan (First Lien)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6.3% Cash, 3 month LIBOR(2.33%) + 4.00%;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1.25% , Due 5/20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1,478,100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1,475,230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Term B Loan (First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8.8% Cash, 3 month LIBOR(1.84%) + 7.00%;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1.50% , Due 1/18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Grupo HIMA San Pablo, Inc.</w:t>
            </w:r>
            <w:r>
              <w:rPr>
                <w:rFonts w:ascii="Arial" w:cs="Arial" w:eastAsia="Arial" w:hAnsi="Arial"/>
                <w:sz w:val="23"/>
                <w:szCs w:val="23"/>
                <w:color w:val="auto"/>
                <w:vertAlign w:val="superscript"/>
              </w:rPr>
              <w:t>(5)(8)(14)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13.8% Cash, Due 7/18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7,191,667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7,170,432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w:t>
            </w:r>
          </w:p>
        </w:tc>
        <w:tc>
          <w:tcPr>
            <w:tcW w:w="37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3" w:lineRule="exact"/>
              <w:rPr>
                <w:sz w:val="20"/>
                <w:szCs w:val="20"/>
                <w:color w:val="auto"/>
              </w:rPr>
            </w:pPr>
            <w:r>
              <w:rPr>
                <w:rFonts w:ascii="Arial" w:cs="Arial" w:eastAsia="Arial" w:hAnsi="Arial"/>
                <w:sz w:val="15"/>
                <w:szCs w:val="15"/>
                <w:color w:val="auto"/>
              </w:rPr>
              <w:t>Clarke American Corp.)</w:t>
            </w:r>
            <w:r>
              <w:rPr>
                <w:rFonts w:ascii="Arial" w:cs="Arial" w:eastAsia="Arial" w:hAnsi="Arial"/>
                <w:sz w:val="24"/>
                <w:szCs w:val="24"/>
                <w:color w:val="auto"/>
                <w:vertAlign w:val="superscript"/>
              </w:rPr>
              <w:t>(8)(14)(15)</w:t>
            </w:r>
          </w:p>
        </w:tc>
        <w:tc>
          <w:tcPr>
            <w:tcW w:w="3760" w:type="dxa"/>
            <w:vAlign w:val="bottom"/>
            <w:gridSpan w:val="3"/>
            <w:vMerge w:val="continue"/>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7.1% Cash, 3 month LIBOR(2.33%) + 4.75%;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Publishing</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11/23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2,901,829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2,923,905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2,834,217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Hoffmaster Group,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Forest Products &amp; Paper</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11.6% Cash, 1 month LIBOR(2.09%) + 9.50%;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11/24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1,561,553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Infobase Holdings,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6.8% Cash, 3 month LIBOR(2.33%) + 4.50%;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12/13/2017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1,957,167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1,964,335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Ivanti Software, Inc. (fka LANDesk</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Loan (Second Lien)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Group, Inc.)</w:t>
            </w:r>
            <w:r>
              <w:rPr>
                <w:rFonts w:ascii="Arial" w:cs="Arial" w:eastAsia="Arial" w:hAnsi="Arial"/>
                <w:sz w:val="29"/>
                <w:szCs w:val="29"/>
                <w:color w:val="auto"/>
                <w:vertAlign w:val="superscript"/>
              </w:rPr>
              <w:t>(8)(14)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11.1% Cash, 1 month LIBOR(2.10%) + 9.00%;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3,135,958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Kellermeyer Bergensons Services,</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w w:val="96"/>
              </w:rPr>
              <w:t>Senior Secured Loan — Initial Term Loan (First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25"/>
                <w:szCs w:val="25"/>
                <w:color w:val="auto"/>
                <w:vertAlign w:val="subscript"/>
              </w:rPr>
              <w:t>LLC</w:t>
            </w:r>
            <w:r>
              <w:rPr>
                <w:rFonts w:ascii="Arial" w:cs="Arial" w:eastAsia="Arial" w:hAnsi="Arial"/>
                <w:sz w:val="12"/>
                <w:szCs w:val="12"/>
                <w:color w:val="auto"/>
              </w:rPr>
              <w:t>(8)</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7.3% Cash, 3 month LIBOR(2.32%)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10/21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994,845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994,845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MB Aerospace Holdings II Corp.</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Senior Secured Loan — Initial Term Loan (First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5.6% Cash, 1 month LIBOR(2.09%) + 3.50%;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20" w:type="dxa"/>
            <w:vAlign w:val="bottom"/>
            <w:vMerge w:val="continue"/>
            <w:shd w:val="clear" w:color="auto" w:fill="CCEEFF"/>
          </w:tcPr>
          <w:p>
            <w:pPr>
              <w:spacing w:after="0"/>
              <w:rPr>
                <w:sz w:val="7"/>
                <w:szCs w:val="7"/>
                <w:color w:val="auto"/>
              </w:rPr>
            </w:pPr>
          </w:p>
        </w:tc>
        <w:tc>
          <w:tcPr>
            <w:tcW w:w="37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LIBOR Floor 1.00% , Due 1/25</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5/10/2013</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1,243,750</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1,237,891</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1,211,413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37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Initial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9"/>
              </w:rPr>
              <w:t>Acquisition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81"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00" w:type="dxa"/>
            <w:vAlign w:val="bottom"/>
          </w:tcPr>
          <w:p>
            <w:pPr>
              <w:spacing w:after="0"/>
              <w:rPr>
                <w:sz w:val="23"/>
                <w:szCs w:val="23"/>
                <w:color w:val="auto"/>
              </w:rPr>
            </w:pPr>
          </w:p>
        </w:tc>
        <w:tc>
          <w:tcPr>
            <w:tcW w:w="366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93"/>
              </w:rPr>
              <w:t>Interest Rate</w:t>
            </w:r>
            <w:r>
              <w:rPr>
                <w:rFonts w:ascii="Arial" w:cs="Arial" w:eastAsia="Arial" w:hAnsi="Arial"/>
                <w:sz w:val="30"/>
                <w:szCs w:val="30"/>
                <w:b w:val="1"/>
                <w:bCs w:val="1"/>
                <w:color w:val="auto"/>
                <w:w w:val="93"/>
                <w:vertAlign w:val="superscript"/>
              </w:rPr>
              <w:t>1</w:t>
            </w:r>
            <w:r>
              <w:rPr>
                <w:rFonts w:ascii="Arial" w:cs="Arial" w:eastAsia="Arial" w:hAnsi="Arial"/>
                <w:sz w:val="18"/>
                <w:szCs w:val="18"/>
                <w:b w:val="1"/>
                <w:bCs w:val="1"/>
                <w:color w:val="auto"/>
                <w:w w:val="93"/>
              </w:rPr>
              <w:t xml:space="preserve"> / Maturity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Onex Carestream Finance LP</w:t>
            </w:r>
            <w:r>
              <w:rPr>
                <w:rFonts w:ascii="Arial" w:cs="Arial" w:eastAsia="Arial" w:hAnsi="Arial"/>
                <w:sz w:val="22"/>
                <w:szCs w:val="22"/>
                <w:color w:val="auto"/>
                <w:vertAlign w:val="superscript"/>
              </w:rPr>
              <w:t>(8)(14)</w:t>
            </w:r>
          </w:p>
        </w:tc>
        <w:tc>
          <w:tcPr>
            <w:tcW w:w="10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Term Loan (Second</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10.6% Cash, 1 month LIBOR(2.09%) + 8.50%;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1,493,452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Playpower,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Senior Secured Loan — Initial Term Loan (First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&amp; Building</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7.1% Cash, 3 month LIBOR(2.33%) + 4.75%;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6/21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989,796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997,633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PSC Industrial Holdings Corp</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10.6% Cash, 1 month LIBOR(2.09%) + 8.50%;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10/25</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2,945,251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Q Holding Company (fka Lexington</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Term B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Precision Corporation)</w:t>
            </w:r>
            <w:r>
              <w:rPr>
                <w:rFonts w:ascii="Arial" w:cs="Arial" w:eastAsia="Arial" w:hAnsi="Arial"/>
                <w:sz w:val="29"/>
                <w:szCs w:val="29"/>
                <w:color w:val="auto"/>
                <w:vertAlign w:val="superscript"/>
              </w:rPr>
              <w:t>(8)(15)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7.1% Cash, 1 month LIBOR(2.09%)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Chemicals, Plastics and Rubber</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1,989,691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2,017,148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1,987,303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Ravn Air Group,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6.8% Cash, 3 month LIBOR(1.83%)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7/21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7/29/2015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1,944,063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1,944,063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Robertshaw US Holding Corp. (fka Fox</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16"/>
                <w:szCs w:val="16"/>
                <w:color w:val="auto"/>
              </w:rPr>
              <w:t xml:space="preserve">US Bidco Corp.) </w:t>
            </w:r>
            <w:r>
              <w:rPr>
                <w:rFonts w:ascii="Arial" w:cs="Arial" w:eastAsia="Arial" w:hAnsi="Arial"/>
                <w:sz w:val="25"/>
                <w:szCs w:val="25"/>
                <w:color w:val="auto"/>
                <w:vertAlign w:val="superscript"/>
              </w:rPr>
              <w:t>(8)(14)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10.1% Cash, 1 month LIBOR(2.13%) + 8.00%;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2/26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2/15/2018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2,971,204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2,970,600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11.3% Cash, 3 month LIBOR(0.00%) + 11.25%;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Due 9/19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1,696,177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Roscoe Medical,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11.3% Cash, 3 month LIBOR(0.00%) + 11.25%;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Due 9/19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4,988,776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Salient CRGT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7.8% Cash, 1 month LIBOR(2.09%) + 5.75%;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2/22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1,906,269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1,927,495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SCSG EA Acquisition Company, Inc</w:t>
            </w:r>
            <w:r>
              <w:rPr>
                <w:rFonts w:ascii="Arial" w:cs="Arial" w:eastAsia="Arial" w:hAnsi="Arial"/>
                <w:sz w:val="23"/>
                <w:szCs w:val="23"/>
                <w:color w:val="auto"/>
                <w:vertAlign w:val="superscript"/>
              </w:rPr>
              <w:t>.(8)</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10.6% Cash, 3 month LIBOR(2.31%) + 8.25%;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9/24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990,413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SCSG EA Acquisition Company, Inc</w:t>
            </w:r>
            <w:r>
              <w:rPr>
                <w:rFonts w:ascii="Arial" w:cs="Arial" w:eastAsia="Arial" w:hAnsi="Arial"/>
                <w:sz w:val="23"/>
                <w:szCs w:val="23"/>
                <w:color w:val="auto"/>
                <w:vertAlign w:val="superscript"/>
              </w:rPr>
              <w:t>.(8)</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10.6% Cash, 3 month LIBOR(2.31%) + 8.25%;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020" w:type="dxa"/>
            <w:vAlign w:val="bottom"/>
            <w:vMerge w:val="continue"/>
            <w:shd w:val="clear" w:color="auto" w:fill="CCEEFF"/>
          </w:tcPr>
          <w:p>
            <w:pPr>
              <w:spacing w:after="0"/>
              <w:rPr>
                <w:sz w:val="7"/>
                <w:szCs w:val="7"/>
                <w:color w:val="auto"/>
              </w:rPr>
            </w:pPr>
          </w:p>
        </w:tc>
        <w:tc>
          <w:tcPr>
            <w:tcW w:w="37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rPr>
              <w:t>LIBOR Floor 1.00% , Due 9/24</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8/18/2017</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4,955,840</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4,953,000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3760" w:type="dxa"/>
            <w:vAlign w:val="bottom"/>
            <w:gridSpan w:val="3"/>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40" w:type="dxa"/>
            <w:vAlign w:val="bottom"/>
            <w:gridSpan w:val="2"/>
            <w:vMerge w:val="continue"/>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Initial</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1040" w:type="dxa"/>
            <w:vAlign w:val="bottom"/>
            <w:gridSpan w:val="2"/>
          </w:tcPr>
          <w:p>
            <w:pPr>
              <w:jc w:val="center"/>
              <w:ind w:right="160"/>
              <w:spacing w:after="0" w:line="181" w:lineRule="exact"/>
              <w:rPr>
                <w:sz w:val="20"/>
                <w:szCs w:val="20"/>
                <w:color w:val="auto"/>
              </w:rPr>
            </w:pPr>
            <w:r>
              <w:rPr>
                <w:rFonts w:ascii="Arial" w:cs="Arial" w:eastAsia="Arial" w:hAnsi="Arial"/>
                <w:sz w:val="18"/>
                <w:szCs w:val="18"/>
                <w:b w:val="1"/>
                <w:bCs w:val="1"/>
                <w:color w:val="auto"/>
                <w:w w:val="89"/>
              </w:rPr>
              <w:t>Acquisition</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320"/>
              <w:spacing w:after="0" w:line="181" w:lineRule="exact"/>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00" w:type="dxa"/>
            <w:vAlign w:val="bottom"/>
          </w:tcPr>
          <w:p>
            <w:pPr>
              <w:spacing w:after="0"/>
              <w:rPr>
                <w:sz w:val="23"/>
                <w:szCs w:val="23"/>
                <w:color w:val="auto"/>
              </w:rPr>
            </w:pPr>
          </w:p>
        </w:tc>
        <w:tc>
          <w:tcPr>
            <w:tcW w:w="366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93"/>
              </w:rPr>
              <w:t>Interest Rate</w:t>
            </w:r>
            <w:r>
              <w:rPr>
                <w:rFonts w:ascii="Arial" w:cs="Arial" w:eastAsia="Arial" w:hAnsi="Arial"/>
                <w:sz w:val="30"/>
                <w:szCs w:val="30"/>
                <w:b w:val="1"/>
                <w:bCs w:val="1"/>
                <w:color w:val="auto"/>
                <w:w w:val="93"/>
                <w:vertAlign w:val="superscript"/>
              </w:rPr>
              <w:t>1</w:t>
            </w:r>
            <w:r>
              <w:rPr>
                <w:rFonts w:ascii="Arial" w:cs="Arial" w:eastAsia="Arial" w:hAnsi="Arial"/>
                <w:sz w:val="18"/>
                <w:szCs w:val="18"/>
                <w:b w:val="1"/>
                <w:bCs w:val="1"/>
                <w:color w:val="auto"/>
                <w:w w:val="93"/>
              </w:rPr>
              <w:t xml:space="preserve"> / Maturity</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Sierra Enterprises, LLC (aka Lyons</w:t>
            </w:r>
          </w:p>
        </w:tc>
        <w:tc>
          <w:tcPr>
            <w:tcW w:w="100" w:type="dxa"/>
            <w:vAlign w:val="bottom"/>
            <w:tcBorders>
              <w:top w:val="single" w:sz="8" w:color="CCEEFF"/>
            </w:tcBorders>
            <w:shd w:val="clear" w:color="auto" w:fill="CCEEFF"/>
          </w:tcPr>
          <w:p>
            <w:pPr>
              <w:spacing w:after="0"/>
              <w:rPr>
                <w:sz w:val="16"/>
                <w:szCs w:val="16"/>
                <w:color w:val="auto"/>
              </w:rPr>
            </w:pPr>
          </w:p>
        </w:tc>
        <w:tc>
          <w:tcPr>
            <w:tcW w:w="3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Senior Secured Loan — Tranche B-1 Term Loan</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line="217" w:lineRule="exact"/>
              <w:rPr>
                <w:sz w:val="20"/>
                <w:szCs w:val="20"/>
                <w:color w:val="auto"/>
              </w:rPr>
            </w:pPr>
            <w:r>
              <w:rPr>
                <w:rFonts w:ascii="Arial" w:cs="Arial" w:eastAsia="Arial" w:hAnsi="Arial"/>
                <w:sz w:val="25"/>
                <w:szCs w:val="25"/>
                <w:color w:val="auto"/>
                <w:vertAlign w:val="subscript"/>
              </w:rPr>
              <w:t>Magnus)</w:t>
            </w:r>
            <w:r>
              <w:rPr>
                <w:rFonts w:ascii="Arial" w:cs="Arial" w:eastAsia="Arial" w:hAnsi="Arial"/>
                <w:sz w:val="12"/>
                <w:szCs w:val="12"/>
                <w:color w:val="auto"/>
              </w:rPr>
              <w:t>(8)(14)(15)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(First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5.6% Cash, 1 month LIBOR(2.09%) + 3.50%;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11/24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2,985,019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2,970,801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2,985,019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Stafford Logistics, Inc.(dba Custom</w:t>
            </w:r>
          </w:p>
        </w:tc>
        <w:tc>
          <w:tcPr>
            <w:tcW w:w="3760" w:type="dxa"/>
            <w:vAlign w:val="bottom"/>
            <w:gridSpan w:val="3"/>
            <w:vMerge w:val="restart"/>
            <w:shd w:val="clear" w:color="auto" w:fill="CCEEFF"/>
          </w:tcPr>
          <w:p>
            <w:pPr>
              <w:ind w:left="100"/>
              <w:spacing w:after="0"/>
              <w:rPr>
                <w:sz w:val="20"/>
                <w:szCs w:val="20"/>
                <w:color w:val="auto"/>
              </w:rPr>
            </w:pPr>
            <w:r>
              <w:rPr>
                <w:rFonts w:ascii="Arial" w:cs="Arial" w:eastAsia="Arial" w:hAnsi="Arial"/>
                <w:sz w:val="18"/>
                <w:szCs w:val="18"/>
                <w:color w:val="auto"/>
                <w:w w:val="93"/>
              </w:rPr>
              <w:t>Junior Secured Loan — Restructured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(8)(13)(14)</w:t>
            </w:r>
          </w:p>
        </w:tc>
        <w:tc>
          <w:tcPr>
            <w:tcW w:w="3760" w:type="dxa"/>
            <w:vAlign w:val="bottom"/>
            <w:gridSpan w:val="3"/>
            <w:vMerge w:val="continue"/>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 Cash, 7.8% PIK, Due 10/22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1,955,980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1,955,980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Stafford Logistics, Inc.(dba Custom</w:t>
            </w:r>
          </w:p>
        </w:tc>
        <w:tc>
          <w:tcPr>
            <w:tcW w:w="376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14.3% Cash, 3 month LIBOR(2.34%) + 12.00%;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Due 10/22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339,788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339,788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Tank Partners Holdings, LLC</w:t>
            </w:r>
            <w:r>
              <w:rPr>
                <w:rFonts w:ascii="Arial" w:cs="Arial" w:eastAsia="Arial" w:hAnsi="Arial"/>
                <w:sz w:val="23"/>
                <w:szCs w:val="23"/>
                <w:color w:val="auto"/>
                <w:vertAlign w:val="superscript"/>
              </w:rPr>
              <w:t>(8)(13)(14)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4"/>
              </w:rPr>
              <w:t>2.0% Cash, 13.3% PIK, 1 month PRIME(4.75%)</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+ 8.50%; PRIME Floor 3.00% , Due 8/19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14,101,226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13,381,086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10,339,019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Tex-Tech Industries, Inc.</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Textiles and Leather</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11.1% Cash, 1 month LIBOR(2.09%) + 9.00%;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8/24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8,008,000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7,955,245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7,947,940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9"/>
              </w:rPr>
              <w:t>Time Manufacturing Acquisition, LLC</w:t>
            </w:r>
            <w:r>
              <w:rPr>
                <w:rFonts w:ascii="Arial" w:cs="Arial" w:eastAsia="Arial" w:hAnsi="Arial"/>
                <w:sz w:val="28"/>
                <w:szCs w:val="28"/>
                <w:color w:val="auto"/>
                <w:w w:val="99"/>
                <w:vertAlign w:val="superscript"/>
              </w:rPr>
              <w:t>(8)</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(14)(15)</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7.5% Cash, 3 month LIBOR(2.50%) + 5.00%;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2/23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1,984,937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1,987,351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1,971,043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Trimaran Advisors, L.L.C.</w:t>
            </w:r>
            <w:r>
              <w:rPr>
                <w:rFonts w:ascii="Arial" w:cs="Arial" w:eastAsia="Arial" w:hAnsi="Arial"/>
                <w:sz w:val="23"/>
                <w:szCs w:val="23"/>
                <w:color w:val="auto"/>
                <w:vertAlign w:val="superscript"/>
              </w:rPr>
              <w:t>(8)(9)(14)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Unsecured Loan — Revolving Credit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Facility</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9.0% Cash, Due 11/22</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11/20/2012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23,000,000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2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Senior Unsecured Loan — Term Loan Series 1</w:t>
            </w: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10.5% Cash, Due 4/30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10/30/2017</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6,777,283</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6,777,283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TronAir Parent Inc.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w w:val="96"/>
              </w:rPr>
              <w:t>Senior Secured Loan — Initial Term Loan (First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7.1% Cash, 3 month LIBOR(2.36%) + 4.75%;</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9/23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992,424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990,157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TRSO I, Inc</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Term Loan (Second</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5"/>
              </w:rPr>
              <w:t>14.0% Cash, 3 month LIBOR(1.00%) + 13.00%;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12/19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12/24/2012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995,767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Verdesian Life Sciences, LLC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7.4% Cash, 3 month LIBOR(2.36%) + 5.00%;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7/20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6/25/2014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2,142,166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2,084,868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Weiman Products, LLC</w:t>
            </w:r>
            <w:r>
              <w:rPr>
                <w:rFonts w:ascii="Arial" w:cs="Arial" w:eastAsia="Arial" w:hAnsi="Arial"/>
                <w:sz w:val="23"/>
                <w:szCs w:val="23"/>
                <w:color w:val="auto"/>
                <w:vertAlign w:val="superscript"/>
              </w:rPr>
              <w:t>(8)(14)(15)</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Senior Secured Loan — Term Loan (2013)</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Non-durable</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6.8% Cash, 3 month LIBOR(2.33%) + 4.50%;</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11/21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602,344</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599,752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WireCo WorldGroup Inc. </w:t>
            </w:r>
            <w:r>
              <w:rPr>
                <w:rFonts w:ascii="Arial" w:cs="Arial" w:eastAsia="Arial" w:hAnsi="Arial"/>
                <w:sz w:val="23"/>
                <w:szCs w:val="23"/>
                <w:color w:val="auto"/>
                <w:vertAlign w:val="superscript"/>
              </w:rPr>
              <w:t>(8)(14)</w:t>
            </w:r>
          </w:p>
        </w:tc>
        <w:tc>
          <w:tcPr>
            <w:tcW w:w="3760" w:type="dxa"/>
            <w:vAlign w:val="bottom"/>
            <w:gridSpan w:val="3"/>
            <w:shd w:val="clear" w:color="auto" w:fill="CCEEFF"/>
          </w:tcPr>
          <w:p>
            <w:pPr>
              <w:ind w:left="100"/>
              <w:spacing w:after="0" w:line="202" w:lineRule="exact"/>
              <w:rPr>
                <w:sz w:val="20"/>
                <w:szCs w:val="20"/>
                <w:color w:val="auto"/>
              </w:rPr>
            </w:pPr>
            <w:r>
              <w:rPr>
                <w:rFonts w:ascii="Arial" w:cs="Arial" w:eastAsia="Arial" w:hAnsi="Arial"/>
                <w:sz w:val="18"/>
                <w:szCs w:val="18"/>
                <w:color w:val="auto"/>
              </w:rPr>
              <w:t>Junior Secured Loan — Initial Term Loan</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11.1% Cash, 1 month LIBOR(2.09%) + 9.00%;</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9/24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8/9/2016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2,964,781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2,971,500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Initial</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gridSpan w:val="2"/>
            <w:vMerge w:val="continue"/>
          </w:tcPr>
          <w:p>
            <w:pPr>
              <w:spacing w:after="0"/>
              <w:rPr>
                <w:sz w:val="15"/>
                <w:szCs w:val="15"/>
                <w:color w:val="auto"/>
              </w:rPr>
            </w:pPr>
          </w:p>
        </w:tc>
        <w:tc>
          <w:tcPr>
            <w:tcW w:w="98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9"/>
              </w:rPr>
              <w:t>Acquisition</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20"/>
              <w:spacing w:after="0" w:line="181" w:lineRule="exact"/>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15"/>
                <w:szCs w:val="15"/>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89"/>
              </w:rPr>
              <w:t>Portfolio Company / Principal Business</w:t>
            </w:r>
          </w:p>
        </w:tc>
        <w:tc>
          <w:tcPr>
            <w:tcW w:w="100" w:type="dxa"/>
            <w:vAlign w:val="bottom"/>
          </w:tcPr>
          <w:p>
            <w:pPr>
              <w:spacing w:after="0"/>
              <w:rPr>
                <w:sz w:val="23"/>
                <w:szCs w:val="23"/>
                <w:color w:val="auto"/>
              </w:rPr>
            </w:pPr>
          </w:p>
        </w:tc>
        <w:tc>
          <w:tcPr>
            <w:tcW w:w="3660" w:type="dxa"/>
            <w:vAlign w:val="bottom"/>
            <w:gridSpan w:val="2"/>
          </w:tcPr>
          <w:p>
            <w:pPr>
              <w:jc w:val="center"/>
              <w:ind w:right="100"/>
              <w:spacing w:after="0" w:line="269" w:lineRule="exact"/>
              <w:rPr>
                <w:sz w:val="20"/>
                <w:szCs w:val="20"/>
                <w:color w:val="auto"/>
              </w:rPr>
            </w:pPr>
            <w:r>
              <w:rPr>
                <w:rFonts w:ascii="Arial" w:cs="Arial" w:eastAsia="Arial" w:hAnsi="Arial"/>
                <w:sz w:val="18"/>
                <w:szCs w:val="18"/>
                <w:b w:val="1"/>
                <w:bCs w:val="1"/>
                <w:color w:val="auto"/>
                <w:w w:val="93"/>
              </w:rPr>
              <w:t>Interest Rate</w:t>
            </w:r>
            <w:r>
              <w:rPr>
                <w:rFonts w:ascii="Arial" w:cs="Arial" w:eastAsia="Arial" w:hAnsi="Arial"/>
                <w:sz w:val="30"/>
                <w:szCs w:val="30"/>
                <w:b w:val="1"/>
                <w:bCs w:val="1"/>
                <w:color w:val="auto"/>
                <w:w w:val="93"/>
                <w:vertAlign w:val="superscript"/>
              </w:rPr>
              <w:t>1</w:t>
            </w:r>
            <w:r>
              <w:rPr>
                <w:rFonts w:ascii="Arial" w:cs="Arial" w:eastAsia="Arial" w:hAnsi="Arial"/>
                <w:sz w:val="18"/>
                <w:szCs w:val="18"/>
                <w:b w:val="1"/>
                <w:bCs w:val="1"/>
                <w:color w:val="auto"/>
                <w:w w:val="93"/>
              </w:rPr>
              <w:t xml:space="preserve"> / Maturity</w:t>
            </w:r>
          </w:p>
        </w:tc>
        <w:tc>
          <w:tcPr>
            <w:tcW w:w="9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Date</w:t>
            </w:r>
          </w:p>
        </w:tc>
        <w:tc>
          <w:tcPr>
            <w:tcW w:w="6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Zest Acquisition Corp</w:t>
            </w:r>
            <w:r>
              <w:rPr>
                <w:rFonts w:ascii="Arial" w:cs="Arial" w:eastAsia="Arial" w:hAnsi="Arial"/>
                <w:sz w:val="22"/>
                <w:szCs w:val="22"/>
                <w:color w:val="auto"/>
                <w:vertAlign w:val="superscript"/>
              </w:rPr>
              <w:t>.(8)</w:t>
            </w:r>
          </w:p>
        </w:tc>
        <w:tc>
          <w:tcPr>
            <w:tcW w:w="100" w:type="dxa"/>
            <w:vAlign w:val="bottom"/>
            <w:tcBorders>
              <w:top w:val="single" w:sz="8" w:color="CCEEFF"/>
            </w:tcBorders>
            <w:shd w:val="clear" w:color="auto" w:fill="CCEEFF"/>
          </w:tcPr>
          <w:p>
            <w:pPr>
              <w:spacing w:after="0"/>
              <w:rPr>
                <w:sz w:val="17"/>
                <w:szCs w:val="17"/>
                <w:color w:val="auto"/>
              </w:rPr>
            </w:pPr>
          </w:p>
        </w:tc>
        <w:tc>
          <w:tcPr>
            <w:tcW w:w="35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Junior Secured Loan — Initial Term Loan</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(Second Lien)</w:t>
            </w: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9.8% Cash, 3 month LIBOR(2.34%) + 7.50%;</w:t>
            </w:r>
          </w:p>
        </w:tc>
        <w:tc>
          <w:tcPr>
            <w:tcW w:w="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020" w:type="dxa"/>
            <w:vAlign w:val="bottom"/>
            <w:shd w:val="clear" w:color="auto" w:fill="CCEEFF"/>
          </w:tcPr>
          <w:p>
            <w:pPr>
              <w:spacing w:after="0"/>
              <w:rPr>
                <w:sz w:val="23"/>
                <w:szCs w:val="23"/>
                <w:color w:val="auto"/>
              </w:rPr>
            </w:pPr>
          </w:p>
        </w:tc>
        <w:tc>
          <w:tcPr>
            <w:tcW w:w="37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3/26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3/8/2018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3,500,000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3,478,323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3,466,400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Investment in Debt Securities</w:t>
            </w:r>
          </w:p>
        </w:tc>
        <w:tc>
          <w:tcPr>
            <w:tcW w:w="100" w:type="dxa"/>
            <w:vAlign w:val="bottom"/>
            <w:shd w:val="clear" w:color="auto" w:fill="CCEEFF"/>
          </w:tcPr>
          <w:p>
            <w:pPr>
              <w:spacing w:after="0"/>
              <w:rPr>
                <w:sz w:val="17"/>
                <w:szCs w:val="17"/>
                <w:color w:val="auto"/>
              </w:rPr>
            </w:pPr>
          </w:p>
        </w:tc>
        <w:tc>
          <w:tcPr>
            <w:tcW w:w="3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1"/>
              </w:rPr>
              <w:t>(92% of net asset value at fair value)</w:t>
            </w:r>
          </w:p>
        </w:tc>
        <w:tc>
          <w:tcPr>
            <w:tcW w:w="100" w:type="dxa"/>
            <w:vAlign w:val="bottom"/>
            <w:shd w:val="clear" w:color="auto" w:fill="CCEEFF"/>
          </w:tcPr>
          <w:p>
            <w:pPr>
              <w:spacing w:after="0"/>
              <w:rPr>
                <w:sz w:val="21"/>
                <w:szCs w:val="21"/>
                <w:color w:val="auto"/>
              </w:rPr>
            </w:pPr>
          </w:p>
        </w:tc>
        <w:tc>
          <w:tcPr>
            <w:tcW w:w="3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171,584,016</w:t>
            </w: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 xml:space="preserve"> 170,246,598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 xml:space="preserve"> 162,139,246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Initial</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2"/>
            <w:vMerge w:val="restart"/>
          </w:tcPr>
          <w:p>
            <w:pPr>
              <w:ind w:left="6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16</w:t>
            </w:r>
          </w:p>
        </w:tc>
        <w:tc>
          <w:tcPr>
            <w:tcW w:w="13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Acquisition</w:t>
            </w:r>
          </w:p>
        </w:tc>
        <w:tc>
          <w:tcPr>
            <w:tcW w:w="16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Percentage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w w:val="99"/>
              </w:rPr>
              <w:t>Portfolio Company / Principal Business</w:t>
            </w:r>
          </w:p>
        </w:tc>
        <w:tc>
          <w:tcPr>
            <w:tcW w:w="100" w:type="dxa"/>
            <w:vAlign w:val="bottom"/>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Date</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Ownership/Shares</w:t>
            </w:r>
          </w:p>
        </w:tc>
        <w:tc>
          <w:tcPr>
            <w:tcW w:w="20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9"/>
              </w:rPr>
              <w:t>Advanced Lighting Technologies, Inc,</w:t>
            </w:r>
            <w:r>
              <w:rPr>
                <w:rFonts w:ascii="Arial" w:cs="Arial" w:eastAsia="Arial" w:hAnsi="Arial"/>
                <w:sz w:val="27"/>
                <w:szCs w:val="27"/>
                <w:color w:val="auto"/>
                <w:w w:val="99"/>
                <w:vertAlign w:val="superscript"/>
              </w:rPr>
              <w:t>(8)(14)</w:t>
            </w:r>
          </w:p>
        </w:tc>
        <w:tc>
          <w:tcPr>
            <w:tcW w:w="100" w:type="dxa"/>
            <w:vAlign w:val="bottom"/>
            <w:tcBorders>
              <w:top w:val="single" w:sz="8" w:color="CCEEFF"/>
            </w:tcBorders>
            <w:shd w:val="clear" w:color="auto" w:fill="CCEEFF"/>
          </w:tcPr>
          <w:p>
            <w:pPr>
              <w:spacing w:after="0"/>
              <w:rPr>
                <w:sz w:val="20"/>
                <w:szCs w:val="20"/>
                <w:color w:val="auto"/>
              </w:rPr>
            </w:pPr>
          </w:p>
        </w:tc>
        <w:tc>
          <w:tcPr>
            <w:tcW w:w="2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6/13/2012</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w w:val="98"/>
              </w:rPr>
              <w:t>Advanced Lighting Technologies, Inc.</w:t>
            </w:r>
            <w:r>
              <w:rPr>
                <w:rFonts w:ascii="Arial" w:cs="Arial" w:eastAsia="Arial" w:hAnsi="Arial"/>
                <w:sz w:val="28"/>
                <w:szCs w:val="28"/>
                <w:color w:val="auto"/>
                <w:w w:val="98"/>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3360" w:type="dxa"/>
            <w:vAlign w:val="bottom"/>
            <w:shd w:val="clear" w:color="auto" w:fill="CCEEFF"/>
          </w:tcPr>
          <w:p>
            <w:pPr>
              <w:ind w:left="160"/>
              <w:spacing w:after="0" w:line="281" w:lineRule="exact"/>
              <w:rPr>
                <w:sz w:val="20"/>
                <w:szCs w:val="20"/>
                <w:color w:val="auto"/>
              </w:rPr>
            </w:pPr>
            <w:r>
              <w:rPr>
                <w:rFonts w:ascii="Arial" w:cs="Arial" w:eastAsia="Arial" w:hAnsi="Arial"/>
                <w:sz w:val="18"/>
                <w:szCs w:val="18"/>
                <w:color w:val="auto"/>
              </w:rPr>
              <w:t xml:space="preserve">Consumer goods: </w:t>
            </w:r>
            <w:r>
              <w:rPr>
                <w:rFonts w:ascii="Arial" w:cs="Arial" w:eastAsia="Arial" w:hAnsi="Arial"/>
                <w:sz w:val="30"/>
                <w:szCs w:val="30"/>
                <w:color w:val="auto"/>
                <w:vertAlign w:val="superscript"/>
              </w:rPr>
              <w:t>Durable</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Membership Interests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6/13/2012</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181,999</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Partnership Interests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2/28/2007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Series A Preferred Interests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10/23/2008</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Membership Units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7/2/2007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A Shares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2/2/2007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642,605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Health, LLC)</w:t>
            </w:r>
            <w:r>
              <w:rPr>
                <w:rFonts w:ascii="Arial" w:cs="Arial" w:eastAsia="Arial" w:hAnsi="Arial"/>
                <w:sz w:val="29"/>
                <w:szCs w:val="29"/>
                <w:color w:val="auto"/>
                <w:vertAlign w:val="superscript"/>
              </w:rPr>
              <w:t>(3)(14)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10/7/2014</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 Gaming &amp; Leisure</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4/5/2007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0.19%</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A Units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3/26/2014</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Stafford Logistics, Inc.(dba Custom Ecology,</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B Units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6/25/2013</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4"/>
              </w:rPr>
              <w:t>Stafford Logistics, Inc.(dba Custom Ecology,</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Class B Equity</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6/25/2013</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(8)(10)(14)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Unit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8/28/2014</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10.68%</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Warrants</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8/28/2014</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2/28/2007</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1,680,161</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1,158,448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Investments Incorporated)</w:t>
            </w:r>
            <w:r>
              <w:rPr>
                <w:rFonts w:ascii="Arial" w:cs="Arial" w:eastAsia="Arial" w:hAnsi="Arial"/>
                <w:sz w:val="29"/>
                <w:szCs w:val="29"/>
                <w:color w:val="auto"/>
                <w:vertAlign w:val="superscript"/>
              </w:rPr>
              <w:t>(8)(14)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Media: Advertising, Printing &amp; Publishing</w:t>
            </w:r>
          </w:p>
        </w:tc>
        <w:tc>
          <w:tcPr>
            <w:tcW w:w="24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Common</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10/23/2008</w:t>
            </w:r>
          </w:p>
        </w:tc>
        <w:tc>
          <w:tcPr>
            <w:tcW w:w="1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1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3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 of net asset value at fair value)</w:t>
            </w:r>
          </w:p>
        </w:tc>
        <w:tc>
          <w:tcPr>
            <w:tcW w:w="10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10,571,007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4,251,111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Initial</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2"/>
              </w:rPr>
              <w:t>Investment</w:t>
            </w:r>
            <w:r>
              <w:rPr>
                <w:rFonts w:ascii="Arial" w:cs="Arial" w:eastAsia="Arial" w:hAnsi="Arial"/>
                <w:sz w:val="30"/>
                <w:szCs w:val="30"/>
                <w:b w:val="1"/>
                <w:bCs w:val="1"/>
                <w:color w:val="auto"/>
                <w:w w:val="82"/>
                <w:vertAlign w:val="superscript"/>
              </w:rPr>
              <w:t>16,11</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Acquisition</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740"/>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3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9"/>
              </w:rPr>
              <w:t>Subordinated Securities, effective interest</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98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rPr>
              <w:t>Grant Grove CLO, Ltd.</w:t>
            </w:r>
            <w:r>
              <w:rPr>
                <w:rFonts w:ascii="Arial" w:cs="Arial" w:eastAsia="Arial" w:hAnsi="Arial"/>
                <w:sz w:val="30"/>
                <w:szCs w:val="30"/>
                <w:color w:val="auto"/>
                <w:vertAlign w:val="superscript"/>
              </w:rPr>
              <w:t>(3)(12)(14)</w:t>
            </w:r>
          </w:p>
        </w:tc>
        <w:tc>
          <w:tcPr>
            <w:tcW w:w="3540" w:type="dxa"/>
            <w:vAlign w:val="bottom"/>
            <w:gridSpan w:val="3"/>
            <w:shd w:val="clear" w:color="auto" w:fill="CCEEFF"/>
          </w:tcPr>
          <w:p>
            <w:pPr>
              <w:ind w:left="120"/>
              <w:spacing w:after="0" w:line="266" w:lineRule="exact"/>
              <w:rPr>
                <w:sz w:val="20"/>
                <w:szCs w:val="20"/>
                <w:color w:val="auto"/>
              </w:rPr>
            </w:pPr>
            <w:r>
              <w:rPr>
                <w:rFonts w:ascii="Arial" w:cs="Arial" w:eastAsia="Arial" w:hAnsi="Arial"/>
                <w:sz w:val="18"/>
                <w:szCs w:val="18"/>
                <w:color w:val="auto"/>
              </w:rPr>
              <w:t>N/M</w:t>
            </w:r>
            <w:r>
              <w:rPr>
                <w:rFonts w:ascii="Arial" w:cs="Arial" w:eastAsia="Arial" w:hAnsi="Arial"/>
                <w:sz w:val="30"/>
                <w:szCs w:val="30"/>
                <w:color w:val="auto"/>
                <w:vertAlign w:val="superscript"/>
              </w:rPr>
              <w:t>17</w:t>
            </w:r>
            <w:r>
              <w:rPr>
                <w:rFonts w:ascii="Arial" w:cs="Arial" w:eastAsia="Arial" w:hAnsi="Arial"/>
                <w:sz w:val="18"/>
                <w:szCs w:val="18"/>
                <w:color w:val="auto"/>
              </w:rPr>
              <w:t>, 1/21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3/13/2007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2,485,886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54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Subordinated Securities, effective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line="266" w:lineRule="exact"/>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tc>
        <w:tc>
          <w:tcPr>
            <w:tcW w:w="3540" w:type="dxa"/>
            <w:vAlign w:val="bottom"/>
            <w:gridSpan w:val="3"/>
          </w:tcPr>
          <w:p>
            <w:pPr>
              <w:ind w:left="120"/>
              <w:spacing w:after="0" w:line="266" w:lineRule="exact"/>
              <w:rPr>
                <w:sz w:val="20"/>
                <w:szCs w:val="20"/>
                <w:color w:val="auto"/>
              </w:rPr>
            </w:pPr>
            <w:r>
              <w:rPr>
                <w:rFonts w:ascii="Arial" w:cs="Arial" w:eastAsia="Arial" w:hAnsi="Arial"/>
                <w:sz w:val="18"/>
                <w:szCs w:val="18"/>
                <w:color w:val="auto"/>
              </w:rPr>
              <w:t>N/M</w:t>
            </w:r>
            <w:r>
              <w:rPr>
                <w:rFonts w:ascii="Arial" w:cs="Arial" w:eastAsia="Arial" w:hAnsi="Arial"/>
                <w:sz w:val="30"/>
                <w:szCs w:val="30"/>
                <w:color w:val="auto"/>
                <w:vertAlign w:val="superscript"/>
              </w:rPr>
              <w:t>17</w:t>
            </w:r>
            <w:r>
              <w:rPr>
                <w:rFonts w:ascii="Arial" w:cs="Arial" w:eastAsia="Arial" w:hAnsi="Arial"/>
                <w:sz w:val="18"/>
                <w:szCs w:val="18"/>
                <w:color w:val="auto"/>
              </w:rPr>
              <w:t>, 5/15 maturity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12/11/2006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ind w:left="120"/>
              <w:spacing w:after="0" w:line="206" w:lineRule="exact"/>
              <w:rPr>
                <w:sz w:val="20"/>
                <w:szCs w:val="20"/>
                <w:color w:val="auto"/>
              </w:rPr>
            </w:pPr>
            <w:r>
              <w:rPr>
                <w:rFonts w:ascii="Arial" w:cs="Arial" w:eastAsia="Arial" w:hAnsi="Arial"/>
                <w:sz w:val="18"/>
                <w:szCs w:val="18"/>
                <w:color w:val="auto"/>
              </w:rPr>
              <w:t>Subordinated Securities, effective interest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980" w:type="dxa"/>
            <w:vAlign w:val="bottom"/>
            <w:shd w:val="clear" w:color="auto" w:fill="CCEEFF"/>
          </w:tcPr>
          <w:p>
            <w:pPr>
              <w:spacing w:after="0" w:line="266" w:lineRule="exact"/>
              <w:rPr>
                <w:sz w:val="20"/>
                <w:szCs w:val="20"/>
                <w:color w:val="auto"/>
              </w:rPr>
            </w:pPr>
            <w:r>
              <w:rPr>
                <w:rFonts w:ascii="Arial" w:cs="Arial" w:eastAsia="Arial" w:hAnsi="Arial"/>
                <w:sz w:val="18"/>
                <w:szCs w:val="18"/>
                <w:color w:val="auto"/>
                <w:w w:val="92"/>
              </w:rPr>
              <w:t>Katonah 2007-I CLO Ltd.</w:t>
            </w:r>
            <w:r>
              <w:rPr>
                <w:rFonts w:ascii="Arial" w:cs="Arial" w:eastAsia="Arial" w:hAnsi="Arial"/>
                <w:sz w:val="30"/>
                <w:szCs w:val="30"/>
                <w:color w:val="auto"/>
                <w:w w:val="92"/>
                <w:vertAlign w:val="superscript"/>
              </w:rPr>
              <w:t>(3)(6)(12)(14)</w:t>
            </w:r>
          </w:p>
        </w:tc>
        <w:tc>
          <w:tcPr>
            <w:tcW w:w="3540" w:type="dxa"/>
            <w:vAlign w:val="bottom"/>
            <w:gridSpan w:val="3"/>
            <w:shd w:val="clear" w:color="auto" w:fill="CCEEFF"/>
          </w:tcPr>
          <w:p>
            <w:pPr>
              <w:ind w:left="120"/>
              <w:spacing w:after="0" w:line="266" w:lineRule="exact"/>
              <w:rPr>
                <w:sz w:val="20"/>
                <w:szCs w:val="20"/>
                <w:color w:val="auto"/>
              </w:rPr>
            </w:pPr>
            <w:r>
              <w:rPr>
                <w:rFonts w:ascii="Arial" w:cs="Arial" w:eastAsia="Arial" w:hAnsi="Arial"/>
                <w:sz w:val="18"/>
                <w:szCs w:val="18"/>
                <w:color w:val="auto"/>
              </w:rPr>
              <w:t>N/M</w:t>
            </w:r>
            <w:r>
              <w:rPr>
                <w:rFonts w:ascii="Arial" w:cs="Arial" w:eastAsia="Arial" w:hAnsi="Arial"/>
                <w:sz w:val="30"/>
                <w:szCs w:val="30"/>
                <w:color w:val="auto"/>
                <w:vertAlign w:val="superscript"/>
              </w:rPr>
              <w:t>17</w:t>
            </w:r>
            <w:r>
              <w:rPr>
                <w:rFonts w:ascii="Arial" w:cs="Arial" w:eastAsia="Arial" w:hAnsi="Arial"/>
                <w:sz w:val="18"/>
                <w:szCs w:val="18"/>
                <w:color w:val="auto"/>
              </w:rPr>
              <w:t>, 4/22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1/23/2008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10,309,141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54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Subordinated Securities, effective interest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000" w:type="dxa"/>
            <w:vAlign w:val="bottom"/>
            <w:gridSpan w:val="2"/>
          </w:tcPr>
          <w:p>
            <w:pPr>
              <w:spacing w:after="0" w:line="266" w:lineRule="exact"/>
              <w:rPr>
                <w:sz w:val="20"/>
                <w:szCs w:val="20"/>
                <w:color w:val="auto"/>
              </w:rPr>
            </w:pPr>
            <w:r>
              <w:rPr>
                <w:rFonts w:ascii="Arial" w:cs="Arial" w:eastAsia="Arial" w:hAnsi="Arial"/>
                <w:sz w:val="18"/>
                <w:szCs w:val="18"/>
                <w:color w:val="auto"/>
                <w:w w:val="98"/>
              </w:rPr>
              <w:t>Trimaran CLO VII, Ltd.</w:t>
            </w:r>
            <w:r>
              <w:rPr>
                <w:rFonts w:ascii="Arial" w:cs="Arial" w:eastAsia="Arial" w:hAnsi="Arial"/>
                <w:sz w:val="30"/>
                <w:szCs w:val="30"/>
                <w:color w:val="auto"/>
                <w:w w:val="98"/>
                <w:vertAlign w:val="superscript"/>
              </w:rPr>
              <w:t>(3)(6)(12)(14)</w:t>
            </w:r>
          </w:p>
        </w:tc>
        <w:tc>
          <w:tcPr>
            <w:tcW w:w="3540" w:type="dxa"/>
            <w:vAlign w:val="bottom"/>
            <w:gridSpan w:val="3"/>
          </w:tcPr>
          <w:p>
            <w:pPr>
              <w:ind w:left="120"/>
              <w:spacing w:after="0" w:line="266" w:lineRule="exact"/>
              <w:rPr>
                <w:sz w:val="20"/>
                <w:szCs w:val="20"/>
                <w:color w:val="auto"/>
              </w:rPr>
            </w:pPr>
            <w:r>
              <w:rPr>
                <w:rFonts w:ascii="Arial" w:cs="Arial" w:eastAsia="Arial" w:hAnsi="Arial"/>
                <w:sz w:val="18"/>
                <w:szCs w:val="18"/>
                <w:color w:val="auto"/>
              </w:rPr>
              <w:t>N/M</w:t>
            </w:r>
            <w:r>
              <w:rPr>
                <w:rFonts w:ascii="Arial" w:cs="Arial" w:eastAsia="Arial" w:hAnsi="Arial"/>
                <w:sz w:val="30"/>
                <w:szCs w:val="30"/>
                <w:color w:val="auto"/>
                <w:vertAlign w:val="superscript"/>
              </w:rPr>
              <w:t>17</w:t>
            </w:r>
            <w:r>
              <w:rPr>
                <w:rFonts w:ascii="Arial" w:cs="Arial" w:eastAsia="Arial" w:hAnsi="Arial"/>
                <w:sz w:val="18"/>
                <w:szCs w:val="18"/>
                <w:color w:val="auto"/>
              </w:rPr>
              <w:t>, 6/21 maturity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2/29/2012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5"/>
              </w:rPr>
              <w:t>Catamaran CLO 2012-1 Ltd.</w:t>
            </w:r>
            <w:r>
              <w:rPr>
                <w:rFonts w:ascii="Arial" w:cs="Arial" w:eastAsia="Arial" w:hAnsi="Arial"/>
                <w:sz w:val="30"/>
                <w:szCs w:val="30"/>
                <w:color w:val="auto"/>
                <w:w w:val="85"/>
                <w:vertAlign w:val="superscript"/>
              </w:rPr>
              <w:t>(3)(6)(12)(14)</w:t>
            </w: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vMerge w:val="continue"/>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10.5%, 12/23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12/20/2012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3,568,581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w w:val="94"/>
              </w:rPr>
              <w:t>Catamaran CLO 2013- 1 Ltd.</w:t>
            </w:r>
            <w:r>
              <w:rPr>
                <w:rFonts w:ascii="Arial" w:cs="Arial" w:eastAsia="Arial" w:hAnsi="Arial"/>
                <w:sz w:val="30"/>
                <w:szCs w:val="30"/>
                <w:color w:val="auto"/>
                <w:w w:val="94"/>
                <w:vertAlign w:val="superscript"/>
              </w:rPr>
              <w:t>(3)(6)(14)</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00" w:type="dxa"/>
            <w:vAlign w:val="bottom"/>
            <w:gridSpan w:val="2"/>
            <w:vMerge w:val="continue"/>
          </w:tcPr>
          <w:p>
            <w:pPr>
              <w:spacing w:after="0"/>
              <w:rPr>
                <w:sz w:val="21"/>
                <w:szCs w:val="21"/>
                <w:color w:val="auto"/>
              </w:rPr>
            </w:pP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21.2%, 1/28 maturity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6/4/2013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4,938,710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5,974,982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Catamaran CLO 2014-1 Ltd.</w:t>
            </w:r>
            <w:r>
              <w:rPr>
                <w:rFonts w:ascii="Arial" w:cs="Arial" w:eastAsia="Arial" w:hAnsi="Arial"/>
                <w:sz w:val="30"/>
                <w:szCs w:val="30"/>
                <w:color w:val="auto"/>
                <w:w w:val="94"/>
                <w:vertAlign w:val="superscript"/>
              </w:rPr>
              <w:t>(3)(6)(14)</w:t>
            </w: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vMerge w:val="continue"/>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13.7%, 4/30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5/6/2014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9,838,586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9,444,045</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Dryden 30 Senior Loan Fund</w:t>
            </w:r>
            <w:r>
              <w:rPr>
                <w:rFonts w:ascii="Arial" w:cs="Arial" w:eastAsia="Arial" w:hAnsi="Arial"/>
                <w:sz w:val="30"/>
                <w:szCs w:val="30"/>
                <w:color w:val="auto"/>
                <w:vertAlign w:val="superscript"/>
              </w:rPr>
              <w:t>(3)(14)</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00" w:type="dxa"/>
            <w:vAlign w:val="bottom"/>
            <w:gridSpan w:val="2"/>
            <w:vMerge w:val="continue"/>
          </w:tcPr>
          <w:p>
            <w:pPr>
              <w:spacing w:after="0"/>
              <w:rPr>
                <w:sz w:val="21"/>
                <w:szCs w:val="21"/>
                <w:color w:val="auto"/>
              </w:rPr>
            </w:pP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28.7%, 12/29 maturity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10/10/2013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1,395,797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2,057,241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Catamaran CLO 2014-2 Ltd.</w:t>
            </w:r>
            <w:r>
              <w:rPr>
                <w:rFonts w:ascii="Arial" w:cs="Arial" w:eastAsia="Arial" w:hAnsi="Arial"/>
                <w:sz w:val="30"/>
                <w:szCs w:val="30"/>
                <w:color w:val="auto"/>
                <w:w w:val="94"/>
                <w:vertAlign w:val="superscript"/>
              </w:rPr>
              <w:t>(3)(6)(14)</w:t>
            </w: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980" w:type="dxa"/>
            <w:vAlign w:val="bottom"/>
            <w:vMerge w:val="continue"/>
            <w:shd w:val="clear" w:color="auto" w:fill="CCEEFF"/>
          </w:tcPr>
          <w:p>
            <w:pPr>
              <w:spacing w:after="0"/>
              <w:rPr>
                <w:sz w:val="21"/>
                <w:szCs w:val="21"/>
                <w:color w:val="auto"/>
              </w:rPr>
            </w:pP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10.7%, 11/25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8/15/2014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6,488,780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4,021,183</w:t>
            </w:r>
          </w:p>
        </w:tc>
        <w:tc>
          <w:tcPr>
            <w:tcW w:w="0" w:type="dxa"/>
            <w:vAlign w:val="bottom"/>
          </w:tcPr>
          <w:p>
            <w:pPr>
              <w:spacing w:after="0"/>
              <w:rPr>
                <w:sz w:val="1"/>
                <w:szCs w:val="1"/>
                <w:color w:val="auto"/>
              </w:rPr>
            </w:pPr>
          </w:p>
        </w:tc>
      </w:tr>
      <w:tr>
        <w:trPr>
          <w:trHeight w:val="230"/>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w w:val="95"/>
              </w:rPr>
              <w:t>Catamaran CLO 2015-1 Ltd.</w:t>
            </w:r>
            <w:r>
              <w:rPr>
                <w:rFonts w:ascii="Arial" w:cs="Arial" w:eastAsia="Arial" w:hAnsi="Arial"/>
                <w:sz w:val="30"/>
                <w:szCs w:val="30"/>
                <w:color w:val="auto"/>
                <w:w w:val="95"/>
                <w:vertAlign w:val="superscript"/>
              </w:rPr>
              <w:t>(3)(6)(14)</w:t>
            </w: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000" w:type="dxa"/>
            <w:vAlign w:val="bottom"/>
            <w:gridSpan w:val="2"/>
            <w:vMerge w:val="continue"/>
          </w:tcPr>
          <w:p>
            <w:pPr>
              <w:spacing w:after="0"/>
              <w:rPr>
                <w:sz w:val="21"/>
                <w:szCs w:val="21"/>
                <w:color w:val="auto"/>
              </w:rPr>
            </w:pPr>
          </w:p>
        </w:tc>
        <w:tc>
          <w:tcPr>
            <w:tcW w:w="3540" w:type="dxa"/>
            <w:vAlign w:val="bottom"/>
            <w:gridSpan w:val="3"/>
          </w:tcPr>
          <w:p>
            <w:pPr>
              <w:ind w:left="120"/>
              <w:spacing w:after="0"/>
              <w:rPr>
                <w:sz w:val="20"/>
                <w:szCs w:val="20"/>
                <w:color w:val="auto"/>
              </w:rPr>
            </w:pPr>
            <w:r>
              <w:rPr>
                <w:rFonts w:ascii="Arial" w:cs="Arial" w:eastAsia="Arial" w:hAnsi="Arial"/>
                <w:sz w:val="18"/>
                <w:szCs w:val="18"/>
                <w:color w:val="auto"/>
              </w:rPr>
              <w:t>12.1%, 10/26 maturity</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5/5/2015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4,455,464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3,307,190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4"/>
              </w:rPr>
              <w:t>Catamaran CLO 2016-1 Ltd.</w:t>
            </w:r>
            <w:r>
              <w:rPr>
                <w:rFonts w:ascii="Arial" w:cs="Arial" w:eastAsia="Arial" w:hAnsi="Arial"/>
                <w:sz w:val="30"/>
                <w:szCs w:val="30"/>
                <w:color w:val="auto"/>
                <w:w w:val="94"/>
                <w:vertAlign w:val="superscript"/>
              </w:rPr>
              <w:t>(3)(6)(14)</w:t>
            </w: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Securities, effective interest</w:t>
            </w: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vMerge w:val="continue"/>
            <w:shd w:val="clear" w:color="auto" w:fill="CCEEFF"/>
          </w:tcPr>
          <w:p>
            <w:pPr>
              <w:spacing w:after="0"/>
              <w:rPr>
                <w:sz w:val="22"/>
                <w:szCs w:val="22"/>
                <w:color w:val="auto"/>
              </w:rPr>
            </w:pP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9.1%, 4/27 maturity</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12/21/2016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9,912,304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7,850,221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55,060,234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33,285,142</w:t>
            </w:r>
          </w:p>
        </w:tc>
        <w:tc>
          <w:tcPr>
            <w:tcW w:w="0" w:type="dxa"/>
            <w:vAlign w:val="bottom"/>
          </w:tcPr>
          <w:p>
            <w:pPr>
              <w:spacing w:after="0"/>
              <w:rPr>
                <w:sz w:val="1"/>
                <w:szCs w:val="1"/>
                <w:color w:val="auto"/>
              </w:rPr>
            </w:pPr>
          </w:p>
        </w:tc>
      </w:tr>
      <w:tr>
        <w:trPr>
          <w:trHeight w:val="426"/>
        </w:trPr>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Initial</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5"/>
              </w:rPr>
              <w:t>Investment</w:t>
            </w:r>
            <w:r>
              <w:rPr>
                <w:rFonts w:ascii="Arial" w:cs="Arial" w:eastAsia="Arial" w:hAnsi="Arial"/>
                <w:sz w:val="30"/>
                <w:szCs w:val="30"/>
                <w:b w:val="1"/>
                <w:bCs w:val="1"/>
                <w:color w:val="auto"/>
                <w:w w:val="85"/>
                <w:vertAlign w:val="superscript"/>
              </w:rPr>
              <w:t>16</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Acquisition</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tcPr>
          <w:p>
            <w:pPr>
              <w:ind w:left="740"/>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KCAP F3C Senior Funding LLC</w:t>
            </w:r>
            <w:r>
              <w:rPr>
                <w:rFonts w:ascii="Arial" w:cs="Arial" w:eastAsia="Arial" w:hAnsi="Arial"/>
                <w:sz w:val="27"/>
                <w:szCs w:val="27"/>
                <w:color w:val="auto"/>
                <w:vertAlign w:val="superscript"/>
              </w:rPr>
              <w:t>(6)(14)</w:t>
            </w:r>
          </w:p>
        </w:tc>
        <w:tc>
          <w:tcPr>
            <w:tcW w:w="120" w:type="dxa"/>
            <w:vAlign w:val="bottom"/>
            <w:tcBorders>
              <w:top w:val="single" w:sz="8" w:color="CCEEFF"/>
            </w:tcBorders>
            <w:shd w:val="clear" w:color="auto" w:fill="CCEEFF"/>
          </w:tcPr>
          <w:p>
            <w:pPr>
              <w:spacing w:after="0"/>
              <w:rPr>
                <w:sz w:val="20"/>
                <w:szCs w:val="20"/>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Class E Notes, 9.8% Cash, 3 month LIBOR</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(18)</w:t>
            </w:r>
          </w:p>
        </w:tc>
        <w:tc>
          <w:tcPr>
            <w:tcW w:w="35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(2.34%) + 7.50%, Due 12/29</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10/24/2017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4,386,066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4,687,843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 CLO Rated-Note</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4,386,066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4,687,843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Fund 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0"/>
              </w:rPr>
              <w:t>(22% of net asset value at fair value)</w:t>
            </w:r>
          </w:p>
        </w:tc>
        <w:tc>
          <w:tcPr>
            <w:tcW w:w="120" w:type="dxa"/>
            <w:vAlign w:val="bottom"/>
            <w:shd w:val="clear" w:color="auto" w:fill="CCEEFF"/>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59,446,300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37,972,985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Initial</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2"/>
            <w:vMerge w:val="restart"/>
          </w:tcPr>
          <w:p>
            <w:pPr>
              <w:ind w:left="120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16</w:t>
            </w:r>
          </w:p>
        </w:tc>
        <w:tc>
          <w:tcPr>
            <w:tcW w:w="1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4"/>
              </w:rPr>
              <w:t>Percentage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w w:val="91"/>
              </w:rPr>
              <w:t>Portfolio Company / Principal Business</w:t>
            </w:r>
          </w:p>
        </w:tc>
        <w:tc>
          <w:tcPr>
            <w:tcW w:w="8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Ownership</w:t>
            </w: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20" w:type="dxa"/>
            <w:vAlign w:val="bottom"/>
            <w:tcBorders>
              <w:right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(8)(9)(14)</w:t>
            </w:r>
          </w:p>
        </w:tc>
        <w:tc>
          <w:tcPr>
            <w:tcW w:w="80" w:type="dxa"/>
            <w:vAlign w:val="bottom"/>
            <w:shd w:val="clear" w:color="auto" w:fill="CCEEFF"/>
          </w:tcPr>
          <w:p>
            <w:pPr>
              <w:spacing w:after="0"/>
              <w:rPr>
                <w:sz w:val="22"/>
                <w:szCs w:val="22"/>
                <w:color w:val="auto"/>
              </w:rPr>
            </w:pPr>
          </w:p>
        </w:tc>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12/11/2006</w:t>
            </w:r>
          </w:p>
        </w:tc>
        <w:tc>
          <w:tcPr>
            <w:tcW w:w="10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51,591,230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36,853,000</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620" w:type="dxa"/>
            <w:vAlign w:val="bottom"/>
            <w:tcBorders>
              <w:right w:val="single" w:sz="8" w:color="CCEEFF"/>
            </w:tcBorders>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(21% of net asset value at fair value)</w:t>
            </w:r>
          </w:p>
        </w:tc>
        <w:tc>
          <w:tcPr>
            <w:tcW w:w="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51,591,230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36,853,000</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Joint Ventures</w:t>
            </w: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7"/>
              </w:rPr>
              <w:t>Initial</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2"/>
            <w:vMerge w:val="restart"/>
          </w:tcPr>
          <w:p>
            <w:pPr>
              <w:ind w:left="120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16</w:t>
            </w:r>
          </w:p>
        </w:tc>
        <w:tc>
          <w:tcPr>
            <w:tcW w:w="100" w:type="dxa"/>
            <w:vAlign w:val="bottom"/>
          </w:tcPr>
          <w:p>
            <w:pPr>
              <w:spacing w:after="0"/>
              <w:rPr>
                <w:sz w:val="18"/>
                <w:szCs w:val="18"/>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Acquisition</w:t>
            </w:r>
          </w:p>
        </w:tc>
        <w:tc>
          <w:tcPr>
            <w:tcW w:w="1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4"/>
              </w:rPr>
              <w:t>Percentage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w w:val="91"/>
              </w:rPr>
              <w:t>Portfolio Company / Principal Business</w:t>
            </w:r>
          </w:p>
        </w:tc>
        <w:tc>
          <w:tcPr>
            <w:tcW w:w="8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3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8"/>
              </w:rPr>
              <w:t>Ownership</w:t>
            </w:r>
          </w:p>
        </w:tc>
        <w:tc>
          <w:tcPr>
            <w:tcW w:w="10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20" w:type="dxa"/>
            <w:vAlign w:val="bottom"/>
            <w:tcBorders>
              <w:right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(14)(18)</w:t>
            </w:r>
          </w:p>
        </w:tc>
        <w:tc>
          <w:tcPr>
            <w:tcW w:w="80" w:type="dxa"/>
            <w:vAlign w:val="bottom"/>
            <w:shd w:val="clear" w:color="auto" w:fill="CCEEFF"/>
          </w:tcPr>
          <w:p>
            <w:pPr>
              <w:spacing w:after="0"/>
              <w:rPr>
                <w:sz w:val="22"/>
                <w:szCs w:val="22"/>
                <w:color w:val="auto"/>
              </w:rPr>
            </w:pPr>
          </w:p>
        </w:tc>
        <w:tc>
          <w:tcPr>
            <w:tcW w:w="34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0" w:type="dxa"/>
            <w:vAlign w:val="bottom"/>
            <w:shd w:val="clear" w:color="auto" w:fill="CCEEFF"/>
          </w:tcPr>
          <w:p>
            <w:pPr>
              <w:spacing w:after="0"/>
              <w:rPr>
                <w:sz w:val="22"/>
                <w:szCs w:val="22"/>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7/19/2017</w:t>
            </w:r>
          </w:p>
        </w:tc>
        <w:tc>
          <w:tcPr>
            <w:tcW w:w="10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24,914,858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21,091,494</w:t>
            </w:r>
          </w:p>
        </w:tc>
        <w:tc>
          <w:tcPr>
            <w:tcW w:w="1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Joint Ventures</w:t>
            </w:r>
          </w:p>
        </w:tc>
        <w:tc>
          <w:tcPr>
            <w:tcW w:w="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4"/>
              </w:rPr>
              <w:t>(12% of net asset value at fair value)</w:t>
            </w:r>
          </w:p>
        </w:tc>
        <w:tc>
          <w:tcPr>
            <w:tcW w:w="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24,914,858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21,091,494</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7"/>
              </w:rPr>
              <w:t>Initial</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20" w:type="dxa"/>
            <w:vAlign w:val="bottom"/>
            <w:gridSpan w:val="2"/>
            <w:vMerge w:val="restart"/>
          </w:tcPr>
          <w:p>
            <w:pPr>
              <w:ind w:left="108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16</w:t>
            </w:r>
          </w:p>
        </w:tc>
        <w:tc>
          <w:tcPr>
            <w:tcW w:w="11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3"/>
              </w:rPr>
              <w:t>Acquisition</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9"/>
              </w:rPr>
              <w:t>Par /Amortized</w:t>
            </w: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8"/>
                <w:szCs w:val="18"/>
                <w:b w:val="1"/>
                <w:bCs w:val="1"/>
                <w:color w:val="auto"/>
                <w:w w:val="90"/>
              </w:rPr>
              <w:t>Fair Value</w:t>
            </w:r>
            <w:r>
              <w:rPr>
                <w:rFonts w:ascii="Arial" w:cs="Arial" w:eastAsia="Arial" w:hAnsi="Arial"/>
                <w:sz w:val="30"/>
                <w:szCs w:val="30"/>
                <w:b w:val="1"/>
                <w:bCs w:val="1"/>
                <w:color w:val="auto"/>
                <w:w w:val="90"/>
                <w:vertAlign w:val="superscript"/>
              </w:rPr>
              <w:t>2</w:t>
            </w: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Short-term Investments</w:t>
            </w:r>
          </w:p>
        </w:tc>
        <w:tc>
          <w:tcPr>
            <w:tcW w:w="80" w:type="dxa"/>
            <w:vAlign w:val="bottom"/>
          </w:tcPr>
          <w:p>
            <w:pPr>
              <w:spacing w:after="0"/>
              <w:rPr>
                <w:sz w:val="20"/>
                <w:szCs w:val="20"/>
                <w:color w:val="auto"/>
              </w:rPr>
            </w:pPr>
          </w:p>
        </w:tc>
        <w:tc>
          <w:tcPr>
            <w:tcW w:w="34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Date</w:t>
            </w:r>
          </w:p>
        </w:tc>
        <w:tc>
          <w:tcPr>
            <w:tcW w:w="130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Yield</w:t>
            </w:r>
          </w:p>
        </w:tc>
        <w:tc>
          <w:tcPr>
            <w:tcW w:w="100" w:type="dxa"/>
            <w:vAlign w:val="bottom"/>
          </w:tcPr>
          <w:p>
            <w:pPr>
              <w:spacing w:after="0"/>
              <w:rPr>
                <w:sz w:val="20"/>
                <w:szCs w:val="20"/>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right w:val="single" w:sz="8" w:color="CCEEFF"/>
            </w:tcBorders>
            <w:shd w:val="clear" w:color="auto" w:fill="000000"/>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20" w:type="dxa"/>
            <w:vAlign w:val="bottom"/>
            <w:tcBorders>
              <w:right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w w:val="99"/>
              </w:rPr>
              <w:t>US Bank Money Market Account</w:t>
            </w:r>
            <w:r>
              <w:rPr>
                <w:rFonts w:ascii="Arial" w:cs="Arial" w:eastAsia="Arial" w:hAnsi="Arial"/>
                <w:sz w:val="30"/>
                <w:szCs w:val="30"/>
                <w:color w:val="auto"/>
                <w:w w:val="99"/>
                <w:vertAlign w:val="superscript"/>
              </w:rPr>
              <w:t>(7)(8)</w:t>
            </w: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9"/>
              </w:rPr>
              <w:t>N/A</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0.20%  $</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11,454,078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11,454,078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120" w:type="dxa"/>
            <w:vAlign w:val="bottom"/>
            <w:tcBorders>
              <w:right w:val="single" w:sz="8" w:color="CCEEFF"/>
            </w:tcBorders>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8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7"/>
              </w:rPr>
              <w:t>(7% of net asset value at fair value)</w:t>
            </w:r>
          </w:p>
        </w:tc>
        <w:tc>
          <w:tcPr>
            <w:tcW w:w="80" w:type="dxa"/>
            <w:vAlign w:val="bottom"/>
            <w:shd w:val="clear" w:color="auto" w:fill="CCEEFF"/>
          </w:tcPr>
          <w:p>
            <w:pPr>
              <w:spacing w:after="0"/>
              <w:rPr>
                <w:sz w:val="21"/>
                <w:szCs w:val="21"/>
                <w:color w:val="auto"/>
              </w:rPr>
            </w:pPr>
          </w:p>
        </w:tc>
        <w:tc>
          <w:tcPr>
            <w:tcW w:w="32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7"/>
              </w:rPr>
              <w:t>11,454,078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11,454,078</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vMerge w:val="restart"/>
          </w:tcPr>
          <w:p>
            <w:pPr>
              <w:spacing w:after="0" w:line="28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328,224,071</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 xml:space="preserve"> 273,761,914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right="100" w:hanging="350"/>
        <w:spacing w:after="0" w:line="224" w:lineRule="auto"/>
        <w:tabs>
          <w:tab w:leader="none" w:pos="38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June 30, 2018. As noted in the table above, 83% (based on par) of debt securities contain LIBOR floors which range between 1.00% and 3.0%.</w:t>
      </w:r>
    </w:p>
    <w:p>
      <w:pPr>
        <w:spacing w:after="0" w:line="87" w:lineRule="exact"/>
        <w:rPr>
          <w:sz w:val="20"/>
          <w:szCs w:val="20"/>
          <w:color w:val="auto"/>
        </w:rPr>
      </w:pPr>
    </w:p>
    <w:p>
      <w:pPr>
        <w:ind w:left="380" w:hanging="350"/>
        <w:spacing w:after="0"/>
        <w:tabs>
          <w:tab w:leader="none" w:pos="38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June 30, 2018, as determined by the Company’s Board of Directors.</w:t>
      </w:r>
    </w:p>
    <w:p>
      <w:pPr>
        <w:spacing w:after="0" w:line="87" w:lineRule="exact"/>
        <w:rPr>
          <w:sz w:val="20"/>
          <w:szCs w:val="20"/>
          <w:color w:val="auto"/>
        </w:rPr>
      </w:pPr>
    </w:p>
    <w:p>
      <w:pPr>
        <w:ind w:left="380" w:hanging="350"/>
        <w:spacing w:after="0"/>
        <w:tabs>
          <w:tab w:leader="none" w:pos="38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80" w:right="600" w:hanging="350"/>
        <w:spacing w:after="0" w:line="209" w:lineRule="auto"/>
        <w:tabs>
          <w:tab w:leader="none" w:pos="38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$328 million. The aggregate gross unrealized appreciation is approximately $1.0 million, the aggregate gross unrealized depreciation is approximately $55.4 million, and the net unrealized depreciation is approximately $54.4 million.</w:t>
      </w:r>
    </w:p>
    <w:p>
      <w:pPr>
        <w:spacing w:after="0" w:line="89" w:lineRule="exact"/>
        <w:rPr>
          <w:sz w:val="20"/>
          <w:szCs w:val="20"/>
          <w:color w:val="auto"/>
        </w:rPr>
      </w:pPr>
    </w:p>
    <w:p>
      <w:pPr>
        <w:ind w:left="380" w:hanging="350"/>
        <w:spacing w:after="0"/>
        <w:tabs>
          <w:tab w:leader="none" w:pos="38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10" w:lineRule="exact"/>
        <w:rPr>
          <w:sz w:val="20"/>
          <w:szCs w:val="20"/>
          <w:color w:val="auto"/>
        </w:rPr>
      </w:pPr>
    </w:p>
    <w:p>
      <w:pPr>
        <w:ind w:left="380" w:hanging="350"/>
        <w:spacing w:after="0"/>
        <w:tabs>
          <w:tab w:leader="none" w:pos="38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80" w:hanging="350"/>
        <w:spacing w:after="0"/>
        <w:tabs>
          <w:tab w:leader="none" w:pos="38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Money market account.</w:t>
      </w:r>
    </w:p>
    <w:p>
      <w:pPr>
        <w:spacing w:after="0" w:line="202" w:lineRule="exact"/>
        <w:rPr>
          <w:sz w:val="20"/>
          <w:szCs w:val="20"/>
          <w:color w:val="auto"/>
        </w:rPr>
      </w:pPr>
    </w:p>
    <w:p>
      <w:pPr>
        <w:ind w:left="380" w:right="660" w:hanging="350"/>
        <w:spacing w:after="0" w:line="194" w:lineRule="auto"/>
        <w:tabs>
          <w:tab w:leader="none" w:pos="3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amended (the “1940 Act”). Qualifying assets represent approximately 78% of the total investments at June 30, 2018.</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left="350" w:right="180" w:hanging="350"/>
        <w:spacing w:after="0" w:line="218" w:lineRule="auto"/>
        <w:tabs>
          <w:tab w:leader="none" w:pos="35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The Company is deemed to “Control” and be an “Affiliated Person” of the Asset Manager Affiliates, each as defined in the 1940 Act, as the Company owns 100% of each Asset Manager Affiliate’s outstanding voting securities. In general, under the 1940 Act, the Company would be presumed to “Control” a portfolio company if it owned 25% or more of its voting securities and would be an “Affiliated Person” of a portfolio company if it owned 5% or more of its voting securities.</w:t>
      </w:r>
    </w:p>
    <w:p>
      <w:pPr>
        <w:spacing w:after="0" w:line="88" w:lineRule="exact"/>
        <w:rPr>
          <w:sz w:val="20"/>
          <w:szCs w:val="20"/>
          <w:color w:val="auto"/>
        </w:rPr>
      </w:pPr>
    </w:p>
    <w:p>
      <w:pPr>
        <w:ind w:left="350" w:hanging="350"/>
        <w:spacing w:after="0"/>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50" w:right="140" w:hanging="350"/>
        <w:spacing w:after="0" w:line="218"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50" w:hanging="350"/>
        <w:spacing w:after="0"/>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163" w:lineRule="exact"/>
        <w:rPr>
          <w:rFonts w:ascii="Arial" w:cs="Arial" w:eastAsia="Arial" w:hAnsi="Arial"/>
          <w:sz w:val="30"/>
          <w:szCs w:val="30"/>
          <w:color w:val="auto"/>
          <w:vertAlign w:val="superscript"/>
        </w:rPr>
      </w:pPr>
    </w:p>
    <w:p>
      <w:pPr>
        <w:ind w:left="350" w:hanging="350"/>
        <w:spacing w:after="0" w:line="186"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164" w:lineRule="exact"/>
        <w:rPr>
          <w:rFonts w:ascii="Arial" w:cs="Arial" w:eastAsia="Arial" w:hAnsi="Arial"/>
          <w:sz w:val="30"/>
          <w:szCs w:val="30"/>
          <w:color w:val="auto"/>
          <w:vertAlign w:val="superscript"/>
        </w:rPr>
      </w:pPr>
    </w:p>
    <w:p>
      <w:pPr>
        <w:ind w:left="350" w:hanging="350"/>
        <w:spacing w:after="0" w:line="186"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03" w:lineRule="exact"/>
        <w:rPr>
          <w:rFonts w:ascii="Arial" w:cs="Arial" w:eastAsia="Arial" w:hAnsi="Arial"/>
          <w:sz w:val="30"/>
          <w:szCs w:val="30"/>
          <w:color w:val="auto"/>
          <w:vertAlign w:val="superscript"/>
        </w:rPr>
      </w:pPr>
    </w:p>
    <w:p>
      <w:pPr>
        <w:ind w:left="350" w:right="40" w:hanging="350"/>
        <w:spacing w:after="0" w:line="238" w:lineRule="auto"/>
        <w:tabs>
          <w:tab w:leader="none" w:pos="350"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As of June 30, 2018, this investment is owned by KCAP Funding I, LLC and was pledged to secure KCAP Funding I, LLC’s debt obligation pursuant to its senior secured revolving credit facility (the “Revolving Credit Facility”) with the Company, as the servicer, certain institutional lenders, State Bank and Trust Company, as the administrative agent, lead arranger and bookrunner, and CIBC Bank USA, as documentation agent.</w:t>
      </w:r>
    </w:p>
    <w:p>
      <w:pPr>
        <w:spacing w:after="0" w:line="202" w:lineRule="exact"/>
        <w:rPr>
          <w:rFonts w:ascii="Arial" w:cs="Arial" w:eastAsia="Arial" w:hAnsi="Arial"/>
          <w:sz w:val="26"/>
          <w:szCs w:val="26"/>
          <w:color w:val="auto"/>
          <w:vertAlign w:val="superscript"/>
        </w:rPr>
      </w:pPr>
    </w:p>
    <w:p>
      <w:pPr>
        <w:ind w:left="350" w:hanging="350"/>
        <w:spacing w:after="0" w:line="209"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w:t>
      </w:r>
    </w:p>
    <w:p>
      <w:pPr>
        <w:spacing w:after="0" w:line="203" w:lineRule="exact"/>
        <w:rPr>
          <w:rFonts w:ascii="Arial" w:cs="Arial" w:eastAsia="Arial" w:hAnsi="Arial"/>
          <w:sz w:val="30"/>
          <w:szCs w:val="30"/>
          <w:color w:val="auto"/>
          <w:vertAlign w:val="superscript"/>
        </w:rPr>
      </w:pPr>
    </w:p>
    <w:p>
      <w:pPr>
        <w:ind w:left="350" w:right="80" w:hanging="350"/>
        <w:spacing w:after="0" w:line="218"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The remaining collateral in these CLO Fund portfolios are illiquid and not producing meaningful cash flows, and thus, the Company’s investment in the CLO Subordinated securities are not currently receiving periodic cash distributions. Accordingly, the Company is no longer recording any investment income from these investments, and has thus noted the effective interest as not meaningful, or N/M. The fair value of the investment reflects the Company’s estimated share of the fair value of the underlying collateral.</w:t>
      </w:r>
    </w:p>
    <w:p>
      <w:pPr>
        <w:spacing w:after="0" w:line="203" w:lineRule="exact"/>
        <w:rPr>
          <w:rFonts w:ascii="Arial" w:cs="Arial" w:eastAsia="Arial" w:hAnsi="Arial"/>
          <w:sz w:val="30"/>
          <w:szCs w:val="30"/>
          <w:color w:val="auto"/>
          <w:vertAlign w:val="superscript"/>
        </w:rPr>
      </w:pPr>
    </w:p>
    <w:p>
      <w:pPr>
        <w:ind w:left="350" w:right="420" w:hanging="350"/>
        <w:spacing w:after="0" w:line="218" w:lineRule="auto"/>
        <w:tabs>
          <w:tab w:leader="none" w:pos="350"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03" w:lineRule="exact"/>
        <w:rPr>
          <w:sz w:val="20"/>
          <w:szCs w:val="20"/>
          <w:color w:val="auto"/>
        </w:rPr>
      </w:pPr>
    </w:p>
    <w:p>
      <w:pPr>
        <w:jc w:val="center"/>
        <w:ind w:right="1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0"/>
          </w:cols>
          <w:pgMar w:left="270" w:top="90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rPr>
              <w:t>Debt Securities Portfolio</w:t>
            </w: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8"/>
              </w:rPr>
              <w:t>Investment</w:t>
            </w:r>
            <w:r>
              <w:rPr>
                <w:rFonts w:ascii="Arial" w:cs="Arial" w:eastAsia="Arial" w:hAnsi="Arial"/>
                <w:sz w:val="30"/>
                <w:szCs w:val="30"/>
                <w:b w:val="1"/>
                <w:bCs w:val="1"/>
                <w:color w:val="auto"/>
                <w:w w:val="88"/>
                <w:vertAlign w:val="superscript"/>
              </w:rPr>
              <w:t>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Amortized</w:t>
            </w:r>
          </w:p>
        </w:tc>
        <w:tc>
          <w:tcPr>
            <w:tcW w:w="100" w:type="dxa"/>
            <w:vAlign w:val="bottom"/>
          </w:tcPr>
          <w:p>
            <w:pPr>
              <w:spacing w:after="0"/>
              <w:rPr>
                <w:sz w:val="24"/>
                <w:szCs w:val="24"/>
                <w:color w:val="auto"/>
              </w:rPr>
            </w:pPr>
          </w:p>
        </w:tc>
        <w:tc>
          <w:tcPr>
            <w:tcW w:w="112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w w:val="90"/>
              </w:rPr>
              <w:t>Portfolio Company / Principal Business</w:t>
            </w:r>
          </w:p>
        </w:tc>
        <w:tc>
          <w:tcPr>
            <w:tcW w:w="100" w:type="dxa"/>
            <w:vAlign w:val="bottom"/>
          </w:tcPr>
          <w:p>
            <w:pPr>
              <w:spacing w:after="0"/>
              <w:rPr>
                <w:sz w:val="23"/>
                <w:szCs w:val="23"/>
                <w:color w:val="auto"/>
              </w:rPr>
            </w:pPr>
          </w:p>
        </w:tc>
        <w:tc>
          <w:tcPr>
            <w:tcW w:w="4580" w:type="dxa"/>
            <w:vAlign w:val="bottom"/>
          </w:tcPr>
          <w:p>
            <w:pPr>
              <w:jc w:val="center"/>
              <w:spacing w:after="0" w:line="269" w:lineRule="exact"/>
              <w:rPr>
                <w:sz w:val="20"/>
                <w:szCs w:val="20"/>
                <w:color w:val="auto"/>
              </w:rPr>
            </w:pPr>
            <w:r>
              <w:rPr>
                <w:rFonts w:ascii="Arial" w:cs="Arial" w:eastAsia="Arial" w:hAnsi="Arial"/>
                <w:sz w:val="18"/>
                <w:szCs w:val="18"/>
                <w:b w:val="1"/>
                <w:bCs w:val="1"/>
                <w:color w:val="auto"/>
                <w:w w:val="92"/>
              </w:rPr>
              <w:t>Interest Rate</w:t>
            </w:r>
            <w:r>
              <w:rPr>
                <w:rFonts w:ascii="Arial" w:cs="Arial" w:eastAsia="Arial" w:hAnsi="Arial"/>
                <w:sz w:val="30"/>
                <w:szCs w:val="30"/>
                <w:b w:val="1"/>
                <w:bCs w:val="1"/>
                <w:color w:val="auto"/>
                <w:w w:val="92"/>
                <w:vertAlign w:val="superscript"/>
              </w:rPr>
              <w:t>1</w:t>
            </w:r>
            <w:r>
              <w:rPr>
                <w:rFonts w:ascii="Arial" w:cs="Arial" w:eastAsia="Arial" w:hAnsi="Arial"/>
                <w:sz w:val="18"/>
                <w:szCs w:val="18"/>
                <w:b w:val="1"/>
                <w:bCs w:val="1"/>
                <w:color w:val="auto"/>
                <w:w w:val="92"/>
              </w:rPr>
              <w:t xml:space="preserve"> / Maturity</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12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5"/>
                <w:szCs w:val="15"/>
                <w:color w:val="auto"/>
              </w:rPr>
              <w:t>Advanced Lighting Technologies, Inc.</w:t>
            </w:r>
            <w:r>
              <w:rPr>
                <w:rFonts w:ascii="Arial" w:cs="Arial" w:eastAsia="Arial" w:hAnsi="Arial"/>
                <w:sz w:val="24"/>
                <w:szCs w:val="24"/>
                <w:color w:val="auto"/>
                <w:vertAlign w:val="superscript"/>
              </w:rPr>
              <w:t>(8)</w:t>
            </w:r>
          </w:p>
        </w:tc>
        <w:tc>
          <w:tcPr>
            <w:tcW w:w="1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Junior Secured Loan — Second Lien Notes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8.7% Cash, 10.0% PIK, 3 month LIBOR(1.70%) + 17.00%;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goods: Durable</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LIBOR Floor 1.00% , Due 10/23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889,340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889,338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1"/>
              </w:rPr>
              <w:t>Advantage Sales &amp; Marketing Inc.</w:t>
            </w:r>
            <w:r>
              <w:rPr>
                <w:rFonts w:ascii="Arial" w:cs="Arial" w:eastAsia="Arial" w:hAnsi="Arial"/>
                <w:sz w:val="29"/>
                <w:szCs w:val="29"/>
                <w:color w:val="auto"/>
                <w:w w:val="91"/>
                <w:vertAlign w:val="superscript"/>
              </w:rPr>
              <w:t>(8)(14)</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7.9% Cash, 3 month LIBOR(1.38%) + 6.50%;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7/22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1,001,438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API Technologies Corp.</w:t>
            </w:r>
            <w:r>
              <w:rPr>
                <w:rFonts w:ascii="Arial" w:cs="Arial" w:eastAsia="Arial" w:hAnsi="Arial"/>
                <w:sz w:val="29"/>
                <w:szCs w:val="29"/>
                <w:color w:val="auto"/>
                <w:vertAlign w:val="superscript"/>
              </w:rPr>
              <w:t>(8)</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8.2% Cash, 3 month LIBOR(1.69%) + 6.50%;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4/22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3,080,305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3,110,759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3,111,108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Avalign Technologies, Inc.</w:t>
            </w:r>
            <w:r>
              <w:rPr>
                <w:rFonts w:ascii="Arial" w:cs="Arial" w:eastAsia="Arial" w:hAnsi="Arial"/>
                <w:sz w:val="29"/>
                <w:szCs w:val="29"/>
                <w:color w:val="auto"/>
                <w:vertAlign w:val="superscript"/>
              </w:rPr>
              <w:t>(8)</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6.1% Cash, 1 month LIBOR(1.57%) + 4.50%;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7/21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1,065,342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1,062,983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Avalign Technologies, Inc.</w:t>
            </w:r>
            <w:r>
              <w:rPr>
                <w:rFonts w:ascii="Arial" w:cs="Arial" w:eastAsia="Arial" w:hAnsi="Arial"/>
                <w:sz w:val="29"/>
                <w:szCs w:val="29"/>
                <w:color w:val="auto"/>
                <w:vertAlign w:val="superscript"/>
              </w:rPr>
              <w:t>(8)(14)</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9.7% Cash, 6 month LIBOR(1.46%) + 8.25%;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7/22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1,488,964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1,467,300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7"/>
              </w:rPr>
              <w:t>BMC Acquisition, Inc. (aka BenefitMall)</w:t>
            </w:r>
          </w:p>
        </w:tc>
        <w:tc>
          <w:tcPr>
            <w:tcW w:w="46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(8)(14)</w:t>
            </w:r>
          </w:p>
        </w:tc>
        <w:tc>
          <w:tcPr>
            <w:tcW w:w="4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Banking, Finance, Insurance &amp; Real</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7.0% Cash, 3 month LIBOR(1.84%) + 5.17%;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12/24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2,998,125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Senior Secured Bond — 10.625% - 08/2018 - 143818AA0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Carolina Beverage Group LLC</w:t>
            </w:r>
            <w:r>
              <w:rPr>
                <w:rFonts w:ascii="Arial" w:cs="Arial" w:eastAsia="Arial" w:hAnsi="Arial"/>
                <w:sz w:val="29"/>
                <w:szCs w:val="29"/>
                <w:color w:val="auto"/>
                <w:vertAlign w:val="superscript"/>
              </w:rPr>
              <w:t>(8)(14)</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144A</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Food and Tobacco</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10.6% Cash, Due 8/18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1,502,374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1,518,750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CSM Bakery Solutions Limited (fka CSM</w:t>
            </w: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Bakery Supplies Limited)</w:t>
            </w:r>
            <w:r>
              <w:rPr>
                <w:rFonts w:ascii="Arial" w:cs="Arial" w:eastAsia="Arial" w:hAnsi="Arial"/>
                <w:sz w:val="29"/>
                <w:szCs w:val="29"/>
                <w:color w:val="auto"/>
                <w:vertAlign w:val="superscript"/>
              </w:rPr>
              <w:t>(8)(14)</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9.1% Cash, 3 month LIBOR(1.33%) + 7.75%;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Beverage, Food and Tobacco</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7/21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3,008,816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2,914,800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Loan (Second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DigiCert, Inc.</w:t>
            </w:r>
            <w:r>
              <w:rPr>
                <w:rFonts w:ascii="Arial" w:cs="Arial" w:eastAsia="Arial" w:hAnsi="Arial"/>
                <w:sz w:val="29"/>
                <w:szCs w:val="29"/>
                <w:color w:val="auto"/>
                <w:vertAlign w:val="superscript"/>
              </w:rPr>
              <w:t>(8)</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9.4% Cash, 3 month LIBOR(1.38%) + 8.00%;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10/25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Drew Marine Group Inc.</w:t>
            </w:r>
            <w:r>
              <w:rPr>
                <w:rFonts w:ascii="Arial" w:cs="Arial" w:eastAsia="Arial" w:hAnsi="Arial"/>
                <w:sz w:val="29"/>
                <w:szCs w:val="29"/>
                <w:color w:val="auto"/>
                <w:vertAlign w:val="superscript"/>
              </w:rPr>
              <w:t>(8)</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8.6% Cash, 1 month LIBOR(1.57%) + 7.00%; LIBOR Floor</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Transportation: Cargo</w:t>
            </w:r>
          </w:p>
        </w:tc>
        <w:tc>
          <w:tcPr>
            <w:tcW w:w="4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 , Due 5/21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4,000,901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4,010,000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gridSpan w:val="2"/>
          </w:tcPr>
          <w:p>
            <w:pPr>
              <w:ind w:left="13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120" w:type="dxa"/>
            <w:vAlign w:val="bottom"/>
            <w:gridSpan w:val="3"/>
          </w:tcPr>
          <w:p>
            <w:pPr>
              <w:spacing w:after="0"/>
              <w:rPr>
                <w:sz w:val="20"/>
                <w:szCs w:val="20"/>
                <w:color w:val="auto"/>
              </w:rPr>
            </w:pPr>
            <w:r>
              <w:rPr>
                <w:rFonts w:ascii="Arial" w:cs="Arial" w:eastAsia="Arial" w:hAnsi="Arial"/>
                <w:sz w:val="18"/>
                <w:szCs w:val="18"/>
                <w:b w:val="1"/>
                <w:bCs w:val="1"/>
                <w:color w:val="auto"/>
                <w:w w:val="91"/>
              </w:rPr>
              <w:t>Portfolio Company / Principal Business</w:t>
            </w: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180" w:type="dxa"/>
            <w:vAlign w:val="bottom"/>
            <w:gridSpan w:val="2"/>
          </w:tcPr>
          <w:p>
            <w:pPr>
              <w:ind w:left="84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EagleTree-Carbide Acquisition Corp. (aka</w:t>
            </w: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Corsair Components, Inc.)</w:t>
            </w:r>
            <w:r>
              <w:rPr>
                <w:rFonts w:ascii="Arial" w:cs="Arial" w:eastAsia="Arial" w:hAnsi="Arial"/>
                <w:sz w:val="29"/>
                <w:szCs w:val="29"/>
                <w:color w:val="auto"/>
                <w:vertAlign w:val="superscript"/>
              </w:rPr>
              <w:t>(8)(14)</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10.2%</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3 month LIBOR(1.69%) + 8.50%;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8/25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4,927,010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First American Payment Systems, L.P.</w:t>
            </w:r>
            <w:r>
              <w:rPr>
                <w:rFonts w:ascii="Arial" w:cs="Arial" w:eastAsia="Arial" w:hAnsi="Arial"/>
                <w:sz w:val="23"/>
                <w:szCs w:val="23"/>
                <w:color w:val="auto"/>
                <w:vertAlign w:val="superscript"/>
              </w:rPr>
              <w:t>(8)</w:t>
            </w:r>
          </w:p>
        </w:tc>
        <w:tc>
          <w:tcPr>
            <w:tcW w:w="47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Banking, Finance, Insurance &amp; Real</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11.9% Cash, 1 month LIBOR(1.39%) + 10.50%;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Estate</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7/24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1,460,837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1,448,400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Senior Secured Loan — Term Loan (First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Flexera Software LLC (fka Flexera</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5.1% Cash, 1 month LIBOR(1.57%) + 3.50%; LIBOR Floor</w:t>
            </w: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100" w:type="dxa"/>
            <w:vAlign w:val="bottom"/>
            <w:gridSpan w:val="2"/>
            <w:shd w:val="clear" w:color="auto" w:fill="CCEEFF"/>
          </w:tcPr>
          <w:p>
            <w:pPr>
              <w:ind w:left="160"/>
              <w:spacing w:after="0" w:line="266" w:lineRule="exact"/>
              <w:rPr>
                <w:sz w:val="20"/>
                <w:szCs w:val="20"/>
                <w:color w:val="auto"/>
              </w:rPr>
            </w:pPr>
            <w:r>
              <w:rPr>
                <w:rFonts w:ascii="Arial" w:cs="Arial" w:eastAsia="Arial" w:hAnsi="Arial"/>
                <w:sz w:val="18"/>
                <w:szCs w:val="18"/>
                <w:color w:val="auto"/>
                <w:w w:val="94"/>
              </w:rPr>
              <w:t>Software, Inc.)</w:t>
            </w:r>
            <w:r>
              <w:rPr>
                <w:rFonts w:ascii="Arial" w:cs="Arial" w:eastAsia="Arial" w:hAnsi="Arial"/>
                <w:sz w:val="30"/>
                <w:szCs w:val="30"/>
                <w:color w:val="auto"/>
                <w:w w:val="94"/>
                <w:vertAlign w:val="superscript"/>
              </w:rPr>
              <w:t>(8)</w:t>
            </w:r>
            <w:r>
              <w:rPr>
                <w:rFonts w:ascii="Arial" w:cs="Arial" w:eastAsia="Arial" w:hAnsi="Arial"/>
                <w:sz w:val="18"/>
                <w:szCs w:val="18"/>
                <w:color w:val="auto"/>
                <w:w w:val="94"/>
              </w:rPr>
              <w:t xml:space="preserve"> High Tech Industries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4/20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1,995,443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Senior Secured Loan — Term Loan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GI Advo Opco, LLC</w:t>
            </w:r>
            <w:r>
              <w:rPr>
                <w:rFonts w:ascii="Arial" w:cs="Arial" w:eastAsia="Arial" w:hAnsi="Arial"/>
                <w:sz w:val="29"/>
                <w:szCs w:val="29"/>
                <w:color w:val="auto"/>
                <w:vertAlign w:val="superscript"/>
              </w:rPr>
              <w:t>(8)</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6.2% Cash, 3 month LIBOR(1.69%) + 4.50%;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Healthcare &amp; Pharmaceuticals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230,756</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229,252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GK Holdings, Inc. (aka Global</w:t>
            </w: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Knowledge)</w:t>
            </w:r>
            <w:r>
              <w:rPr>
                <w:rFonts w:ascii="Arial" w:cs="Arial" w:eastAsia="Arial" w:hAnsi="Arial"/>
                <w:sz w:val="29"/>
                <w:szCs w:val="29"/>
                <w:color w:val="auto"/>
                <w:vertAlign w:val="superscript"/>
              </w:rPr>
              <w:t>(8)</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5"/>
              </w:rPr>
              <w:t>11.9% Cash, 3 month LIBOR(1.69%) + 10.25%;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Services: Business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1,482,520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Senior Secured Loan — Term Loan (First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Global Tel*Link Corporation</w:t>
            </w:r>
            <w:r>
              <w:rPr>
                <w:rFonts w:ascii="Arial" w:cs="Arial" w:eastAsia="Arial" w:hAnsi="Arial"/>
                <w:sz w:val="29"/>
                <w:szCs w:val="29"/>
                <w:color w:val="auto"/>
                <w:vertAlign w:val="superscript"/>
              </w:rPr>
              <w:t>(8)</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5.7% Cash, 3 month LIBOR(1.69%) + 4.00%;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1.25%</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5/20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1,495,689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1,492,021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Global Tel*Link Corporation</w:t>
            </w:r>
            <w:r>
              <w:rPr>
                <w:rFonts w:ascii="Arial" w:cs="Arial" w:eastAsia="Arial" w:hAnsi="Arial"/>
                <w:sz w:val="29"/>
                <w:szCs w:val="29"/>
                <w:color w:val="auto"/>
                <w:vertAlign w:val="superscript"/>
              </w:rPr>
              <w:t>(8)(14)</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9.9% Cash, 3 month LIBOR(1.69%) + 8.25%;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Telecommunications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1.25%</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4,963,469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Senior Secured Loan — Term B Loan (First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Grupo HIMA San Pablo, Inc.</w:t>
            </w:r>
            <w:r>
              <w:rPr>
                <w:rFonts w:ascii="Arial" w:cs="Arial" w:eastAsia="Arial" w:hAnsi="Arial"/>
                <w:sz w:val="29"/>
                <w:szCs w:val="29"/>
                <w:color w:val="auto"/>
                <w:vertAlign w:val="superscript"/>
              </w:rPr>
              <w:t>(8)</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8.5% Cash, 3 month LIBOR(1.50%) + 7.00%;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1.50%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2,849,063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10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Grupo HIMA San Pablo, Inc.</w:t>
            </w:r>
            <w:r>
              <w:rPr>
                <w:rFonts w:ascii="Arial" w:cs="Arial" w:eastAsia="Arial" w:hAnsi="Arial"/>
                <w:sz w:val="28"/>
                <w:szCs w:val="28"/>
                <w:color w:val="auto"/>
                <w:vertAlign w:val="superscript"/>
              </w:rPr>
              <w:t>(8)(14)</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13.8%</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Due 7/18</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7,191,667</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7,174,676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4,566,708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10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w:t>
            </w:r>
          </w:p>
        </w:tc>
        <w:tc>
          <w:tcPr>
            <w:tcW w:w="4720" w:type="dxa"/>
            <w:vAlign w:val="bottom"/>
            <w:gridSpan w:val="4"/>
            <w:vMerge w:val="restart"/>
            <w:shd w:val="clear" w:color="auto" w:fill="CCEEFF"/>
          </w:tcPr>
          <w:p>
            <w:pPr>
              <w:ind w:left="40"/>
              <w:spacing w:after="0"/>
              <w:rPr>
                <w:sz w:val="20"/>
                <w:szCs w:val="20"/>
                <w:color w:val="auto"/>
              </w:rPr>
            </w:pPr>
            <w:r>
              <w:rPr>
                <w:rFonts w:ascii="Arial" w:cs="Arial" w:eastAsia="Arial" w:hAnsi="Arial"/>
                <w:sz w:val="18"/>
                <w:szCs w:val="18"/>
                <w:color w:val="auto"/>
              </w:rPr>
              <w:t>Senior Secured Loan — Initial Term Loan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line="213" w:lineRule="exact"/>
              <w:rPr>
                <w:sz w:val="20"/>
                <w:szCs w:val="20"/>
                <w:color w:val="auto"/>
              </w:rPr>
            </w:pPr>
            <w:r>
              <w:rPr>
                <w:rFonts w:ascii="Arial" w:cs="Arial" w:eastAsia="Arial" w:hAnsi="Arial"/>
                <w:sz w:val="15"/>
                <w:szCs w:val="15"/>
                <w:color w:val="auto"/>
              </w:rPr>
              <w:t>Clarke American Corp.)</w:t>
            </w:r>
            <w:r>
              <w:rPr>
                <w:rFonts w:ascii="Arial" w:cs="Arial" w:eastAsia="Arial" w:hAnsi="Arial"/>
                <w:sz w:val="24"/>
                <w:szCs w:val="24"/>
                <w:color w:val="auto"/>
                <w:vertAlign w:val="superscript"/>
              </w:rPr>
              <w:t>(8)(14)</w:t>
            </w:r>
          </w:p>
        </w:tc>
        <w:tc>
          <w:tcPr>
            <w:tcW w:w="4720" w:type="dxa"/>
            <w:vAlign w:val="bottom"/>
            <w:gridSpan w:val="4"/>
            <w:vMerge w:val="continue"/>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9"/>
              </w:rPr>
              <w:t>6.4% Cash, 3 month LIBOR(1.69%) + 4.75%;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Publishing</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11/23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2,986,482</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3,011,321</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3,003,281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72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Hoffmaster Group, Inc.</w:t>
            </w:r>
            <w:r>
              <w:rPr>
                <w:rFonts w:ascii="Arial" w:cs="Arial" w:eastAsia="Arial" w:hAnsi="Arial"/>
                <w:sz w:val="29"/>
                <w:szCs w:val="29"/>
                <w:color w:val="auto"/>
                <w:vertAlign w:val="superscript"/>
              </w:rPr>
              <w:t>(8)(14)</w:t>
            </w:r>
          </w:p>
        </w:tc>
        <w:tc>
          <w:tcPr>
            <w:tcW w:w="47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11.2% Cash, 3 month LIBOR(1.69%) + 9.50%;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Forest Products &amp; Paper</w:t>
            </w: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1,558,556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1,600,960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80" w:type="dxa"/>
            <w:vAlign w:val="bottom"/>
            <w:gridSpan w:val="2"/>
          </w:tcPr>
          <w:p>
            <w:pPr>
              <w:ind w:left="13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Amortized</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w w:val="90"/>
              </w:rPr>
              <w:t>Portfolio Company / Principal Business</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180" w:type="dxa"/>
            <w:vAlign w:val="bottom"/>
            <w:gridSpan w:val="2"/>
          </w:tcPr>
          <w:p>
            <w:pPr>
              <w:ind w:left="84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Cost</w:t>
            </w: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Industrial Services Acquisition, LLC (aka</w:t>
            </w:r>
          </w:p>
        </w:tc>
        <w:tc>
          <w:tcPr>
            <w:tcW w:w="10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Senior Secured Loan — Term Loan</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Evergreen / NAIC)</w:t>
            </w:r>
            <w:r>
              <w:rPr>
                <w:rFonts w:ascii="Arial" w:cs="Arial" w:eastAsia="Arial" w:hAnsi="Arial"/>
                <w:sz w:val="29"/>
                <w:szCs w:val="29"/>
                <w:color w:val="auto"/>
                <w:vertAlign w:val="superscript"/>
              </w:rPr>
              <w:t>(8)(14)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6.6% Cash, 1 month LIBOR(1.63%) + 5.00%;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6/22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1,167,909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1,173,405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Infobase Holdings, Inc.</w:t>
            </w:r>
            <w:r>
              <w:rPr>
                <w:rFonts w:ascii="Arial" w:cs="Arial" w:eastAsia="Arial" w:hAnsi="Arial"/>
                <w:sz w:val="28"/>
                <w:szCs w:val="28"/>
                <w:color w:val="auto"/>
                <w:vertAlign w:val="superscript"/>
              </w:rPr>
              <w:t>(8)(14)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8.0% Cash, Prime LIBOR(0.00%) + 8.00%; Due 12/22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1,980,000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Ivanti Software, Inc. (fka LANDesk</w:t>
            </w: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Group, Inc.)</w:t>
            </w:r>
            <w:r>
              <w:rPr>
                <w:rFonts w:ascii="Arial" w:cs="Arial" w:eastAsia="Arial" w:hAnsi="Arial"/>
                <w:sz w:val="29"/>
                <w:szCs w:val="29"/>
                <w:color w:val="auto"/>
                <w:vertAlign w:val="superscript"/>
              </w:rPr>
              <w:t>(8)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10.6%</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1 month LIBOR(1.57%) + 9.00%;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3,228,619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3,200,530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8"/>
              </w:rPr>
              <w:t>MB Aerospace ACP Holdings II Corp.</w:t>
            </w:r>
            <w:r>
              <w:rPr>
                <w:rFonts w:ascii="Arial" w:cs="Arial" w:eastAsia="Arial" w:hAnsi="Arial"/>
                <w:sz w:val="28"/>
                <w:szCs w:val="28"/>
                <w:color w:val="auto"/>
                <w:w w:val="98"/>
                <w:vertAlign w:val="superscript"/>
              </w:rPr>
              <w:t>(8)</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7.1% Cash, 1 month LIBOR(1.63%) + 5.50%; LIBOR Floor</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981,158</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7"/>
              </w:rPr>
              <w:t>MB Aerospace ACP Holdings III Corp.</w:t>
            </w:r>
            <w:r>
              <w:rPr>
                <w:rFonts w:ascii="Arial" w:cs="Arial" w:eastAsia="Arial" w:hAnsi="Arial"/>
                <w:sz w:val="28"/>
                <w:szCs w:val="28"/>
                <w:color w:val="auto"/>
                <w:w w:val="97"/>
                <w:vertAlign w:val="superscript"/>
              </w:rPr>
              <w:t>(8)</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5.1% Cash, 1 month LIBOR(1.58%) + 3.50%; LIBOR Floor</w:t>
            </w: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1,243,750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2"/>
              </w:rPr>
              <w:t>National Home Health Care Corp.</w:t>
            </w:r>
            <w:r>
              <w:rPr>
                <w:rFonts w:ascii="Arial" w:cs="Arial" w:eastAsia="Arial" w:hAnsi="Arial"/>
                <w:sz w:val="29"/>
                <w:szCs w:val="29"/>
                <w:color w:val="auto"/>
                <w:w w:val="92"/>
                <w:vertAlign w:val="superscript"/>
              </w:rPr>
              <w:t>(8)(14)</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10.4%</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1 month LIBOR(1.43%) + 9.00%;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12/22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1,500,728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1,482,044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Onex Carestream Finance LP</w:t>
            </w:r>
            <w:r>
              <w:rPr>
                <w:rFonts w:ascii="Arial" w:cs="Arial" w:eastAsia="Arial" w:hAnsi="Arial"/>
                <w:sz w:val="29"/>
                <w:szCs w:val="29"/>
                <w:color w:val="auto"/>
                <w:vertAlign w:val="superscript"/>
              </w:rPr>
              <w:t>(8)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10.2%</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3 month LIBOR(1.69%) + 8.50%;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12/19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1,495,995</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Playpower, Inc.</w:t>
            </w:r>
            <w:r>
              <w:rPr>
                <w:rFonts w:ascii="Arial" w:cs="Arial" w:eastAsia="Arial" w:hAnsi="Arial"/>
                <w:sz w:val="29"/>
                <w:szCs w:val="29"/>
                <w:color w:val="auto"/>
                <w:vertAlign w:val="superscript"/>
              </w:rPr>
              <w:t>(8)(14)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6.4% Cash, 3 month LIBOR(1.69%) + 4.75%;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&amp; Building</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6/21</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994,898</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1,004,093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PSC Industrial Holdings Corp.</w:t>
            </w:r>
            <w:r>
              <w:rPr>
                <w:rFonts w:ascii="Arial" w:cs="Arial" w:eastAsia="Arial" w:hAnsi="Arial"/>
                <w:sz w:val="29"/>
                <w:szCs w:val="29"/>
                <w:color w:val="auto"/>
                <w:vertAlign w:val="superscript"/>
              </w:rPr>
              <w:t>(8)(14)</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Cash, 1 month LIBOR(1.46%) + 8.50%;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10/25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2,941,524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RESIC Enterprises, LLC (aka Lyons</w:t>
            </w:r>
          </w:p>
        </w:tc>
        <w:tc>
          <w:tcPr>
            <w:tcW w:w="4780" w:type="dxa"/>
            <w:vAlign w:val="bottom"/>
            <w:gridSpan w:val="4"/>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Magnus)</w:t>
            </w:r>
            <w:r>
              <w:rPr>
                <w:rFonts w:ascii="Arial" w:cs="Arial" w:eastAsia="Arial" w:hAnsi="Arial"/>
                <w:sz w:val="29"/>
                <w:szCs w:val="29"/>
                <w:color w:val="auto"/>
                <w:vertAlign w:val="superscript"/>
              </w:rPr>
              <w:t>(8)</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9"/>
              </w:rPr>
              <w:t>5.7% Cash, 1 month LIBOR(1.43%) + 4.25%; LIBOR Floor</w:t>
            </w: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Beverage, Food and Tobacco</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Due 11/24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2,985,247</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Medical, Inc.</w:t>
            </w:r>
            <w:r>
              <w:rPr>
                <w:rFonts w:ascii="Arial" w:cs="Arial" w:eastAsia="Arial" w:hAnsi="Arial"/>
                <w:sz w:val="28"/>
                <w:szCs w:val="28"/>
                <w:color w:val="auto"/>
                <w:vertAlign w:val="superscript"/>
              </w:rPr>
              <w:t>(8)(14)</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Junior Secured Loan — Term Loan (Second Lien)</w:t>
            </w: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47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11.3% Cash, Due 9/19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6,700,000</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6,678,900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6,468,850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consolidated financial statements.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8"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tcPr>
          <w:p>
            <w:pPr>
              <w:ind w:left="13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5</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Amortized</w:t>
            </w:r>
          </w:p>
        </w:tc>
        <w:tc>
          <w:tcPr>
            <w:tcW w:w="100" w:type="dxa"/>
            <w:vAlign w:val="bottom"/>
          </w:tcPr>
          <w:p>
            <w:pPr>
              <w:spacing w:after="0"/>
              <w:rPr>
                <w:sz w:val="24"/>
                <w:szCs w:val="2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Fair Value</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060" w:type="dxa"/>
            <w:vAlign w:val="bottom"/>
            <w:gridSpan w:val="2"/>
          </w:tcPr>
          <w:p>
            <w:pPr>
              <w:spacing w:after="0"/>
              <w:rPr>
                <w:sz w:val="20"/>
                <w:szCs w:val="20"/>
                <w:color w:val="auto"/>
              </w:rPr>
            </w:pPr>
            <w:r>
              <w:rPr>
                <w:rFonts w:ascii="Arial" w:cs="Arial" w:eastAsia="Arial" w:hAnsi="Arial"/>
                <w:sz w:val="18"/>
                <w:szCs w:val="18"/>
                <w:b w:val="1"/>
                <w:bCs w:val="1"/>
                <w:color w:val="auto"/>
                <w:w w:val="90"/>
              </w:rPr>
              <w:t>Portfolio Company / Principal Business</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80" w:type="dxa"/>
            <w:vAlign w:val="bottom"/>
          </w:tcPr>
          <w:p>
            <w:pPr>
              <w:ind w:left="840"/>
              <w:spacing w:after="0" w:line="269" w:lineRule="exact"/>
              <w:rPr>
                <w:sz w:val="20"/>
                <w:szCs w:val="20"/>
                <w:color w:val="auto"/>
              </w:rPr>
            </w:pPr>
            <w:r>
              <w:rPr>
                <w:rFonts w:ascii="Arial" w:cs="Arial" w:eastAsia="Arial" w:hAnsi="Arial"/>
                <w:sz w:val="18"/>
                <w:szCs w:val="18"/>
                <w:b w:val="1"/>
                <w:bCs w:val="1"/>
                <w:color w:val="auto"/>
              </w:rPr>
              <w:t>Interest Rate</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0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1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5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Salient CRGT Inc.</w:t>
            </w:r>
            <w:r>
              <w:rPr>
                <w:rFonts w:ascii="Arial" w:cs="Arial" w:eastAsia="Arial" w:hAnsi="Arial"/>
                <w:sz w:val="29"/>
                <w:szCs w:val="29"/>
                <w:color w:val="auto"/>
                <w:vertAlign w:val="superscript"/>
              </w:rPr>
              <w:t>(8)</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7.3% Cash, 1 month LIBOR(1.57%) + 5.75%;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High Tech Industries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2/22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1,967,742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1,992,339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 (Second Lien)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SCSG EA Acquisition Company, Inc.</w:t>
            </w:r>
            <w:r>
              <w:rPr>
                <w:rFonts w:ascii="Arial" w:cs="Arial" w:eastAsia="Arial" w:hAnsi="Arial"/>
                <w:sz w:val="29"/>
                <w:szCs w:val="29"/>
                <w:color w:val="auto"/>
                <w:w w:val="95"/>
                <w:vertAlign w:val="superscript"/>
              </w:rPr>
              <w:t>(8)</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9.7% Cash, 3 month LIBOR(1.48%) + 8.25%;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9/24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4,952,274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4,955,000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Stafford Logistics, Inc.(dba Custom</w:t>
            </w: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Restructured Term Loan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(8)(13)(14)</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8.2% Cash, 7.2% PIK, 3 month LIBOR(1.57%) + 6.62%;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LIBOR Floor 1.00% , Due 10/22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1,883,914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1,875,914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1,318,740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Stafford Logistics, Inc.(dba Custom</w:t>
            </w: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Ecology, Inc.)</w:t>
            </w:r>
            <w:r>
              <w:rPr>
                <w:rFonts w:ascii="Arial" w:cs="Arial" w:eastAsia="Arial" w:hAnsi="Arial"/>
                <w:sz w:val="29"/>
                <w:szCs w:val="29"/>
                <w:color w:val="auto"/>
                <w:vertAlign w:val="superscript"/>
              </w:rPr>
              <w:t>(8)(14)</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13.7%</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3 month LIBOR(1.69%) + 12.00%;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10/22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339,788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339,788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Loan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Tank Partners Holdings, LLC</w:t>
            </w:r>
            <w:r>
              <w:rPr>
                <w:rFonts w:ascii="Arial" w:cs="Arial" w:eastAsia="Arial" w:hAnsi="Arial"/>
                <w:sz w:val="29"/>
                <w:szCs w:val="29"/>
                <w:color w:val="auto"/>
                <w:vertAlign w:val="superscript"/>
              </w:rPr>
              <w:t>(8)(13)</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8"/>
              </w:rPr>
              <w:t>2.0% Cash, 12.8% PIK, Base Rate (4.25%) + 10.5% , Due</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8/19</w:t>
            </w:r>
          </w:p>
        </w:tc>
        <w:tc>
          <w:tcPr>
            <w:tcW w:w="408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12,739,078</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12,258,031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9,153,028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Tex-Tech Industries, Inc.</w:t>
            </w:r>
            <w:r>
              <w:rPr>
                <w:rFonts w:ascii="Arial" w:cs="Arial" w:eastAsia="Arial" w:hAnsi="Arial"/>
                <w:sz w:val="29"/>
                <w:szCs w:val="29"/>
                <w:color w:val="auto"/>
                <w:vertAlign w:val="superscript"/>
              </w:rPr>
              <w:t>(8)</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10.6%</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1 month LIBOR(1.57%) + 9.00%;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Textiles and Leather</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8/24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8,008,000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7,950,994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7,947,940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Time Manufacturing Acquisition,</w:t>
            </w: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Term Loan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ind w:left="160"/>
              <w:spacing w:after="0" w:line="256" w:lineRule="exact"/>
              <w:rPr>
                <w:sz w:val="20"/>
                <w:szCs w:val="20"/>
                <w:color w:val="auto"/>
              </w:rPr>
            </w:pPr>
            <w:r>
              <w:rPr>
                <w:rFonts w:ascii="Arial" w:cs="Arial" w:eastAsia="Arial" w:hAnsi="Arial"/>
                <w:sz w:val="29"/>
                <w:szCs w:val="29"/>
                <w:color w:val="auto"/>
                <w:vertAlign w:val="subscript"/>
              </w:rPr>
              <w:t>LLC</w:t>
            </w:r>
            <w:r>
              <w:rPr>
                <w:rFonts w:ascii="Arial" w:cs="Arial" w:eastAsia="Arial" w:hAnsi="Arial"/>
                <w:sz w:val="13"/>
                <w:szCs w:val="13"/>
                <w:color w:val="auto"/>
              </w:rPr>
              <w:t>(8)</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6.8% Cash, 3 month LIBOR(1.75%) + 5.00%;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2/23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994,987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992,633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999,962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Unsecured Loan — Term Loan Series 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10.5%</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4/30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8,359,051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8,359,051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8,359,051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Trimaran Advisors, L.L.C.</w:t>
            </w:r>
            <w:r>
              <w:rPr>
                <w:rFonts w:ascii="Arial" w:cs="Arial" w:eastAsia="Arial" w:hAnsi="Arial"/>
                <w:sz w:val="28"/>
                <w:szCs w:val="28"/>
                <w:color w:val="auto"/>
                <w:vertAlign w:val="superscript"/>
              </w:rPr>
              <w:t>(8)(9)(14)</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Senior Unsecured Loan — Term Loan Series 2</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Related Party Loan</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10.5%</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Due 1/28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4,418,232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4,418,232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4,418,232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Initial Term Loan (First Lien)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TronAir Parent Inc.</w:t>
            </w:r>
            <w:r>
              <w:rPr>
                <w:rFonts w:ascii="Arial" w:cs="Arial" w:eastAsia="Arial" w:hAnsi="Arial"/>
                <w:sz w:val="29"/>
                <w:szCs w:val="29"/>
                <w:color w:val="auto"/>
                <w:vertAlign w:val="superscript"/>
              </w:rPr>
              <w:t>(8)(14)</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6.2% Cash, 1 month LIBOR(1.41%) + 4.75%;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9/23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997,475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994,981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Term Loan (Second Lien)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TRSO I, Inc.</w:t>
            </w:r>
            <w:r>
              <w:rPr>
                <w:rFonts w:ascii="Arial" w:cs="Arial" w:eastAsia="Arial" w:hAnsi="Arial"/>
                <w:sz w:val="29"/>
                <w:szCs w:val="29"/>
                <w:color w:val="auto"/>
                <w:vertAlign w:val="superscript"/>
              </w:rPr>
              <w:t>(8)(14)</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14.0%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Cash, 3 month LIBOR(1.00%) + 13.00%;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12/19</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994,351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Senior Secured Loan — Term Loan (2013)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Weiman Products, LLC</w:t>
            </w:r>
            <w:r>
              <w:rPr>
                <w:rFonts w:ascii="Arial" w:cs="Arial" w:eastAsia="Arial" w:hAnsi="Arial"/>
                <w:sz w:val="29"/>
                <w:szCs w:val="29"/>
                <w:color w:val="auto"/>
                <w:vertAlign w:val="superscript"/>
              </w:rPr>
              <w:t>(8)(14)</w:t>
            </w:r>
          </w:p>
        </w:tc>
        <w:tc>
          <w:tcPr>
            <w:tcW w:w="46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7"/>
              </w:rPr>
              <w:t>6.2% Cash, 3 month LIBOR(1.69%) + 4.50%;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Non-durable</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11/21</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694,662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691,234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4680" w:type="dxa"/>
            <w:vAlign w:val="bottom"/>
            <w:gridSpan w:val="3"/>
            <w:shd w:val="clear" w:color="auto" w:fill="CCEEFF"/>
          </w:tcPr>
          <w:p>
            <w:pPr>
              <w:ind w:left="100"/>
              <w:spacing w:after="0" w:line="201" w:lineRule="exact"/>
              <w:rPr>
                <w:sz w:val="20"/>
                <w:szCs w:val="20"/>
                <w:color w:val="auto"/>
              </w:rPr>
            </w:pPr>
            <w:r>
              <w:rPr>
                <w:rFonts w:ascii="Arial" w:cs="Arial" w:eastAsia="Arial" w:hAnsi="Arial"/>
                <w:sz w:val="18"/>
                <w:szCs w:val="18"/>
                <w:color w:val="auto"/>
              </w:rPr>
              <w:t>Junior Secured Loan — Initial Term Loan (Second Lien)</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29"/>
                <w:szCs w:val="29"/>
                <w:color w:val="auto"/>
                <w:vertAlign w:val="superscript"/>
              </w:rPr>
              <w:t>(8)(14)</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10.5%</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Cash, 3 month LIBOR(1.48%) + 9.00%; LIBOR Floor</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Equipment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3"/>
              </w:rPr>
              <w:t>1.00%</w:t>
            </w:r>
          </w:p>
        </w:tc>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Due 9/24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3,000,000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2,961,988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2,991,600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Debt Securities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1"/>
              </w:rPr>
              <w:t>(65% of net asset value at fair value)</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$ 126,110,659</w:t>
            </w: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 xml:space="preserve"> 125,179,470</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$ 118,197,479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8"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Equity Securities Portfolio</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Percentage</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6"/>
              </w:rPr>
              <w:t>Fair Value</w:t>
            </w:r>
            <w:r>
              <w:rPr>
                <w:rFonts w:ascii="Arial" w:cs="Arial" w:eastAsia="Arial" w:hAnsi="Arial"/>
                <w:sz w:val="30"/>
                <w:szCs w:val="30"/>
                <w:b w:val="1"/>
                <w:bCs w:val="1"/>
                <w:color w:val="auto"/>
                <w:w w:val="96"/>
                <w:vertAlign w:val="superscript"/>
              </w:rPr>
              <w:t>2</w:t>
            </w: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120" w:type="dxa"/>
            <w:vAlign w:val="bottom"/>
          </w:tcPr>
          <w:p>
            <w:pPr>
              <w:spacing w:after="0"/>
              <w:rPr>
                <w:sz w:val="20"/>
                <w:szCs w:val="20"/>
                <w:color w:val="auto"/>
              </w:rPr>
            </w:pPr>
          </w:p>
        </w:tc>
        <w:tc>
          <w:tcPr>
            <w:tcW w:w="2340" w:type="dxa"/>
            <w:vAlign w:val="bottom"/>
          </w:tcPr>
          <w:p>
            <w:pPr>
              <w:ind w:left="740"/>
              <w:spacing w:after="0"/>
              <w:rPr>
                <w:sz w:val="20"/>
                <w:szCs w:val="20"/>
                <w:color w:val="auto"/>
              </w:rPr>
            </w:pPr>
            <w:r>
              <w:rPr>
                <w:rFonts w:ascii="Arial" w:cs="Arial" w:eastAsia="Arial" w:hAnsi="Arial"/>
                <w:sz w:val="18"/>
                <w:szCs w:val="18"/>
                <w:b w:val="1"/>
                <w:bCs w:val="1"/>
                <w:color w:val="auto"/>
              </w:rPr>
              <w:t>Investment</w:t>
            </w:r>
          </w:p>
        </w:tc>
        <w:tc>
          <w:tcPr>
            <w:tcW w:w="2040" w:type="dxa"/>
            <w:vAlign w:val="bottom"/>
            <w:gridSpan w:val="4"/>
          </w:tcPr>
          <w:p>
            <w:pPr>
              <w:jc w:val="right"/>
              <w:ind w:right="410"/>
              <w:spacing w:after="0"/>
              <w:rPr>
                <w:sz w:val="20"/>
                <w:szCs w:val="20"/>
                <w:color w:val="auto"/>
              </w:rPr>
            </w:pPr>
            <w:r>
              <w:rPr>
                <w:rFonts w:ascii="Arial" w:cs="Arial" w:eastAsia="Arial" w:hAnsi="Arial"/>
                <w:sz w:val="18"/>
                <w:szCs w:val="18"/>
                <w:b w:val="1"/>
                <w:bCs w:val="1"/>
                <w:color w:val="auto"/>
                <w:w w:val="96"/>
              </w:rPr>
              <w:t>Ownership/Shares</w:t>
            </w: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Cost</w:t>
            </w:r>
          </w:p>
        </w:tc>
        <w:tc>
          <w:tcPr>
            <w:tcW w:w="9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7"/>
                <w:szCs w:val="27"/>
                <w:color w:val="auto"/>
                <w:vertAlign w:val="superscript"/>
              </w:rPr>
              <w:t>(8)(14)</w:t>
            </w:r>
          </w:p>
        </w:tc>
        <w:tc>
          <w:tcPr>
            <w:tcW w:w="120" w:type="dxa"/>
            <w:vAlign w:val="bottom"/>
            <w:tcBorders>
              <w:top w:val="single" w:sz="8" w:color="CCEEFF"/>
            </w:tcBorders>
            <w:shd w:val="clear" w:color="auto" w:fill="CCEEFF"/>
          </w:tcPr>
          <w:p>
            <w:pPr>
              <w:spacing w:after="0"/>
              <w:rPr>
                <w:sz w:val="20"/>
                <w:szCs w:val="20"/>
                <w:color w:val="auto"/>
              </w:rPr>
            </w:pPr>
          </w:p>
        </w:tc>
        <w:tc>
          <w:tcPr>
            <w:tcW w:w="23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204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1.2%  $</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Aerostructures Holdings L.P.</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250,960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891,661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DBI Holding LLC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eInstruction Acquisition, LLC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Business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1,079,617</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FP WRCA Coinvestment Fund VII, Ltd.</w:t>
            </w:r>
            <w:r>
              <w:rPr>
                <w:rFonts w:ascii="Arial" w:cs="Arial" w:eastAsia="Arial" w:hAnsi="Arial"/>
                <w:sz w:val="28"/>
                <w:szCs w:val="28"/>
                <w:color w:val="auto"/>
                <w:vertAlign w:val="superscript"/>
              </w:rPr>
              <w:t>(3)(14)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1,500,000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New Millennium Holdco, Inc. (Millennium Health, LLC)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1,953,299</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Perseus Holding Corp.</w:t>
            </w:r>
            <w:r>
              <w:rPr>
                <w:rFonts w:ascii="Arial" w:cs="Arial" w:eastAsia="Arial" w:hAnsi="Arial"/>
                <w:sz w:val="28"/>
                <w:szCs w:val="28"/>
                <w:color w:val="auto"/>
                <w:vertAlign w:val="superscript"/>
              </w:rPr>
              <w:t>(14)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 Gaming &amp; Leisure</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Roscoe Investors, LLC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Healthcare &amp; Pharmaceuticals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1,229,000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Class A Equity</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Stafford Logistics, Inc.(dba Custom Ecology, Inc.)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Environmental Industries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(8)(10)(14)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Unit</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980,000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Tank Partners Holdings, LLC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185,205</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TRSO II, Inc.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1,680,161</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1,280,749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Advanced Lighting Technologies, Inc.</w:t>
            </w:r>
            <w:r>
              <w:rPr>
                <w:rFonts w:ascii="Arial" w:cs="Arial" w:eastAsia="Arial" w:hAnsi="Arial"/>
                <w:sz w:val="28"/>
                <w:szCs w:val="28"/>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Membership Interests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182,000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 Investments</w:t>
            </w:r>
          </w:p>
        </w:tc>
        <w:tc>
          <w:tcPr>
            <w:tcW w:w="120" w:type="dxa"/>
            <w:vAlign w:val="bottom"/>
            <w:shd w:val="clear" w:color="auto" w:fill="CCEEFF"/>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line="253" w:lineRule="exact"/>
              <w:rPr>
                <w:sz w:val="20"/>
                <w:szCs w:val="20"/>
                <w:color w:val="auto"/>
              </w:rPr>
            </w:pPr>
            <w:r>
              <w:rPr>
                <w:rFonts w:ascii="Arial" w:cs="Arial" w:eastAsia="Arial" w:hAnsi="Arial"/>
                <w:sz w:val="18"/>
                <w:szCs w:val="18"/>
                <w:color w:val="auto"/>
              </w:rPr>
              <w:t>Incorporated)</w:t>
            </w:r>
            <w:r>
              <w:rPr>
                <w:rFonts w:ascii="Arial" w:cs="Arial" w:eastAsia="Arial" w:hAnsi="Arial"/>
                <w:sz w:val="29"/>
                <w:szCs w:val="29"/>
                <w:color w:val="auto"/>
                <w:vertAlign w:val="superscript"/>
              </w:rPr>
              <w:t>(8)(14)</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shd w:val="clear" w:color="auto" w:fill="CCEEFF"/>
          </w:tcPr>
          <w:p>
            <w:pPr>
              <w:spacing w:after="0"/>
              <w:rPr>
                <w:sz w:val="21"/>
                <w:szCs w:val="21"/>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359,765</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 Equity Securities</w:t>
            </w:r>
          </w:p>
        </w:tc>
        <w:tc>
          <w:tcPr>
            <w:tcW w:w="12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 of net asset value at fair value)</w:t>
            </w:r>
          </w:p>
        </w:tc>
        <w:tc>
          <w:tcPr>
            <w:tcW w:w="1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10,571,007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4,414,684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CLO Fund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Subordinated Investments</w:t>
      </w:r>
    </w:p>
    <w:p>
      <w:pPr>
        <w:spacing w:after="0" w:line="200" w:lineRule="exact"/>
        <w:rPr>
          <w:sz w:val="20"/>
          <w:szCs w:val="20"/>
          <w:color w:val="auto"/>
        </w:rPr>
      </w:pPr>
    </w:p>
    <w:p>
      <w:pPr>
        <w:spacing w:after="0" w:line="24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Portfolio Company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Grant Grove CLO, Ltd.</w:t>
      </w:r>
      <w:r>
        <w:rPr>
          <w:rFonts w:ascii="Arial" w:cs="Arial" w:eastAsia="Arial" w:hAnsi="Arial"/>
          <w:sz w:val="29"/>
          <w:szCs w:val="29"/>
          <w:color w:val="auto"/>
          <w:vertAlign w:val="superscript"/>
        </w:rPr>
        <w:t>(3)(12)(14)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Katonah III, Ltd.</w:t>
      </w:r>
      <w:r>
        <w:rPr>
          <w:rFonts w:ascii="Arial" w:cs="Arial" w:eastAsia="Arial" w:hAnsi="Arial"/>
          <w:sz w:val="30"/>
          <w:szCs w:val="30"/>
          <w:color w:val="auto"/>
          <w:vertAlign w:val="superscript"/>
        </w:rPr>
        <w:t>(3)(12)(14)</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Katonah 2007-I CLO Ltd.</w:t>
      </w:r>
      <w:r>
        <w:rPr>
          <w:rFonts w:ascii="Arial" w:cs="Arial" w:eastAsia="Arial" w:hAnsi="Arial"/>
          <w:sz w:val="24"/>
          <w:szCs w:val="24"/>
          <w:color w:val="auto"/>
          <w:vertAlign w:val="superscript"/>
        </w:rPr>
        <w:t>(3)(6)(12)(14)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Trimaran CLO VII, Ltd.</w:t>
      </w:r>
      <w:r>
        <w:rPr>
          <w:rFonts w:ascii="Arial" w:cs="Arial" w:eastAsia="Arial" w:hAnsi="Arial"/>
          <w:sz w:val="26"/>
          <w:szCs w:val="26"/>
          <w:color w:val="auto"/>
          <w:vertAlign w:val="superscript"/>
        </w:rPr>
        <w:t>(3)(6)(12)(14)</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2012-1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Catamaran CLO 2013- 1 Ltd.</w:t>
      </w:r>
      <w:r>
        <w:rPr>
          <w:rFonts w:ascii="Arial" w:cs="Arial" w:eastAsia="Arial" w:hAnsi="Arial"/>
          <w:sz w:val="24"/>
          <w:szCs w:val="24"/>
          <w:color w:val="auto"/>
          <w:vertAlign w:val="superscript"/>
        </w:rPr>
        <w:t>(3)(6)(14)</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Dryden 30 Senior Loan Fund</w:t>
      </w:r>
      <w:r>
        <w:rPr>
          <w:rFonts w:ascii="Arial" w:cs="Arial" w:eastAsia="Arial" w:hAnsi="Arial"/>
          <w:sz w:val="27"/>
          <w:szCs w:val="27"/>
          <w:color w:val="auto"/>
          <w:vertAlign w:val="superscript"/>
        </w:rPr>
        <w:t>(3)(14)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2014-2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2015-1 Ltd.</w:t>
      </w:r>
      <w:r>
        <w:rPr>
          <w:rFonts w:ascii="Arial" w:cs="Arial" w:eastAsia="Arial" w:hAnsi="Arial"/>
          <w:sz w:val="25"/>
          <w:szCs w:val="25"/>
          <w:color w:val="auto"/>
          <w:vertAlign w:val="superscript"/>
        </w:rPr>
        <w:t>(3)(6)(14)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Catamaran CLO 2016-1 Ltd.</w:t>
      </w:r>
      <w:r>
        <w:rPr>
          <w:rFonts w:ascii="Arial" w:cs="Arial" w:eastAsia="Arial" w:hAnsi="Arial"/>
          <w:sz w:val="25"/>
          <w:szCs w:val="25"/>
          <w:color w:val="auto"/>
          <w:vertAlign w:val="superscript"/>
        </w:rPr>
        <w:t>(3)(6)(14)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gridSpan w:val="2"/>
            <w:vMerge w:val="restart"/>
          </w:tcPr>
          <w:p>
            <w:pPr>
              <w:ind w:left="1420"/>
              <w:spacing w:after="0"/>
              <w:rPr>
                <w:sz w:val="20"/>
                <w:szCs w:val="20"/>
                <w:color w:val="auto"/>
              </w:rPr>
            </w:pPr>
            <w:r>
              <w:rPr>
                <w:rFonts w:ascii="Arial" w:cs="Arial" w:eastAsia="Arial" w:hAnsi="Arial"/>
                <w:sz w:val="18"/>
                <w:szCs w:val="18"/>
                <w:b w:val="1"/>
                <w:bCs w:val="1"/>
                <w:color w:val="auto"/>
              </w:rPr>
              <w:t>Investment</w:t>
            </w:r>
            <w:r>
              <w:rPr>
                <w:rFonts w:ascii="Arial" w:cs="Arial" w:eastAsia="Arial" w:hAnsi="Arial"/>
                <w:sz w:val="30"/>
                <w:szCs w:val="30"/>
                <w:b w:val="1"/>
                <w:bCs w:val="1"/>
                <w:color w:val="auto"/>
                <w:vertAlign w:val="superscript"/>
              </w:rPr>
              <w:t>(11)</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vMerge w:val="continue"/>
          </w:tcPr>
          <w:p>
            <w:pPr>
              <w:spacing w:after="0"/>
              <w:rPr>
                <w:sz w:val="20"/>
                <w:szCs w:val="20"/>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Subordinated Securities, effective interest N/M, 1/21</w:t>
            </w:r>
          </w:p>
        </w:tc>
        <w:tc>
          <w:tcPr>
            <w:tcW w:w="1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22.2%</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2,485,886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8"/>
              </w:rPr>
              <w:t>Subordinated Securities, effective interest N/M, 5/15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6"/>
              </w:rPr>
              <w:t>Subordinated Securities, effective interest 9.2%, 4/22</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20,524,908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8"/>
              </w:rPr>
              <w:t>Subordinated Securities, effective interest N/M, 6/21</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379,830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Subordinated Securities, effective interest 15.5%,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5,847,802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4"/>
              </w:rPr>
              <w:t>Subordinated Securities, effective interest 25.1%, 1/28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5,017,307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4"/>
              </w:rPr>
              <w:t>Subordinated Securities, effective interest 28.4%, 4/30</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9,858,073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Subordinated Securities, effective interest 28.7%,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12/29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1,353,852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Subordinated Securities, effective interest 11.5%,</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6,642,805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Subordinated Securities, effective interest 11.8%,</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100" w:type="dxa"/>
            <w:vAlign w:val="bottom"/>
            <w:gridSpan w:val="3"/>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4,418,647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w w:val="96"/>
              </w:rPr>
              <w:t>Subordinated Securities, effective interest 9.6%, 4/27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100" w:type="dxa"/>
            <w:vAlign w:val="bottom"/>
            <w:gridSpan w:val="3"/>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10,086,802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-2709545</wp:posOffset>
            </wp:positionV>
            <wp:extent cx="724662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-2108835</wp:posOffset>
            </wp:positionV>
            <wp:extent cx="724662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-1508760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-908685</wp:posOffset>
            </wp:positionV>
            <wp:extent cx="72466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-307975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-3318510</wp:posOffset>
            </wp:positionV>
            <wp:extent cx="724662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260"/>
            <w:col w:w="8420"/>
          </w:cols>
          <w:pgMar w:left="240" w:top="904"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Investment in CLO Subordinated Securities</w:t>
            </w: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67,903,067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47,046,673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9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CLO Rated-Note Investment</w:t>
            </w: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Portfolio Company</w:t>
            </w:r>
          </w:p>
        </w:tc>
        <w:tc>
          <w:tcPr>
            <w:tcW w:w="20" w:type="dxa"/>
            <w:vAlign w:val="bottom"/>
          </w:tcPr>
          <w:p>
            <w:pPr>
              <w:spacing w:after="0"/>
              <w:rPr>
                <w:sz w:val="20"/>
                <w:szCs w:val="20"/>
                <w:color w:val="auto"/>
              </w:rPr>
            </w:pPr>
          </w:p>
        </w:tc>
        <w:tc>
          <w:tcPr>
            <w:tcW w:w="4100" w:type="dxa"/>
            <w:vAlign w:val="bottom"/>
            <w:gridSpan w:val="2"/>
          </w:tcPr>
          <w:p>
            <w:pPr>
              <w:ind w:left="1560"/>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Amortized Cost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6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KCAP F3C Senior Funding LLC</w:t>
            </w:r>
            <w:r>
              <w:rPr>
                <w:rFonts w:ascii="Arial" w:cs="Arial" w:eastAsia="Arial" w:hAnsi="Arial"/>
                <w:sz w:val="27"/>
                <w:szCs w:val="27"/>
                <w:color w:val="auto"/>
                <w:vertAlign w:val="superscript"/>
              </w:rPr>
              <w:t>(3)(6)</w:t>
            </w:r>
          </w:p>
        </w:tc>
        <w:tc>
          <w:tcPr>
            <w:tcW w:w="120" w:type="dxa"/>
            <w:vAlign w:val="bottom"/>
            <w:tcBorders>
              <w:top w:val="single" w:sz="8" w:color="CCEEFF"/>
            </w:tcBorders>
            <w:gridSpan w:val="2"/>
            <w:shd w:val="clear" w:color="auto" w:fill="CCEEFF"/>
          </w:tcPr>
          <w:p>
            <w:pPr>
              <w:spacing w:after="0"/>
              <w:rPr>
                <w:sz w:val="20"/>
                <w:szCs w:val="20"/>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Class E Notes, 8.9% Cash, 3 month LIBOR (1.40%) +</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5"/>
                <w:szCs w:val="15"/>
                <w:color w:val="auto"/>
              </w:rPr>
              <w:t>(14)(15)</w:t>
            </w:r>
          </w:p>
        </w:tc>
        <w:tc>
          <w:tcPr>
            <w:tcW w:w="100" w:type="dxa"/>
            <w:vAlign w:val="bottom"/>
            <w:shd w:val="clear" w:color="auto" w:fill="CCEEFF"/>
          </w:tcPr>
          <w:p>
            <w:pPr>
              <w:spacing w:after="0"/>
              <w:rPr>
                <w:sz w:val="21"/>
                <w:szCs w:val="21"/>
                <w:color w:val="auto"/>
              </w:rPr>
            </w:pPr>
          </w:p>
        </w:tc>
        <w:tc>
          <w:tcPr>
            <w:tcW w:w="4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7.50%, Due 12/29</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4,435,965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 CLO Rated-Note</w:t>
            </w:r>
          </w:p>
        </w:tc>
        <w:tc>
          <w:tcPr>
            <w:tcW w:w="20" w:type="dxa"/>
            <w:vAlign w:val="bottom"/>
            <w:shd w:val="clear" w:color="auto" w:fill="CCEEFF"/>
          </w:tcPr>
          <w:p>
            <w:pPr>
              <w:spacing w:after="0"/>
              <w:rPr>
                <w:sz w:val="19"/>
                <w:szCs w:val="19"/>
                <w:color w:val="auto"/>
              </w:rPr>
            </w:pPr>
          </w:p>
        </w:tc>
        <w:tc>
          <w:tcPr>
            <w:tcW w:w="4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4,435,965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8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CLO Fund Securities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89"/>
              </w:rPr>
              <w:t>(28% of net asset value at fair value)</w:t>
            </w:r>
          </w:p>
        </w:tc>
        <w:tc>
          <w:tcPr>
            <w:tcW w:w="2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72,339,032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51,678,673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Asset Manager Affiliates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34"/>
        </w:trPr>
        <w:tc>
          <w:tcPr>
            <w:tcW w:w="4360" w:type="dxa"/>
            <w:vAlign w:val="bottom"/>
            <w:gridSpan w:val="5"/>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7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Investment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Ownership</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388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tcBorders>
              <w:right w:val="single" w:sz="8" w:color="CCEEFF"/>
            </w:tcBorders>
            <w:gridSpan w:val="2"/>
            <w:shd w:val="clear" w:color="auto" w:fill="CCEEFF"/>
          </w:tcPr>
          <w:p>
            <w:pPr>
              <w:spacing w:after="0" w:line="264"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30"/>
                <w:szCs w:val="30"/>
                <w:color w:val="auto"/>
                <w:vertAlign w:val="superscript"/>
              </w:rPr>
              <w:t>(8)(9)(14)</w:t>
            </w:r>
          </w:p>
        </w:tc>
        <w:tc>
          <w:tcPr>
            <w:tcW w:w="140" w:type="dxa"/>
            <w:vAlign w:val="bottom"/>
            <w:tcBorders>
              <w:left w:val="single" w:sz="8" w:color="CCEEFF"/>
            </w:tcBorders>
            <w:shd w:val="clear" w:color="auto" w:fill="CCEEFF"/>
          </w:tcPr>
          <w:p>
            <w:pPr>
              <w:spacing w:after="0"/>
              <w:rPr>
                <w:sz w:val="22"/>
                <w:szCs w:val="22"/>
                <w:color w:val="auto"/>
              </w:rPr>
            </w:pPr>
          </w:p>
        </w:tc>
        <w:tc>
          <w:tcPr>
            <w:tcW w:w="38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00" w:type="dxa"/>
            <w:vAlign w:val="bottom"/>
            <w:tcBorders>
              <w:right w:val="single" w:sz="8" w:color="CCEEFF"/>
            </w:tcBorders>
            <w:shd w:val="clear" w:color="auto" w:fill="CCEEFF"/>
          </w:tcPr>
          <w:p>
            <w:pPr>
              <w:spacing w:after="0"/>
              <w:rPr>
                <w:sz w:val="22"/>
                <w:szCs w:val="22"/>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34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Asset Manager Affiliates</w:t>
            </w:r>
          </w:p>
        </w:tc>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89"/>
              </w:rPr>
              <w:t>(21% of net asset value at fair value)</w:t>
            </w:r>
          </w:p>
        </w:tc>
        <w:tc>
          <w:tcPr>
            <w:tcW w:w="140" w:type="dxa"/>
            <w:vAlign w:val="bottom"/>
            <w:tcBorders>
              <w:left w:val="single" w:sz="8" w:color="CCEEFF"/>
            </w:tcBorders>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52,591,230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38,849,000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Joint Ventures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Percentage</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60" w:type="dxa"/>
            <w:vAlign w:val="bottom"/>
            <w:gridSpan w:val="5"/>
          </w:tcPr>
          <w:p>
            <w:pPr>
              <w:spacing w:after="0"/>
              <w:rPr>
                <w:sz w:val="20"/>
                <w:szCs w:val="20"/>
                <w:color w:val="auto"/>
              </w:rPr>
            </w:pPr>
            <w:r>
              <w:rPr>
                <w:rFonts w:ascii="Arial" w:cs="Arial" w:eastAsia="Arial" w:hAnsi="Arial"/>
                <w:sz w:val="18"/>
                <w:szCs w:val="18"/>
                <w:b w:val="1"/>
                <w:bCs w:val="1"/>
                <w:color w:val="auto"/>
              </w:rPr>
              <w:t>Portfolio Company / Principal Business</w:t>
            </w:r>
          </w:p>
        </w:tc>
        <w:tc>
          <w:tcPr>
            <w:tcW w:w="27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Investment</w:t>
            </w: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Ownership</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tcBorders>
              <w:right w:val="single" w:sz="8" w:color="CCEEFF"/>
            </w:tcBorders>
            <w:gridSpan w:val="2"/>
            <w:shd w:val="clear" w:color="auto" w:fill="CCEEFF"/>
          </w:tcPr>
          <w:p>
            <w:pPr>
              <w:spacing w:after="0" w:line="264" w:lineRule="exact"/>
              <w:rPr>
                <w:sz w:val="20"/>
                <w:szCs w:val="20"/>
                <w:color w:val="auto"/>
              </w:rPr>
            </w:pPr>
            <w:r>
              <w:rPr>
                <w:rFonts w:ascii="Arial" w:cs="Arial" w:eastAsia="Arial" w:hAnsi="Arial"/>
                <w:sz w:val="18"/>
                <w:szCs w:val="18"/>
                <w:color w:val="auto"/>
              </w:rPr>
              <w:t>KCAP Freedom 3 LLC</w:t>
            </w:r>
            <w:r>
              <w:rPr>
                <w:rFonts w:ascii="Arial" w:cs="Arial" w:eastAsia="Arial" w:hAnsi="Arial"/>
                <w:sz w:val="30"/>
                <w:szCs w:val="30"/>
                <w:color w:val="auto"/>
                <w:vertAlign w:val="superscript"/>
              </w:rPr>
              <w:t>(14)(15)</w:t>
            </w:r>
          </w:p>
        </w:tc>
        <w:tc>
          <w:tcPr>
            <w:tcW w:w="140" w:type="dxa"/>
            <w:vAlign w:val="bottom"/>
            <w:tcBorders>
              <w:left w:val="single" w:sz="8" w:color="CCEEFF"/>
            </w:tcBorders>
            <w:shd w:val="clear" w:color="auto" w:fill="CCEEFF"/>
          </w:tcPr>
          <w:p>
            <w:pPr>
              <w:spacing w:after="0"/>
              <w:rPr>
                <w:sz w:val="22"/>
                <w:szCs w:val="22"/>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660" w:type="dxa"/>
            <w:vAlign w:val="bottom"/>
            <w:tcBorders>
              <w:right w:val="single" w:sz="8" w:color="CCEEFF"/>
            </w:tcBorders>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Total Investment in Joint Ventures</w:t>
            </w:r>
          </w:p>
        </w:tc>
        <w:tc>
          <w:tcPr>
            <w:tcW w:w="140" w:type="dxa"/>
            <w:vAlign w:val="bottom"/>
            <w:tcBorders>
              <w:lef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89"/>
              </w:rPr>
              <w:t>(12% of net asset value at fair value)</w:t>
            </w:r>
          </w:p>
        </w:tc>
        <w:tc>
          <w:tcPr>
            <w:tcW w:w="140" w:type="dxa"/>
            <w:vAlign w:val="bottom"/>
            <w:tcBorders>
              <w:left w:val="single" w:sz="8" w:color="CCEEFF"/>
            </w:tcBorders>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24,914,858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21,516,000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Par /</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8"/>
                <w:szCs w:val="1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Fair Value</w:t>
            </w:r>
            <w:r>
              <w:rPr>
                <w:rFonts w:ascii="Arial" w:cs="Arial" w:eastAsia="Arial" w:hAnsi="Arial"/>
                <w:sz w:val="30"/>
                <w:szCs w:val="30"/>
                <w:b w:val="1"/>
                <w:bCs w:val="1"/>
                <w:color w:val="auto"/>
                <w:w w:val="92"/>
                <w:vertAlign w:val="superscript"/>
              </w:rPr>
              <w:t>2</w:t>
            </w:r>
          </w:p>
        </w:tc>
        <w:tc>
          <w:tcPr>
            <w:tcW w:w="0" w:type="dxa"/>
            <w:vAlign w:val="bottom"/>
          </w:tcPr>
          <w:p>
            <w:pPr>
              <w:spacing w:after="0"/>
              <w:rPr>
                <w:sz w:val="1"/>
                <w:szCs w:val="1"/>
                <w:color w:val="auto"/>
              </w:rPr>
            </w:pPr>
          </w:p>
        </w:tc>
      </w:tr>
      <w:tr>
        <w:trPr>
          <w:trHeight w:val="234"/>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Short-term Investments</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Yield</w:t>
            </w: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tcBorders>
              <w:left w:val="single" w:sz="8" w:color="auto"/>
              <w:right w:val="single" w:sz="8" w:color="CCEEFF"/>
            </w:tcBorders>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86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w w:val="97"/>
              </w:rPr>
              <w:t>US Bank Money Market Account</w:t>
            </w:r>
            <w:r>
              <w:rPr>
                <w:rFonts w:ascii="Arial" w:cs="Arial" w:eastAsia="Arial" w:hAnsi="Arial"/>
                <w:sz w:val="28"/>
                <w:szCs w:val="28"/>
                <w:color w:val="auto"/>
                <w:w w:val="97"/>
                <w:vertAlign w:val="superscript"/>
              </w:rPr>
              <w:t>(7)(8)</w:t>
            </w:r>
          </w:p>
        </w:tc>
        <w:tc>
          <w:tcPr>
            <w:tcW w:w="120" w:type="dxa"/>
            <w:vAlign w:val="bottom"/>
            <w:tcBorders>
              <w:right w:val="single" w:sz="8" w:color="CCEEFF"/>
            </w:tcBorders>
            <w:vMerge w:val="continue"/>
            <w:shd w:val="clear" w:color="auto" w:fill="CCEEFF"/>
          </w:tcPr>
          <w:p>
            <w:pPr>
              <w:spacing w:after="0"/>
              <w:rPr>
                <w:sz w:val="21"/>
                <w:szCs w:val="21"/>
                <w:color w:val="auto"/>
              </w:rPr>
            </w:pPr>
          </w:p>
        </w:tc>
        <w:tc>
          <w:tcPr>
            <w:tcW w:w="412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52,293,570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2980" w:type="dxa"/>
            <w:vAlign w:val="bottom"/>
            <w:tcBorders>
              <w:right w:val="single" w:sz="8" w:color="CCEEFF"/>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U.S Treasury Bills - CUSIP:</w:t>
            </w:r>
          </w:p>
        </w:tc>
        <w:tc>
          <w:tcPr>
            <w:tcW w:w="140" w:type="dxa"/>
            <w:vAlign w:val="bottom"/>
            <w:tcBorders>
              <w:lef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980" w:type="dxa"/>
            <w:vAlign w:val="bottom"/>
            <w:tcBorders>
              <w:right w:val="single" w:sz="8" w:color="CCEEFF"/>
            </w:tcBorders>
            <w:gridSpan w:val="2"/>
            <w:shd w:val="clear" w:color="auto" w:fill="CCEEFF"/>
          </w:tcPr>
          <w:p>
            <w:pPr>
              <w:spacing w:after="0" w:line="281" w:lineRule="exact"/>
              <w:rPr>
                <w:sz w:val="20"/>
                <w:szCs w:val="20"/>
                <w:color w:val="auto"/>
              </w:rPr>
            </w:pPr>
            <w:r>
              <w:rPr>
                <w:rFonts w:ascii="Arial" w:cs="Arial" w:eastAsia="Arial" w:hAnsi="Arial"/>
                <w:sz w:val="18"/>
                <w:szCs w:val="18"/>
                <w:color w:val="auto"/>
              </w:rPr>
              <w:t>912796MLO</w:t>
            </w:r>
            <w:r>
              <w:rPr>
                <w:rFonts w:ascii="Arial" w:cs="Arial" w:eastAsia="Arial" w:hAnsi="Arial"/>
                <w:sz w:val="30"/>
                <w:szCs w:val="30"/>
                <w:color w:val="auto"/>
                <w:vertAlign w:val="superscript"/>
              </w:rPr>
              <w:t>(8)</w:t>
            </w:r>
          </w:p>
        </w:tc>
        <w:tc>
          <w:tcPr>
            <w:tcW w:w="4120" w:type="dxa"/>
            <w:vAlign w:val="bottom"/>
            <w:tcBorders>
              <w:left w:val="single" w:sz="8" w:color="CCEEFF"/>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U.S. Government Obligation</w:t>
            </w: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25,006,750</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80" w:type="dxa"/>
            <w:vAlign w:val="bottom"/>
            <w:tcBorders>
              <w:right w:val="single" w:sz="8" w:color="CCEEFF"/>
            </w:tcBorders>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Short-term Investments</w:t>
            </w:r>
          </w:p>
        </w:tc>
        <w:tc>
          <w:tcPr>
            <w:tcW w:w="140" w:type="dxa"/>
            <w:vAlign w:val="bottom"/>
            <w:tcBorders>
              <w:lef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6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34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(43% of net asset value at fair value)</w:t>
            </w:r>
          </w:p>
        </w:tc>
        <w:tc>
          <w:tcPr>
            <w:tcW w:w="2660" w:type="dxa"/>
            <w:vAlign w:val="bottom"/>
            <w:tcBorders>
              <w:right w:val="single" w:sz="8" w:color="CCEEFF"/>
            </w:tcBorders>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77,300,320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77,300,320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gridSpan w:val="2"/>
            <w:vMerge w:val="restart"/>
          </w:tcPr>
          <w:p>
            <w:pPr>
              <w:spacing w:after="0" w:line="284" w:lineRule="exact"/>
              <w:rPr>
                <w:sz w:val="20"/>
                <w:szCs w:val="20"/>
                <w:color w:val="auto"/>
              </w:rPr>
            </w:pPr>
            <w:r>
              <w:rPr>
                <w:rFonts w:ascii="Arial" w:cs="Arial" w:eastAsia="Arial" w:hAnsi="Arial"/>
                <w:sz w:val="18"/>
                <w:szCs w:val="18"/>
                <w:b w:val="1"/>
                <w:bCs w:val="1"/>
                <w:color w:val="auto"/>
              </w:rPr>
              <w:t>Total Investments</w:t>
            </w:r>
            <w:r>
              <w:rPr>
                <w:rFonts w:ascii="Arial" w:cs="Arial" w:eastAsia="Arial" w:hAnsi="Arial"/>
                <w:sz w:val="30"/>
                <w:szCs w:val="30"/>
                <w:b w:val="1"/>
                <w:bCs w:val="1"/>
                <w:color w:val="auto"/>
                <w:vertAlign w:val="superscript"/>
              </w:rPr>
              <w:t>4</w:t>
            </w: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980" w:type="dxa"/>
            <w:vAlign w:val="bottom"/>
            <w:gridSpan w:val="2"/>
            <w:vMerge w:val="continue"/>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362,895,917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311,956,156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10"/>
        <w:spacing w:after="0" w:line="224" w:lineRule="auto"/>
        <w:tabs>
          <w:tab w:leader="none" w:pos="34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2017. As noted in the table above, 74% (based on par) of debt securities contain LIBOR floors which range between 1.00% and 3.0%.</w:t>
      </w:r>
    </w:p>
    <w:p>
      <w:pPr>
        <w:spacing w:after="0" w:line="87" w:lineRule="exact"/>
        <w:rPr>
          <w:sz w:val="20"/>
          <w:szCs w:val="20"/>
          <w:color w:val="auto"/>
        </w:rPr>
      </w:pPr>
    </w:p>
    <w:p>
      <w:pPr>
        <w:ind w:left="340" w:hanging="310"/>
        <w:spacing w:after="0"/>
        <w:tabs>
          <w:tab w:leader="none" w:pos="34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2017, as determined by the Company’s Board of Directors.</w:t>
      </w:r>
    </w:p>
    <w:p>
      <w:pPr>
        <w:spacing w:after="0" w:line="87" w:lineRule="exact"/>
        <w:rPr>
          <w:sz w:val="20"/>
          <w:szCs w:val="20"/>
          <w:color w:val="auto"/>
        </w:rPr>
      </w:pPr>
    </w:p>
    <w:p>
      <w:pPr>
        <w:ind w:left="340" w:hanging="310"/>
        <w:spacing w:after="0"/>
        <w:tabs>
          <w:tab w:leader="none" w:pos="34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2" w:lineRule="exact"/>
        <w:rPr>
          <w:sz w:val="20"/>
          <w:szCs w:val="20"/>
          <w:color w:val="auto"/>
        </w:rPr>
      </w:pPr>
    </w:p>
    <w:p>
      <w:pPr>
        <w:ind w:left="340" w:right="660" w:hanging="310"/>
        <w:spacing w:after="0" w:line="209" w:lineRule="auto"/>
        <w:tabs>
          <w:tab w:leader="none" w:pos="340" w:val="left"/>
        </w:tabs>
        <w:numPr>
          <w:ilvl w:val="0"/>
          <w:numId w:val="16"/>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$363 million. The aggregate gross unrealized appreciation is approximately $1.1 million, the aggregate gross unrealized depreciation is approximately $52.0 million, and the net unrealized depreciation is approximately $50.9 million.</w:t>
      </w:r>
    </w:p>
    <w:p>
      <w:pPr>
        <w:spacing w:after="0" w:line="89" w:lineRule="exact"/>
        <w:rPr>
          <w:sz w:val="20"/>
          <w:szCs w:val="20"/>
          <w:color w:val="auto"/>
        </w:rPr>
      </w:pPr>
    </w:p>
    <w:p>
      <w:pPr>
        <w:ind w:left="340" w:hanging="310"/>
        <w:spacing w:after="0"/>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No loan or debt securities were on non-accrual status as of December 31, 2017.</w:t>
      </w:r>
    </w:p>
    <w:p>
      <w:pPr>
        <w:spacing w:after="0" w:line="110" w:lineRule="exact"/>
        <w:rPr>
          <w:sz w:val="20"/>
          <w:szCs w:val="20"/>
          <w:color w:val="auto"/>
        </w:rPr>
      </w:pPr>
    </w:p>
    <w:p>
      <w:pPr>
        <w:ind w:left="340" w:hanging="310"/>
        <w:spacing w:after="0"/>
        <w:tabs>
          <w:tab w:leader="none" w:pos="3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340" w:hanging="310"/>
        <w:spacing w:after="0"/>
        <w:tabs>
          <w:tab w:leader="none" w:pos="34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cash.</w:t>
      </w:r>
    </w:p>
    <w:p>
      <w:pPr>
        <w:spacing w:after="0" w:line="202" w:lineRule="exact"/>
        <w:rPr>
          <w:sz w:val="20"/>
          <w:szCs w:val="20"/>
          <w:color w:val="auto"/>
        </w:rPr>
      </w:pPr>
    </w:p>
    <w:p>
      <w:pPr>
        <w:ind w:left="3500" w:right="2720" w:hanging="3470"/>
        <w:spacing w:after="0" w:line="400" w:lineRule="auto"/>
        <w:tabs>
          <w:tab w:leader="none" w:pos="340" w:val="left"/>
        </w:tabs>
        <w:numPr>
          <w:ilvl w:val="0"/>
          <w:numId w:val="20"/>
        </w:numPr>
        <w:rPr>
          <w:rFonts w:ascii="Arial" w:cs="Arial" w:eastAsia="Arial" w:hAnsi="Arial"/>
          <w:sz w:val="28"/>
          <w:szCs w:val="28"/>
          <w:color w:val="auto"/>
          <w:vertAlign w:val="superscript"/>
        </w:rPr>
      </w:pPr>
      <w:r>
        <w:rPr>
          <w:rFonts w:ascii="Arial" w:cs="Arial" w:eastAsia="Arial" w:hAnsi="Arial"/>
          <w:sz w:val="17"/>
          <w:szCs w:val="17"/>
          <w:color w:val="auto"/>
        </w:rPr>
        <w:t>Qualified asset for purposes of section 55(a) of the Investment Company Act of 1940, as amended (the “1940 Act”). See accompanying 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ind w:left="310" w:right="40" w:hanging="310"/>
        <w:spacing w:after="0" w:line="218" w:lineRule="auto"/>
        <w:tabs>
          <w:tab w:leader="none" w:pos="31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The Company is deemed to “Control” and be an “Affiliated Person” of the Asset Manager Affiliates, each as defined in the 1940 Act, as the Company owns 100% of each Asset Manager Affiliate’s outstanding voting securities. In general, under the 1940 Act, the Company would be presumed to “Control” a portfolio company if it owned 25% or more of its voting securities and would be an “Affiliated Person” of a portfolio company if it owned 5% or more of its voting securities.</w:t>
      </w:r>
    </w:p>
    <w:p>
      <w:pPr>
        <w:spacing w:after="0" w:line="88" w:lineRule="exact"/>
        <w:rPr>
          <w:sz w:val="20"/>
          <w:szCs w:val="20"/>
          <w:color w:val="auto"/>
        </w:rPr>
      </w:pPr>
    </w:p>
    <w:p>
      <w:pPr>
        <w:ind w:left="310" w:hanging="310"/>
        <w:spacing w:after="0"/>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Non-voting.</w:t>
      </w:r>
    </w:p>
    <w:p>
      <w:pPr>
        <w:spacing w:after="0" w:line="201" w:lineRule="exact"/>
        <w:rPr>
          <w:rFonts w:ascii="Arial" w:cs="Arial" w:eastAsia="Arial" w:hAnsi="Arial"/>
          <w:sz w:val="30"/>
          <w:szCs w:val="30"/>
          <w:color w:val="auto"/>
          <w:vertAlign w:val="superscript"/>
        </w:rPr>
      </w:pPr>
    </w:p>
    <w:p>
      <w:pPr>
        <w:jc w:val="both"/>
        <w:ind w:left="310" w:hanging="310"/>
        <w:spacing w:after="0" w:line="218" w:lineRule="auto"/>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88" w:lineRule="exact"/>
        <w:rPr>
          <w:rFonts w:ascii="Arial" w:cs="Arial" w:eastAsia="Arial" w:hAnsi="Arial"/>
          <w:sz w:val="30"/>
          <w:szCs w:val="30"/>
          <w:color w:val="auto"/>
          <w:vertAlign w:val="superscript"/>
        </w:rPr>
      </w:pPr>
    </w:p>
    <w:p>
      <w:pPr>
        <w:ind w:left="310" w:hanging="310"/>
        <w:spacing w:after="0"/>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201" w:lineRule="exact"/>
        <w:rPr>
          <w:rFonts w:ascii="Arial" w:cs="Arial" w:eastAsia="Arial" w:hAnsi="Arial"/>
          <w:sz w:val="30"/>
          <w:szCs w:val="30"/>
          <w:color w:val="auto"/>
          <w:vertAlign w:val="superscript"/>
        </w:rPr>
      </w:pPr>
    </w:p>
    <w:p>
      <w:pPr>
        <w:ind w:left="310" w:right="3500" w:hanging="310"/>
        <w:spacing w:after="0" w:line="194" w:lineRule="auto"/>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Loan or security was on partial nonaccrual status, whereby we have recognized income on a portion of contractual PIK amounts due.</w:t>
      </w:r>
    </w:p>
    <w:p>
      <w:pPr>
        <w:spacing w:after="0" w:line="87" w:lineRule="exact"/>
        <w:rPr>
          <w:rFonts w:ascii="Arial" w:cs="Arial" w:eastAsia="Arial" w:hAnsi="Arial"/>
          <w:sz w:val="30"/>
          <w:szCs w:val="30"/>
          <w:color w:val="auto"/>
          <w:vertAlign w:val="superscript"/>
        </w:rPr>
      </w:pPr>
    </w:p>
    <w:p>
      <w:pPr>
        <w:ind w:left="310" w:hanging="310"/>
        <w:spacing w:after="0"/>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201" w:lineRule="exact"/>
        <w:rPr>
          <w:rFonts w:ascii="Arial" w:cs="Arial" w:eastAsia="Arial" w:hAnsi="Arial"/>
          <w:sz w:val="30"/>
          <w:szCs w:val="30"/>
          <w:color w:val="auto"/>
          <w:vertAlign w:val="superscript"/>
        </w:rPr>
      </w:pPr>
    </w:p>
    <w:p>
      <w:pPr>
        <w:ind w:left="310" w:right="280" w:hanging="310"/>
        <w:spacing w:after="0" w:line="218" w:lineRule="auto"/>
        <w:tabs>
          <w:tab w:leader="none" w:pos="31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03" w:lineRule="exact"/>
        <w:rPr>
          <w:sz w:val="20"/>
          <w:szCs w:val="20"/>
          <w:color w:val="auto"/>
        </w:rPr>
      </w:pPr>
    </w:p>
    <w:p>
      <w:pPr>
        <w:jc w:val="center"/>
        <w:ind w:right="-16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18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90"/>
          </w:cols>
          <w:pgMar w:left="270" w:top="908" w:right="4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gridSpan w:val="5"/>
          </w:tcPr>
          <w:p>
            <w:pPr>
              <w:jc w:val="right"/>
              <w:ind w:right="11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4.87</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0.13</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tcPr>
          <w:p>
            <w:pPr>
              <w:ind w:left="160"/>
              <w:spacing w:after="0" w:line="256" w:lineRule="exact"/>
              <w:rPr>
                <w:sz w:val="20"/>
                <w:szCs w:val="20"/>
                <w:color w:val="auto"/>
              </w:rPr>
            </w:pPr>
            <w:r>
              <w:rPr>
                <w:rFonts w:ascii="Arial" w:cs="Arial" w:eastAsia="Arial" w:hAnsi="Arial"/>
                <w:sz w:val="18"/>
                <w:szCs w:val="18"/>
                <w:color w:val="auto"/>
              </w:rPr>
              <w:t>Net realized gains (losses) from investments</w:t>
            </w:r>
            <w:r>
              <w:rPr>
                <w:rFonts w:ascii="Arial" w:cs="Arial" w:eastAsia="Arial" w:hAnsi="Arial"/>
                <w:sz w:val="29"/>
                <w:szCs w:val="29"/>
                <w:color w:val="auto"/>
                <w:vertAlign w:val="superscript"/>
              </w:rPr>
              <w:t>1</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700" w:type="dxa"/>
            <w:vAlign w:val="bottom"/>
            <w:shd w:val="clear" w:color="auto" w:fill="CCEEFF"/>
          </w:tcPr>
          <w:p>
            <w:pPr>
              <w:ind w:left="160"/>
              <w:spacing w:after="0" w:line="269"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30"/>
                <w:szCs w:val="30"/>
                <w:color w:val="auto"/>
                <w:vertAlign w:val="superscript"/>
              </w:rPr>
              <w:t>1</w:t>
            </w: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3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Net increase in net assets resulting from operations</w:t>
            </w:r>
          </w:p>
        </w:tc>
        <w:tc>
          <w:tcPr>
            <w:tcW w:w="1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decrease in net assets resulting from stockholder distributions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share transactions: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reinvestment plan</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0.00</w:t>
            </w:r>
          </w:p>
        </w:tc>
        <w:tc>
          <w:tcPr>
            <w:tcW w:w="3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w:t>
            </w: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0.02</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increase in net assets relating to stock-based transactions</w:t>
            </w:r>
          </w:p>
        </w:tc>
        <w:tc>
          <w:tcPr>
            <w:tcW w:w="12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asset value, end of period</w:t>
            </w:r>
          </w:p>
        </w:tc>
        <w:tc>
          <w:tcPr>
            <w:tcW w:w="12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vMerge w:val="restart"/>
            <w:shd w:val="clear" w:color="auto" w:fill="CCEEFF"/>
          </w:tcPr>
          <w:p>
            <w:pPr>
              <w:spacing w:after="0" w:line="230" w:lineRule="exact"/>
              <w:rPr>
                <w:sz w:val="20"/>
                <w:szCs w:val="20"/>
                <w:color w:val="auto"/>
              </w:rPr>
            </w:pPr>
            <w:r>
              <w:rPr>
                <w:rFonts w:ascii="Arial" w:cs="Arial" w:eastAsia="Arial" w:hAnsi="Arial"/>
                <w:sz w:val="16"/>
                <w:szCs w:val="16"/>
                <w:color w:val="auto"/>
              </w:rPr>
              <w:t>Total net asset value return</w:t>
            </w:r>
            <w:r>
              <w:rPr>
                <w:rFonts w:ascii="Arial" w:cs="Arial" w:eastAsia="Arial" w:hAnsi="Arial"/>
                <w:sz w:val="26"/>
                <w:szCs w:val="26"/>
                <w:color w:val="auto"/>
                <w:vertAlign w:val="superscript"/>
              </w:rPr>
              <w:t>2</w:t>
            </w: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16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37,341,924</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37,167,622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176,145,264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189,612,963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6</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Average par debt outstanding</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108,605,754</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180,556,183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ratio</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2"/>
                <w:szCs w:val="22"/>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29"/>
                <w:szCs w:val="29"/>
                <w:color w:val="auto"/>
                <w:vertAlign w:val="superscript"/>
              </w:rPr>
              <w:t>5</w:t>
            </w: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Total net asset value return (not annualized) equals the change in the net asset value per share over the beginning of period net asset value per share plus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distributions, divided by the beginning net asset value per share.</w:t>
      </w:r>
    </w:p>
    <w:p>
      <w:pPr>
        <w:spacing w:after="0" w:line="7" w:lineRule="exact"/>
        <w:rPr>
          <w:sz w:val="20"/>
          <w:szCs w:val="20"/>
          <w:color w:val="auto"/>
        </w:rPr>
      </w:pPr>
    </w:p>
    <w:p>
      <w:pPr>
        <w:ind w:left="340" w:right="60" w:hanging="332"/>
        <w:spacing w:after="0" w:line="187" w:lineRule="auto"/>
        <w:tabs>
          <w:tab w:leader="none" w:pos="34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Total market return (not annualized) equals the change in the ending market price, over the beginning of period price per share plus distributions, divided by the beginning market price.</w:t>
      </w:r>
    </w:p>
    <w:p>
      <w:pPr>
        <w:ind w:left="340" w:hanging="332"/>
        <w:spacing w:after="0" w:line="182"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spacing w:after="0" w:line="2" w:lineRule="exact"/>
        <w:rPr>
          <w:sz w:val="20"/>
          <w:szCs w:val="20"/>
          <w:color w:val="auto"/>
        </w:rPr>
      </w:pPr>
    </w:p>
    <w:p>
      <w:pPr>
        <w:ind w:left="3500" w:right="2560" w:hanging="3492"/>
        <w:spacing w:after="0" w:line="398" w:lineRule="auto"/>
        <w:tabs>
          <w:tab w:leader="none" w:pos="34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Portfolio turnover rate equals the year-to-date sales and paydowns over the average of the invested assets at fair value. See accompanying 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(“CLO”) funds (“CLO Funds”) managed by Katonah Debt Advisors and two other asset managers.</w:t>
      </w:r>
    </w:p>
    <w:p>
      <w:pPr>
        <w:spacing w:after="0" w:line="17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of June 30, 2018, Katonah Debt Advisors and Trimaran Advisors, as well as affiliated management companies Katonah 2007-1 Management, L.L.C., Trimaran Advisors Management, L.L.C. and KCAP Management, L.L.C. (collectively the “Asset Manager Affiliates”), had approximately $2.8 billion of par value assets under management. Katonah Debt Advisors and Trimaran Advisors are registered under the Investment Advisers Act of 1940, as amended, and are each managed independently from the Company by a separate management team (however, certain of the Company’s executive officers also act in similar capacities for one or more of the Asset Manager Affiliates). The Asset Manager Affiliates provide investment management services to CLO Funds, making day-to-day investment decisions concerning the assets of the CLO Funds. The Asset Manager Affiliates, either directly or through their subsidiaries, may make investments in the CLO Funds they manage. In addition, the Company holds investments in a portion of the securities issued by the CLO Funds managed by the Asset Manager Affiliates.</w:t>
      </w:r>
    </w:p>
    <w:p>
      <w:pPr>
        <w:spacing w:after="0" w:line="1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During the third quarter of 2017, the Company formed a joint venture with Freedom 3 Opportunities LLC (“Freedom 3 Opportunities”), an affiliate of Freedom 3 Capital LLC, to create KCAP Freedom 3 LLC (the "Joint Venture"). The Company and Freedom 3 Opportunities LLC contributed approximately $37 million and $25 million, respectively, in assets to the Joint Venture, which in turn used the assets to capitalize a new fund (KCAP F3C Senior Funding, L.L.C. or the "Fund") managed by KCAP Management, LLC, one of the Company's indirectly wholly-owned Asset Manager Affiliate subsidiaries.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6" w:name="page27"/>
    <w:bookmarkEnd w:id="26"/>
    <w:p>
      <w:pPr>
        <w:ind w:right="100" w:firstLine="32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Company received a cash distribution of $12.6 million, $11.8 million of which was a return of capital.</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March 29, 2018, the Company’s Board of Directors, including a “required majority” (as such term is defined in Section 57(o) of the 1940 Act) of the Board, approved the modified asset coverage requirements set forth in Section 61(a)(2) of the 1940 Act, as amended by the Small Business Credit Availability Act (“SBCA”). As a result, the Company’s asset coverage requirement for senior securities will be changed from 200% to 150%, effective as of March 29, 2019. However, despite the SBCA, we will continue to be prohibited by the indentures governing our 7.375% Notes and 6.125% Notes (each, as defined and discussed in Note 6- “Borrowings” below) from making distributions on our common stock if our asset coverage, as defined in the 1940 Act, falls below 200%. In any such event, we would be prohibited from making distributions required in order to maintain our status as a RIC.</w:t>
      </w:r>
    </w:p>
    <w:p>
      <w:pPr>
        <w:spacing w:after="0" w:line="174" w:lineRule="exact"/>
        <w:rPr>
          <w:sz w:val="20"/>
          <w:szCs w:val="20"/>
          <w:color w:val="auto"/>
        </w:rPr>
      </w:pPr>
    </w:p>
    <w:p>
      <w:pPr>
        <w:ind w:left="340" w:right="7840" w:hanging="332"/>
        <w:spacing w:after="0" w:line="503" w:lineRule="auto"/>
        <w:tabs>
          <w:tab w:leader="none" w:pos="19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U.S. generally accepted accounting principles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2017,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20" w:firstLine="324"/>
        <w:spacing w:after="0" w:line="276"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KCAP Senior Funding I Holdings, LLC and KCAP Funding I, LLC in its consolidated financial statements as they are operated solely for investment activities of the Company. The creditors of KCAP Funding I, LLC received security interests in the assets which owned by KCAP Funding I, LLC and such assets are not intended to be available to the creditors of the Company, or any other affiliate. All of the borrowings of KCAP Funding, Kolhberg Capital Funding LLC I, and KCAP Senior Funding I, LLC have been fully repaid.</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firstLine="366"/>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The Asset Manager Affiliates adopted ASU 2015-2 in 2016 which resulted in the deconsolidation of the CLO Funds managed by them.</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right="500" w:firstLine="324"/>
        <w:spacing w:after="0" w:line="264" w:lineRule="auto"/>
        <w:rPr>
          <w:sz w:val="20"/>
          <w:szCs w:val="20"/>
          <w:color w:val="auto"/>
        </w:rPr>
      </w:pPr>
      <w:r>
        <w:rPr>
          <w:rFonts w:ascii="Arial" w:cs="Arial" w:eastAsia="Arial" w:hAnsi="Arial"/>
          <w:sz w:val="18"/>
          <w:szCs w:val="18"/>
          <w:color w:val="auto"/>
        </w:rPr>
        <w:t>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8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quarter ended June 30, 2018, the Company provided approximately $61 million to portfolio companies to support their growth objectives. None of this support was contractually obligated. See also Note 8 – Commitments and Contingencies. As of June 30, 2018, the Company held loans it has made to 48 investee companies with aggregate principal amounts of approximately $171.6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six months ended June 30, 2018, the Company did not engage in any such or similar activities.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the financial instruments are scoped out of ASC 606, and therefore, there was no material impact from adoption.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Pending accounting pronouncements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2017, the Financial Accounting Standards Board issued an Accounting Standards Update, ASU 2017-08, Receivables — Nonrefundable Fees and Other Costs (Subtopic 310-20), Premium Amortization on Purchased Callable Debt Securities (“ASU 2017-08”) which amends the amortization period for certain purchased callable debt securities held at a premium, shortening such period to the earliest call date. ASU 2017-08 does not require any accounting change for debt securities held at a discount; the discount continues to be amortized to maturity. ASU 2017-08 is effective for fiscal years, and interim periods within those fiscal years, beginning after December 15, 2018. At this time, management is evaluating the implications of these changes on the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w:t>
      </w:r>
    </w:p>
    <w:p>
      <w:pPr>
        <w:spacing w:after="0" w:line="17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U.S.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178" w:lineRule="exact"/>
        <w:rPr>
          <w:sz w:val="20"/>
          <w:szCs w:val="20"/>
          <w:color w:val="auto"/>
        </w:rPr>
      </w:pPr>
    </w:p>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right="4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Consolidated Schedules of Investments.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193"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0" w:name="page31"/>
    <w:bookmarkEnd w:id="30"/>
    <w:p>
      <w:pPr>
        <w:ind w:right="10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i w:val="1"/>
          <w:iCs w:val="1"/>
          <w:color w:val="auto"/>
        </w:rPr>
        <w:t>Joint Venture</w:t>
      </w:r>
      <w:r>
        <w:rPr>
          <w:rFonts w:ascii="Arial" w:cs="Arial" w:eastAsia="Arial" w:hAnsi="Arial"/>
          <w:sz w:val="18"/>
          <w:szCs w:val="18"/>
          <w:color w:val="auto"/>
        </w:rPr>
        <w:t>. The Company carries investments in joint ventures at fair value based upon the fair value of the investments held by the joint venture.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4 below, for more information regarding the Joint Venture.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i w:val="1"/>
          <w:iCs w:val="1"/>
          <w:color w:val="auto"/>
        </w:rPr>
        <w:t>Restricted Cash</w:t>
      </w:r>
      <w:r>
        <w:rPr>
          <w:rFonts w:ascii="Arial" w:cs="Arial" w:eastAsia="Arial" w:hAnsi="Arial"/>
          <w:sz w:val="17"/>
          <w:szCs w:val="17"/>
          <w:color w:val="auto"/>
        </w:rPr>
        <w:t>. Restricted cash and cash equivalents (e.g. money market funds) consists of cash held for reinvestment and quarterly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distribution (if any) to holders of notes issued by KCAP Funding I, LLC and/or KCAP Senior Funding I, LLC.</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Short-term investments are generally comprised of money market accounts, time deposits, and U.S. treasury bills.</w:t>
      </w:r>
    </w:p>
    <w:p>
      <w:pPr>
        <w:spacing w:after="0" w:line="22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including the amortization of premium and accretion of discount and accrual of payment-in-kind (“PIK”) interest,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on the accrual basis to the extent that such amounts are expected to be collected. The Company generally places a loan or security on non-accrual status and ceases recognizing interest income on such loan or security when a loan or security becomes 90 days or more past due or if the Company otherwise does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2018, one of our investments was on non-accrual status, and two of our investments were on partial non-accrual status, whereby we have recognized income on a portion of contractual PIK amounts due.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full-year.</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KCAP F3C Senior Funding, LLC, interest is earned at a fixed spread relative to the LIBOR index.</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i w:val="1"/>
          <w:iCs w:val="1"/>
          <w:color w:val="auto"/>
        </w:rPr>
        <w:t xml:space="preserve">Investment in Joint Venture. </w:t>
      </w:r>
      <w:r>
        <w:rPr>
          <w:rFonts w:ascii="Arial" w:cs="Arial" w:eastAsia="Arial" w:hAnsi="Arial"/>
          <w:sz w:val="16"/>
          <w:szCs w:val="16"/>
          <w:color w:val="auto"/>
        </w:rPr>
        <w:t>For the three months and six months ended June 30, 2018, the Company recognized $700,000 and $1.4 million in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from its investment in the Joint Venture. As of June 30, 2018 and December 31, 2017, the fair value of the Company’s investment in the Joint venture was $21.1 million and $21.5 million, respectively.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based upon taxable income and distributions for the full year. Therefore, any estimate of tax attributes of distributions made on an interim basis may not be representative of the actual tax attributes of distributions for the full year.</w:t>
      </w:r>
    </w:p>
    <w:p>
      <w:pPr>
        <w:spacing w:after="0" w:line="16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0" w:firstLine="41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capitalized and amortized using the effective interest method over the expected term of the borrowing.</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340" w:firstLine="32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accordance with the provisions of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4"/>
          </w:tcPr>
          <w:p>
            <w:pPr>
              <w:jc w:val="right"/>
              <w:spacing w:after="0"/>
              <w:rPr>
                <w:sz w:val="20"/>
                <w:szCs w:val="20"/>
                <w:color w:val="auto"/>
              </w:rPr>
            </w:pPr>
            <w:r>
              <w:rPr>
                <w:rFonts w:ascii="Arial" w:cs="Arial" w:eastAsia="Arial" w:hAnsi="Arial"/>
                <w:sz w:val="18"/>
                <w:szCs w:val="18"/>
                <w:b w:val="1"/>
                <w:bCs w:val="1"/>
                <w:color w:val="auto"/>
              </w:rPr>
              <w:t>(unaudited)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20"/>
                <w:szCs w:val="20"/>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(1,311,772)</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2,521,727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1,297,622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w w:val="97"/>
              </w:rPr>
              <w:t>Net (decrease) increase in net assets allocated to unvested share awards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10,438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(21,340)</w:t>
            </w: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(10,035)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(decrease) increase in net assets available to common stockholders</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2,500,387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vMerge w:val="restart"/>
          </w:tcPr>
          <w:p>
            <w:pPr>
              <w:spacing w:after="0" w:line="195" w:lineRule="exact"/>
              <w:rPr>
                <w:sz w:val="20"/>
                <w:szCs w:val="20"/>
                <w:color w:val="auto"/>
              </w:rPr>
            </w:pPr>
            <w:r>
              <w:rPr>
                <w:rFonts w:ascii="Arial" w:cs="Arial" w:eastAsia="Arial" w:hAnsi="Arial"/>
                <w:sz w:val="18"/>
                <w:szCs w:val="18"/>
                <w:color w:val="auto"/>
                <w:w w:val="94"/>
              </w:rPr>
              <w:t>Weighted average number of common and common stock equivalent shares</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7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760" w:type="dxa"/>
            <w:vAlign w:val="bottom"/>
            <w:gridSpan w:val="2"/>
          </w:tcPr>
          <w:p>
            <w:pPr>
              <w:spacing w:after="0"/>
              <w:rPr>
                <w:sz w:val="20"/>
                <w:szCs w:val="20"/>
                <w:color w:val="auto"/>
              </w:rPr>
            </w:pPr>
            <w:r>
              <w:rPr>
                <w:rFonts w:ascii="Arial" w:cs="Arial" w:eastAsia="Arial" w:hAnsi="Arial"/>
                <w:sz w:val="18"/>
                <w:szCs w:val="18"/>
                <w:color w:val="auto"/>
              </w:rPr>
              <w:t>outstanding for diluted shares computation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37,363,038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37,206,487</w:t>
            </w:r>
          </w:p>
        </w:tc>
        <w:tc>
          <w:tcPr>
            <w:tcW w:w="14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37,356,759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37,204,751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7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(decrease) increase in net assets per basic common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from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Net (decrease) increase in net assets per diluted shares: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from operations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4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There were 30,000 and 50,000 options to purchase shares of common stock considered for the computation of the diluted per share information for the three and six months ended June 30, 2018 and 2017. Since the effects are anti-dilutive for both periods, the options were not included in the computation.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r>
              <w:rPr>
                <w:rFonts w:ascii="Arial" w:cs="Arial" w:eastAsia="Arial" w:hAnsi="Arial"/>
                <w:sz w:val="18"/>
                <w:szCs w:val="18"/>
                <w:b w:val="1"/>
                <w:bCs w:val="1"/>
                <w:color w:val="auto"/>
              </w:rPr>
              <w:t>4. INVESTMENTS</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00" w:type="dxa"/>
            <w:vAlign w:val="bottom"/>
            <w:gridSpan w:val="17"/>
          </w:tcPr>
          <w:p>
            <w:pPr>
              <w:ind w:left="340"/>
              <w:spacing w:after="0"/>
              <w:rPr>
                <w:sz w:val="20"/>
                <w:szCs w:val="20"/>
                <w:color w:val="auto"/>
              </w:rPr>
            </w:pPr>
            <w:r>
              <w:rPr>
                <w:rFonts w:ascii="Arial" w:cs="Arial" w:eastAsia="Arial" w:hAnsi="Arial"/>
                <w:sz w:val="18"/>
                <w:szCs w:val="18"/>
                <w:color w:val="auto"/>
                <w:w w:val="97"/>
              </w:rPr>
              <w:t>The following table shows the Company’s portfolio by security type at June 30, 2018 and December 31, 2017: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1"/>
              </w:rPr>
              <w:t>June 30, 2018 (unaudited)</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ind w:left="920"/>
              <w:spacing w:after="0"/>
              <w:rPr>
                <w:sz w:val="20"/>
                <w:szCs w:val="20"/>
                <w:color w:val="auto"/>
              </w:rPr>
            </w:pPr>
            <w:r>
              <w:rPr>
                <w:rFonts w:ascii="Arial" w:cs="Arial" w:eastAsia="Arial" w:hAnsi="Arial"/>
                <w:sz w:val="18"/>
                <w:szCs w:val="18"/>
                <w:b w:val="1"/>
                <w:bCs w:val="1"/>
                <w:color w:val="auto"/>
                <w:w w:val="99"/>
              </w:rPr>
              <w:t>December 31, 2017</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8"/>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06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6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7"/>
                <w:szCs w:val="27"/>
                <w:color w:val="auto"/>
                <w:vertAlign w:val="superscript"/>
              </w:rPr>
              <w:t>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11,454,078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11,454,078</w:t>
            </w:r>
          </w:p>
        </w:tc>
        <w:tc>
          <w:tcPr>
            <w:tcW w:w="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77,300,320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77,300,320</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62,122,920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58,324,196</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48,337,900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44,960,146</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78,346,396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74,037,768</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62,561,913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58,941,300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Senior Unsecured Loan</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29,777,282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29,777,282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12,777,283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12,777,283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1,502,374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1,518,750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CLO Fund Securities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59,446,300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37,972,985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72,339,032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51,678,673</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10,571,007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4,251,111</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10,571,007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4,414,684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960" w:type="dxa"/>
            <w:vAlign w:val="bottom"/>
          </w:tcPr>
          <w:p>
            <w:pPr>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51,591,230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36,853,000</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52,591,230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38,849,000</w:t>
            </w:r>
          </w:p>
        </w:tc>
        <w:tc>
          <w:tcPr>
            <w:tcW w:w="200" w:type="dxa"/>
            <w:vAlign w:val="bottom"/>
          </w:tcPr>
          <w:p>
            <w:pPr>
              <w:spacing w:after="0"/>
              <w:rPr>
                <w:sz w:val="22"/>
                <w:szCs w:val="22"/>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24,914,858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21,091,494</w:t>
            </w: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24,914,858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21,516,000</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328,224,071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273,761,914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362,895,917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5"/>
              </w:rPr>
              <w:t>311,956,156</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total portfolio at fair value.</w:t>
      </w:r>
    </w:p>
    <w:p>
      <w:pPr>
        <w:ind w:left="340" w:hanging="332"/>
        <w:spacing w:after="0" w:line="180"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6"/>
          <w:szCs w:val="16"/>
          <w:color w:val="auto"/>
        </w:rPr>
        <w:t>Includes money market accounts and U.S. treasury bills.</w:t>
      </w:r>
    </w:p>
    <w:p>
      <w:pPr>
        <w:ind w:left="340" w:hanging="332"/>
        <w:spacing w:after="0" w:line="180"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2018 and December 31, 2017,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600"/>
              <w:spacing w:after="0"/>
              <w:rPr>
                <w:sz w:val="20"/>
                <w:szCs w:val="20"/>
                <w:color w:val="auto"/>
              </w:rPr>
            </w:pPr>
            <w:r>
              <w:rPr>
                <w:rFonts w:ascii="Arial" w:cs="Arial" w:eastAsia="Arial" w:hAnsi="Arial"/>
                <w:sz w:val="18"/>
                <w:szCs w:val="18"/>
                <w:b w:val="1"/>
                <w:bCs w:val="1"/>
                <w:color w:val="auto"/>
                <w:w w:val="93"/>
              </w:rPr>
              <w:t>June 30, 2018 (unaudited)</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December 31, 2017</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8"/>
              </w:rPr>
              <w:t>Cost/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88"/>
              </w:rPr>
              <w:t>Cost/</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Fair Value</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5,423,072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4,876,425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4,115,487</w:t>
            </w: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390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51,591,230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36,853,000</w:t>
            </w: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52,591,230</w:t>
            </w:r>
          </w:p>
        </w:tc>
        <w:tc>
          <w:tcPr>
            <w:tcW w:w="1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38,849,000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4,447,205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4,395,587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4,458,962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4,418,391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5,978,372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5,877,619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7,496,438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7,435,050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9,423,335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8,555,748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5,454,621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4,680,821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6,652,974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6,619,400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59,446,300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37,972,985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72,339,032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51,678,673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997,633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989,895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1,004,093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999,872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1,093,572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839,450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1,071,340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805,607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599,752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602,344</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691,234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694,662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17,222,218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12,499,467</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14,932,542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11,433,777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8,466,453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7,423,009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6,330,630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5,766,437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1,600,960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1,558,556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1,600,960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41,248,780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36,188,183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30,367,449</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25,512,654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14,132,583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14,030,079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18,229,229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18,260,577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24,914,858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21,091,494</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24,914,858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21,516,000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3,283,670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3,230,850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3,371,086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3,318,296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29,777,283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29,777,283</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12,777,283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12,777,283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Services: Business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9,479,862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8,299,523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3,563,574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2,366,400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6,444,954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6,419,200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6,455,489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6,466,949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Textiles and Leather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10,183,566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10,162,735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7,950,994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7,947,940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11,454,078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11,454,078</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52,293,570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52,293,570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Transportation: Cargo</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4,000,768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4,001,600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4,000,901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4,010,000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25,006,750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25,006,750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328,224,071</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273,761,914</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362,895,917</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311,956,156</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29"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At June 30, 2018 and December 31, 2017, the total amount of non-qualifying assets was approximately 22% and 23% of total assets, respectively. The majority of non-qualifying assets were foreign investments which were approximately 14% and 16%, respectively, of the Company’s total assets (including the Company’s investments in CLO Funds, which are typically domiciled outside the U.S. and represented approximately 14% and 16% of its total assets on such dates,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June 2016, the Company sold $7.0 million par value of the Subordinated Notes of Catamaran 2015-1 for $4.2 million.</w:t>
      </w:r>
    </w:p>
    <w:p>
      <w:pPr>
        <w:spacing w:after="0" w:line="22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December 2016, the Company purchased $10.1 million of the par value of the Subordinated Notes of Catamaran 2016-1 CLO (“Catamaran 2016-1”) managed by Trimaran Advisors.</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October 31, 2017, the Company purchased an additional $4.3 million of notional amount of Subordinated Notes issued by Catamaran CLO 2014-1 at a cost of $5.4 million.</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December 2017, the Company purchased an additional $201,000 of notional amount of Subordinated Notes issued by Catamaran CLO 2013-1 at a cost of $201,000.</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December 2017, the Company sold $5.0 million par value of the Subordinated Notes of Catamaran CLO 2014-1 for $3.0 million.</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Except for Katonah 2007-1 CLO Ltd, (“Katonah 2007-1”), Trimaran VII CLO Ltd, and Catamaran 2012-1 CLO, Ltd, all of which have been called, CLO Funds managed by the Asset Manager Affiliates are currently making quarterly distributions to the Company with respect to its interests in the CLO Funds and are paying all senior and subordinate management fees to the Asset Manager Affiliates. With the exception of Katonah III, Ltd. and Grant Grove CLO, Ltd. (both of which have been called), the remaining third-party managed CLO Fund is making distributions to the Company.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June 30, 2018, Katonah 2007-1 had paid off all of its outstanding indebtedness and had approximately $319,000 in total assets. It is expected that Katonah 2007-1 will be fully liquidated and dissolved in 2018. The Company received approximately $10.5 million on its investment in Katonah 2007-1 during the first quarter of 2018 in connection with the continuing liquidation of Katonah 2007-1. The Company expects to record a realized loss during 2018 of approximately $10 million on its investment in Katonah 2007-1 and a corresponding unrealized gain of the same amount in order to reverse the previously recorded unrealized depreciation with respect to the investment.</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January 2018, the trustees of Catamaran CLO 2012-1, Ltd received notice that the holders of a majority of the income notes issued by Catamaran CLO 2012-1, Ltd had exercised their right of optional redemption.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Affiliate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investments in affiliates at June 30, 2018 (unaudited) and December 31,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5"/>
              </w:rPr>
              <w:t>Fair Value at of</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/(Sales)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9"/>
              </w:rPr>
              <w: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Realized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Industry Classification</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Advances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of June 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6"/>
          </w:tcPr>
          <w:p>
            <w:pPr>
              <w:spacing w:after="0"/>
              <w:rPr>
                <w:sz w:val="20"/>
                <w:szCs w:val="20"/>
                <w:color w:val="auto"/>
              </w:rPr>
            </w:pPr>
            <w:r>
              <w:rPr>
                <w:rFonts w:ascii="Arial" w:cs="Arial" w:eastAsia="Arial" w:hAnsi="Arial"/>
                <w:sz w:val="14"/>
                <w:szCs w:val="14"/>
                <w:b w:val="1"/>
                <w:bCs w:val="1"/>
                <w:color w:val="auto"/>
              </w:rPr>
              <w:t>/(Distributions)</w:t>
            </w:r>
          </w:p>
        </w:tc>
        <w:tc>
          <w:tcPr>
            <w:tcW w:w="10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Accretion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14"/>
                <w:szCs w:val="14"/>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Gain/(Loss)</w:t>
            </w:r>
          </w:p>
        </w:tc>
        <w:tc>
          <w:tcPr>
            <w:tcW w:w="6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w w:val="95"/>
              </w:rPr>
              <w:t>2018 (unaudited)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2"/>
              </w:rPr>
              <w:t>Asset Manager Affiliates</w:t>
            </w:r>
            <w:r>
              <w:rPr>
                <w:rFonts w:ascii="Arial" w:cs="Arial" w:eastAsia="Arial" w:hAnsi="Arial"/>
                <w:sz w:val="23"/>
                <w:szCs w:val="23"/>
                <w:color w:val="auto"/>
                <w:w w:val="92"/>
                <w:vertAlign w:val="superscript"/>
              </w:rPr>
              <w:t>(4)(5)(6)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w:t>
            </w:r>
          </w:p>
        </w:tc>
        <w:tc>
          <w:tcPr>
            <w:tcW w:w="2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38,849,000</w:t>
            </w:r>
          </w:p>
        </w:tc>
        <w:tc>
          <w:tcPr>
            <w:tcW w:w="22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w w:val="76"/>
              </w:rPr>
              <w:t>$</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(1,000,000)</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(996,000)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740" w:type="dxa"/>
            <w:vAlign w:val="bottom"/>
            <w:gridSpan w:val="3"/>
            <w:vMerge w:val="continue"/>
            <w:shd w:val="clear" w:color="auto" w:fill="CCEEFF"/>
          </w:tcPr>
          <w:p>
            <w:pPr>
              <w:spacing w:after="0"/>
              <w:rPr>
                <w:sz w:val="14"/>
                <w:szCs w:val="14"/>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36,853,000</w:t>
            </w:r>
          </w:p>
        </w:tc>
        <w:tc>
          <w:tcPr>
            <w:tcW w:w="4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620,000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w w:val="95"/>
              </w:rPr>
              <w:t>Revolving Credit Facility</w:t>
            </w:r>
            <w:r>
              <w:rPr>
                <w:rFonts w:ascii="Arial" w:cs="Arial" w:eastAsia="Arial" w:hAnsi="Arial"/>
                <w:sz w:val="22"/>
                <w:szCs w:val="22"/>
                <w:color w:val="auto"/>
                <w:w w:val="95"/>
                <w:vertAlign w:val="superscript"/>
              </w:rPr>
              <w:t>(4)(5)(6)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right"/>
              <w:ind w:right="80"/>
              <w:spacing w:after="0"/>
              <w:rPr>
                <w:sz w:val="20"/>
                <w:szCs w:val="20"/>
                <w:color w:val="auto"/>
              </w:rPr>
            </w:pPr>
            <w:r>
              <w:rPr>
                <w:rFonts w:ascii="Arial" w:cs="Arial" w:eastAsia="Arial" w:hAnsi="Arial"/>
                <w:sz w:val="14"/>
                <w:szCs w:val="14"/>
                <w:color w:val="auto"/>
              </w:rPr>
              <w:t>23,000,000</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23,000,000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638,631</w:t>
            </w: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8,359,051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(1,581,769)</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6,777,282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439,904</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4,418,232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(4,418,232)</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229,380</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10,770,487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(10,487,425)</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271,656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(354,719)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199,999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271,658</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20"/>
                <w:szCs w:val="20"/>
                <w:color w:val="auto"/>
                <w:vertAlign w:val="superscript"/>
              </w:rPr>
              <w:t>(1)(2)(3)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2,320,783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(2,543,968)</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264,746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8,437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49,998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264,746</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6,923,700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(756,859)</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678,261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(870,117)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5,974,985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678,262</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8,230,177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(704,498)</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685,011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1,233,354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9,444,044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685,011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4,500,962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(518,472)</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364,447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(325,754)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4,021,183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364,447</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3,569,603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(229,757)</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266,574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(299,229)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3,307,191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266,574</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8,530,684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tcPr>
          <w:p>
            <w:pPr>
              <w:jc w:val="right"/>
              <w:ind w:right="20"/>
              <w:spacing w:after="0"/>
              <w:rPr>
                <w:sz w:val="20"/>
                <w:szCs w:val="20"/>
                <w:color w:val="auto"/>
              </w:rPr>
            </w:pPr>
            <w:r>
              <w:rPr>
                <w:rFonts w:ascii="Arial" w:cs="Arial" w:eastAsia="Arial" w:hAnsi="Arial"/>
                <w:sz w:val="14"/>
                <w:szCs w:val="14"/>
                <w:color w:val="auto"/>
              </w:rPr>
              <w:t>(647,232)</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472,734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(505,966)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7,850,220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472,734</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KCAP F3C Senior Funding</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Rated Notes</w:t>
            </w:r>
            <w:r>
              <w:rPr>
                <w:rFonts w:ascii="Arial" w:cs="Arial" w:eastAsia="Arial" w:hAnsi="Arial"/>
                <w:sz w:val="22"/>
                <w:szCs w:val="22"/>
                <w:color w:val="auto"/>
                <w:vertAlign w:val="superscript"/>
              </w:rPr>
              <w:t>(2)(4)(7)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4,632,001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18,496</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37,347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4,687,844</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236,243</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KCAP Freedom 3 LLC </w:t>
            </w:r>
            <w:r>
              <w:rPr>
                <w:rFonts w:ascii="Arial" w:cs="Arial" w:eastAsia="Arial" w:hAnsi="Arial"/>
                <w:sz w:val="23"/>
                <w:szCs w:val="23"/>
                <w:color w:val="auto"/>
                <w:vertAlign w:val="superscript"/>
              </w:rPr>
              <w:t>(4)(7)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Joint Venture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21,516,000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(424,506)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21,091,494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w w:val="93"/>
              </w:rPr>
              <w:t>1,400,000</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9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Pr>
          <w:p>
            <w:pPr>
              <w:spacing w:after="0"/>
              <w:rPr>
                <w:sz w:val="20"/>
                <w:szCs w:val="20"/>
                <w:color w:val="auto"/>
              </w:rPr>
            </w:pPr>
            <w:r>
              <w:rPr>
                <w:rFonts w:ascii="Arial" w:cs="Arial" w:eastAsia="Arial" w:hAnsi="Arial"/>
                <w:sz w:val="14"/>
                <w:szCs w:val="14"/>
                <w:color w:val="auto"/>
              </w:rPr>
              <w:t>Total Affiliated Investments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20"/>
              <w:spacing w:after="0"/>
              <w:rPr>
                <w:sz w:val="20"/>
                <w:szCs w:val="20"/>
                <w:color w:val="auto"/>
              </w:rPr>
            </w:pPr>
            <w:r>
              <w:rPr>
                <w:rFonts w:ascii="Arial" w:cs="Arial" w:eastAsia="Arial" w:hAnsi="Arial"/>
                <w:sz w:val="14"/>
                <w:szCs w:val="14"/>
                <w:color w:val="auto"/>
              </w:rPr>
              <w:t>122,630,680</w:t>
            </w:r>
          </w:p>
        </w:tc>
        <w:tc>
          <w:tcPr>
            <w:tcW w:w="220" w:type="dxa"/>
            <w:vAlign w:val="bottom"/>
            <w:gridSpan w:val="3"/>
          </w:tcPr>
          <w:p>
            <w:pPr>
              <w:ind w:left="140"/>
              <w:spacing w:after="0"/>
              <w:rPr>
                <w:sz w:val="20"/>
                <w:szCs w:val="20"/>
                <w:color w:val="auto"/>
              </w:rPr>
            </w:pPr>
            <w:r>
              <w:rPr>
                <w:rFonts w:ascii="Arial" w:cs="Arial" w:eastAsia="Arial" w:hAnsi="Arial"/>
                <w:sz w:val="14"/>
                <w:szCs w:val="14"/>
                <w:color w:val="auto"/>
                <w:w w:val="76"/>
              </w:rPr>
              <w:t>$</w:t>
            </w:r>
          </w:p>
        </w:tc>
        <w:tc>
          <w:tcPr>
            <w:tcW w:w="940" w:type="dxa"/>
            <w:vAlign w:val="bottom"/>
            <w:gridSpan w:val="5"/>
          </w:tcPr>
          <w:p>
            <w:pPr>
              <w:jc w:val="right"/>
              <w:ind w:right="80"/>
              <w:spacing w:after="0"/>
              <w:rPr>
                <w:sz w:val="20"/>
                <w:szCs w:val="20"/>
                <w:color w:val="auto"/>
              </w:rPr>
            </w:pPr>
            <w:r>
              <w:rPr>
                <w:rFonts w:ascii="Arial" w:cs="Arial" w:eastAsia="Arial" w:hAnsi="Arial"/>
                <w:sz w:val="14"/>
                <w:szCs w:val="14"/>
                <w:color w:val="auto"/>
              </w:rPr>
              <w:t>111,788</w:t>
            </w:r>
          </w:p>
        </w:tc>
        <w:tc>
          <w:tcPr>
            <w:tcW w:w="820" w:type="dxa"/>
            <w:vAlign w:val="bottom"/>
            <w:gridSpan w:val="4"/>
          </w:tcPr>
          <w:p>
            <w:pPr>
              <w:jc w:val="right"/>
              <w:ind w:right="20"/>
              <w:spacing w:after="0"/>
              <w:rPr>
                <w:sz w:val="20"/>
                <w:szCs w:val="20"/>
                <w:color w:val="auto"/>
              </w:rPr>
            </w:pPr>
            <w:r>
              <w:rPr>
                <w:rFonts w:ascii="Arial" w:cs="Arial" w:eastAsia="Arial" w:hAnsi="Arial"/>
                <w:sz w:val="14"/>
                <w:szCs w:val="14"/>
                <w:color w:val="auto"/>
              </w:rPr>
              <w:t>$ 3,021,925</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line="176" w:lineRule="exact"/>
              <w:rPr>
                <w:sz w:val="20"/>
                <w:szCs w:val="20"/>
                <w:color w:val="auto"/>
              </w:rPr>
            </w:pPr>
            <w:r>
              <w:rPr>
                <w:rFonts w:ascii="Arial" w:cs="Arial" w:eastAsia="Arial" w:hAnsi="Arial"/>
                <w:sz w:val="12"/>
                <w:szCs w:val="12"/>
                <w:color w:val="auto"/>
              </w:rPr>
              <w:t>(2,497,153</w:t>
            </w:r>
            <w:r>
              <w:rPr>
                <w:rFonts w:ascii="Arial" w:cs="Arial" w:eastAsia="Arial" w:hAnsi="Arial"/>
                <w:sz w:val="20"/>
                <w:szCs w:val="20"/>
                <w:color w:val="auto"/>
                <w:vertAlign w:val="superscript"/>
              </w:rPr>
              <w:t>)</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tcPr>
          <w:p>
            <w:pPr>
              <w:ind w:left="60"/>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123,267,240</w:t>
            </w:r>
          </w:p>
        </w:tc>
        <w:tc>
          <w:tcPr>
            <w:tcW w:w="40" w:type="dxa"/>
            <w:vAlign w:val="bottom"/>
          </w:tcPr>
          <w:p>
            <w:pPr>
              <w:spacing w:after="0"/>
              <w:rPr>
                <w:sz w:val="15"/>
                <w:szCs w:val="15"/>
                <w:color w:val="auto"/>
              </w:rPr>
            </w:pPr>
          </w:p>
        </w:tc>
        <w:tc>
          <w:tcPr>
            <w:tcW w:w="980" w:type="dxa"/>
            <w:vAlign w:val="bottom"/>
            <w:gridSpan w:val="5"/>
          </w:tcPr>
          <w:p>
            <w:pPr>
              <w:jc w:val="right"/>
              <w:ind w:right="180"/>
              <w:spacing w:after="0"/>
              <w:rPr>
                <w:sz w:val="20"/>
                <w:szCs w:val="20"/>
                <w:color w:val="auto"/>
              </w:rPr>
            </w:pPr>
            <w:r>
              <w:rPr>
                <w:rFonts w:ascii="Arial" w:cs="Arial" w:eastAsia="Arial" w:hAnsi="Arial"/>
                <w:sz w:val="14"/>
                <w:szCs w:val="14"/>
                <w:color w:val="auto"/>
              </w:rPr>
              <w:t>$ 4,547,590</w:t>
            </w:r>
          </w:p>
        </w:tc>
        <w:tc>
          <w:tcPr>
            <w:tcW w:w="7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$ 2,020,000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4"/>
          </w:tcPr>
          <w:p>
            <w:pPr>
              <w:ind w:left="120"/>
              <w:spacing w:after="0"/>
              <w:rPr>
                <w:sz w:val="20"/>
                <w:szCs w:val="20"/>
                <w:color w:val="auto"/>
              </w:rPr>
            </w:pPr>
            <w:r>
              <w:rPr>
                <w:rFonts w:ascii="Arial" w:cs="Arial" w:eastAsia="Arial" w:hAnsi="Arial"/>
                <w:sz w:val="14"/>
                <w:szCs w:val="14"/>
                <w:b w:val="1"/>
                <w:bCs w:val="1"/>
                <w:color w:val="auto"/>
              </w:rPr>
              <w:t>Purchases/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Fair Value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(Sales)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8"/>
              </w:rPr>
              <w:t>Fair Value at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94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95"/>
              </w:rPr>
              <w:t>Unrealized</w:t>
            </w:r>
          </w:p>
        </w:tc>
        <w:tc>
          <w:tcPr>
            <w:tcW w:w="94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6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Interest</w:t>
            </w:r>
          </w:p>
        </w:tc>
        <w:tc>
          <w:tcPr>
            <w:tcW w:w="7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Industry Classification</w:t>
            </w:r>
          </w:p>
        </w:tc>
        <w:tc>
          <w:tcPr>
            <w:tcW w:w="60" w:type="dxa"/>
            <w:vAlign w:val="bottom"/>
          </w:tcPr>
          <w:p>
            <w:pPr>
              <w:spacing w:after="0"/>
              <w:rPr>
                <w:sz w:val="12"/>
                <w:szCs w:val="12"/>
                <w:color w:val="auto"/>
              </w:rPr>
            </w:pPr>
          </w:p>
        </w:tc>
        <w:tc>
          <w:tcPr>
            <w:tcW w:w="10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Advances/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11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of 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rPr>
              <w:t>(Distributions)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Accretion</w:t>
            </w:r>
          </w:p>
        </w:tc>
        <w:tc>
          <w:tcPr>
            <w:tcW w:w="20" w:type="dxa"/>
            <w:vAlign w:val="bottom"/>
          </w:tcPr>
          <w:p>
            <w:pPr>
              <w:spacing w:after="0"/>
              <w:rPr>
                <w:sz w:val="14"/>
                <w:szCs w:val="14"/>
                <w:color w:val="auto"/>
              </w:rPr>
            </w:pPr>
          </w:p>
        </w:tc>
        <w:tc>
          <w:tcPr>
            <w:tcW w:w="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Gain/(Loss)</w:t>
            </w:r>
          </w:p>
        </w:tc>
        <w:tc>
          <w:tcPr>
            <w:tcW w:w="940" w:type="dxa"/>
            <w:vAlign w:val="bottom"/>
            <w:gridSpan w:val="5"/>
          </w:tcPr>
          <w:p>
            <w:pPr>
              <w:ind w:left="20"/>
              <w:spacing w:after="0"/>
              <w:rPr>
                <w:sz w:val="20"/>
                <w:szCs w:val="20"/>
                <w:color w:val="auto"/>
              </w:rPr>
            </w:pPr>
            <w:r>
              <w:rPr>
                <w:rFonts w:ascii="Arial" w:cs="Arial" w:eastAsia="Arial" w:hAnsi="Arial"/>
                <w:sz w:val="14"/>
                <w:szCs w:val="14"/>
                <w:b w:val="1"/>
                <w:bCs w:val="1"/>
                <w:color w:val="auto"/>
              </w:rPr>
              <w:t>Gain/(Loss)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2"/>
              </w:rPr>
              <w:t>Asset Manager Affiliates</w:t>
            </w:r>
            <w:r>
              <w:rPr>
                <w:rFonts w:ascii="Arial" w:cs="Arial" w:eastAsia="Arial" w:hAnsi="Arial"/>
                <w:sz w:val="23"/>
                <w:szCs w:val="23"/>
                <w:color w:val="auto"/>
                <w:w w:val="92"/>
                <w:vertAlign w:val="superscript"/>
              </w:rPr>
              <w:t>(4)(5)(6)</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560" w:type="dxa"/>
            <w:vAlign w:val="bottom"/>
            <w:gridSpan w:val="2"/>
            <w:shd w:val="clear" w:color="auto" w:fill="CCEEFF"/>
          </w:tcPr>
          <w:p>
            <w:pPr>
              <w:ind w:left="20"/>
              <w:spacing w:after="0" w:line="130" w:lineRule="exact"/>
              <w:rPr>
                <w:sz w:val="20"/>
                <w:szCs w:val="20"/>
                <w:color w:val="auto"/>
              </w:rPr>
            </w:pPr>
            <w:r>
              <w:rPr>
                <w:rFonts w:ascii="Arial" w:cs="Arial" w:eastAsia="Arial" w:hAnsi="Arial"/>
                <w:sz w:val="14"/>
                <w:szCs w:val="14"/>
                <w:color w:val="auto"/>
              </w:rPr>
              <w:t>Asset Management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vMerge w:val="continue"/>
            <w:shd w:val="clear" w:color="auto" w:fill="CCEEFF"/>
          </w:tcPr>
          <w:p>
            <w:pPr>
              <w:spacing w:after="0"/>
              <w:rPr>
                <w:sz w:val="14"/>
                <w:szCs w:val="14"/>
                <w:color w:val="auto"/>
              </w:rPr>
            </w:pPr>
          </w:p>
        </w:tc>
        <w:tc>
          <w:tcPr>
            <w:tcW w:w="1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Company</w:t>
            </w: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40,198,000</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(2,750,000)</w:t>
            </w:r>
          </w:p>
        </w:tc>
        <w:tc>
          <w:tcPr>
            <w:tcW w:w="1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1,401,000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38,849,000</w:t>
            </w:r>
          </w:p>
        </w:tc>
        <w:tc>
          <w:tcPr>
            <w:tcW w:w="4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460,000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w w:val="95"/>
              </w:rPr>
              <w:t>Revolving Credit Facility</w:t>
            </w:r>
            <w:r>
              <w:rPr>
                <w:rFonts w:ascii="Arial" w:cs="Arial" w:eastAsia="Arial" w:hAnsi="Arial"/>
                <w:sz w:val="22"/>
                <w:szCs w:val="22"/>
                <w:color w:val="auto"/>
                <w:w w:val="95"/>
                <w:vertAlign w:val="superscript"/>
              </w:rPr>
              <w:t>(4)(5)(6)</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916,765</w:t>
            </w: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Related Party Loans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8,359,051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8,359,051</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148,721</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ind w:left="20"/>
              <w:spacing w:after="0" w:line="140" w:lineRule="exact"/>
              <w:rPr>
                <w:sz w:val="20"/>
                <w:szCs w:val="20"/>
                <w:color w:val="auto"/>
              </w:rPr>
            </w:pPr>
            <w:r>
              <w:rPr>
                <w:rFonts w:ascii="Arial" w:cs="Arial" w:eastAsia="Arial" w:hAnsi="Arial"/>
                <w:sz w:val="14"/>
                <w:szCs w:val="14"/>
                <w:color w:val="auto"/>
              </w:rPr>
              <w:t>Trimaran Advisors, LLC</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rPr>
              <w:t xml:space="preserve">Related Party Loan </w:t>
            </w:r>
            <w:r>
              <w:rPr>
                <w:rFonts w:ascii="Arial" w:cs="Arial" w:eastAsia="Arial" w:hAnsi="Arial"/>
                <w:sz w:val="22"/>
                <w:szCs w:val="22"/>
                <w:color w:val="auto"/>
                <w:vertAlign w:val="superscript"/>
              </w:rPr>
              <w:t>(4)(5)(6)</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Related Party Loans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4,418,232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4,418,232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16,752</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Katonah 2007-I CLO, Ltd. </w:t>
            </w:r>
            <w:r>
              <w:rPr>
                <w:rFonts w:ascii="Arial" w:cs="Arial" w:eastAsia="Arial" w:hAnsi="Arial"/>
                <w:sz w:val="20"/>
                <w:szCs w:val="20"/>
                <w:color w:val="auto"/>
                <w:vertAlign w:val="superscript"/>
              </w:rPr>
              <w:t>(1)(2)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20,453,099</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(13,157,760)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5,660,026</w:t>
            </w:r>
          </w:p>
        </w:tc>
        <w:tc>
          <w:tcPr>
            <w:tcW w:w="20" w:type="dxa"/>
            <w:vAlign w:val="bottom"/>
            <w:shd w:val="clear" w:color="auto" w:fill="CCEEFF"/>
          </w:tcPr>
          <w:p>
            <w:pPr>
              <w:spacing w:after="0"/>
              <w:rPr>
                <w:sz w:val="14"/>
                <w:szCs w:val="14"/>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(2,184,878)</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10,770,486</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5,660,026</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Trimaran CLO VII, Ltd. </w:t>
            </w:r>
            <w:r>
              <w:rPr>
                <w:rFonts w:ascii="Arial" w:cs="Arial" w:eastAsia="Arial" w:hAnsi="Arial"/>
                <w:sz w:val="20"/>
                <w:szCs w:val="20"/>
                <w:color w:val="auto"/>
                <w:vertAlign w:val="superscript"/>
              </w:rPr>
              <w:t>(1)(2)(3)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(4)</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1,195,152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(1,264,090)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78,938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2012-1,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2,819,412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(771,743)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699,611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(426,497)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2,320,783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699,611</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2013-1,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4,918,807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(1,054,362)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834,448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2,224,807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6,923,699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834,448</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2014-1,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4,546,682</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2,319,047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1,079,850</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1,643,907</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(1,359,309)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8,230,178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1,079,850</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2014-2,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5,092,087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(1,130,813)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806,058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(266,370)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4,500,962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806,058</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shd w:val="clear" w:color="auto" w:fill="CCEEFF"/>
          </w:tcPr>
          <w:p>
            <w:pPr>
              <w:ind w:left="20"/>
              <w:spacing w:after="0" w:line="181" w:lineRule="exact"/>
              <w:rPr>
                <w:sz w:val="20"/>
                <w:szCs w:val="20"/>
                <w:color w:val="auto"/>
              </w:rPr>
            </w:pPr>
            <w:r>
              <w:rPr>
                <w:rFonts w:ascii="Arial" w:cs="Arial" w:eastAsia="Arial" w:hAnsi="Arial"/>
                <w:sz w:val="13"/>
                <w:szCs w:val="13"/>
                <w:color w:val="auto"/>
              </w:rPr>
              <w:t xml:space="preserve">Catamaran CLO 2015-1, Ltd. </w:t>
            </w:r>
            <w:r>
              <w:rPr>
                <w:rFonts w:ascii="Arial" w:cs="Arial" w:eastAsia="Arial" w:hAnsi="Arial"/>
                <w:sz w:val="20"/>
                <w:szCs w:val="20"/>
                <w:color w:val="auto"/>
                <w:vertAlign w:val="superscript"/>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(2)(4)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3,223,255</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(571,562)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446,893</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471,017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3,569,600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446,893</w:t>
            </w: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940" w:type="dxa"/>
            <w:vAlign w:val="bottom"/>
          </w:tcPr>
          <w:p>
            <w:pPr>
              <w:ind w:left="20"/>
              <w:spacing w:after="0" w:line="181" w:lineRule="exact"/>
              <w:rPr>
                <w:sz w:val="20"/>
                <w:szCs w:val="20"/>
                <w:color w:val="auto"/>
              </w:rPr>
            </w:pPr>
            <w:r>
              <w:rPr>
                <w:rFonts w:ascii="Arial" w:cs="Arial" w:eastAsia="Arial" w:hAnsi="Arial"/>
                <w:sz w:val="13"/>
                <w:szCs w:val="13"/>
                <w:color w:val="auto"/>
              </w:rPr>
              <w:t xml:space="preserve">Catamaran CLO 2016-1, Ltd. </w:t>
            </w:r>
            <w:r>
              <w:rPr>
                <w:rFonts w:ascii="Arial" w:cs="Arial" w:eastAsia="Arial" w:hAnsi="Arial"/>
                <w:sz w:val="20"/>
                <w:szCs w:val="20"/>
                <w:color w:val="auto"/>
                <w:vertAlign w:val="superscript"/>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gridSpan w:val="2"/>
          </w:tcPr>
          <w:p>
            <w:pPr>
              <w:spacing w:after="0"/>
              <w:rPr>
                <w:sz w:val="20"/>
                <w:szCs w:val="20"/>
                <w:color w:val="auto"/>
              </w:rPr>
            </w:pPr>
            <w:r>
              <w:rPr>
                <w:rFonts w:ascii="Arial" w:cs="Arial" w:eastAsia="Arial" w:hAnsi="Arial"/>
                <w:sz w:val="12"/>
                <w:szCs w:val="12"/>
                <w:color w:val="auto"/>
              </w:rPr>
              <w:t>(2)(4)</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8,350,290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(1,146,242)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1,093,043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233,593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8,530,685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1,093,043</w:t>
            </w: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40" w:type="dxa"/>
            <w:vAlign w:val="bottom"/>
            <w:shd w:val="clear" w:color="auto" w:fill="CCEEFF"/>
          </w:tcPr>
          <w:p>
            <w:pPr>
              <w:ind w:left="20"/>
              <w:spacing w:after="0" w:line="189" w:lineRule="exact"/>
              <w:rPr>
                <w:sz w:val="20"/>
                <w:szCs w:val="20"/>
                <w:color w:val="auto"/>
              </w:rPr>
            </w:pPr>
            <w:r>
              <w:rPr>
                <w:rFonts w:ascii="Arial" w:cs="Arial" w:eastAsia="Arial" w:hAnsi="Arial"/>
                <w:sz w:val="13"/>
                <w:szCs w:val="13"/>
                <w:color w:val="auto"/>
              </w:rPr>
              <w:t xml:space="preserve">CRMN 2014-1A </w:t>
            </w:r>
            <w:r>
              <w:rPr>
                <w:rFonts w:ascii="Arial" w:cs="Arial" w:eastAsia="Arial" w:hAnsi="Arial"/>
                <w:sz w:val="21"/>
                <w:szCs w:val="21"/>
                <w:color w:val="auto"/>
                <w:vertAlign w:val="superscript"/>
              </w:rPr>
              <w:t>(1)(2)(4)</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CLO Fund Securities</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1,310,000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(1,545,506)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9,259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131,727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94,520</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97,885</w:t>
            </w:r>
          </w:p>
        </w:tc>
        <w:tc>
          <w:tcPr>
            <w:tcW w:w="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940" w:type="dxa"/>
            <w:vAlign w:val="bottom"/>
          </w:tcPr>
          <w:p>
            <w:pPr>
              <w:spacing w:after="0" w:line="140" w:lineRule="exact"/>
              <w:rPr>
                <w:sz w:val="20"/>
                <w:szCs w:val="20"/>
                <w:color w:val="auto"/>
              </w:rPr>
            </w:pPr>
            <w:r>
              <w:rPr>
                <w:rFonts w:ascii="Arial" w:cs="Arial" w:eastAsia="Arial" w:hAnsi="Arial"/>
                <w:sz w:val="14"/>
                <w:szCs w:val="14"/>
                <w:color w:val="auto"/>
              </w:rPr>
              <w:t>KCAP F3C Senior Funding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Arial" w:cs="Arial" w:eastAsia="Arial" w:hAnsi="Arial"/>
                <w:sz w:val="14"/>
                <w:szCs w:val="14"/>
                <w:color w:val="auto"/>
              </w:rPr>
              <w:t>Rated Notes</w:t>
            </w:r>
            <w:r>
              <w:rPr>
                <w:rFonts w:ascii="Arial" w:cs="Arial" w:eastAsia="Arial" w:hAnsi="Arial"/>
                <w:sz w:val="22"/>
                <w:szCs w:val="22"/>
                <w:color w:val="auto"/>
                <w:vertAlign w:val="superscript"/>
              </w:rPr>
              <w:t>(2)(4)(7)</w:t>
            </w:r>
          </w:p>
        </w:tc>
        <w:tc>
          <w:tcPr>
            <w:tcW w:w="1620" w:type="dxa"/>
            <w:vAlign w:val="bottom"/>
            <w:gridSpan w:val="4"/>
          </w:tcPr>
          <w:p>
            <w:pPr>
              <w:ind w:left="40"/>
              <w:spacing w:after="0"/>
              <w:rPr>
                <w:sz w:val="20"/>
                <w:szCs w:val="20"/>
                <w:color w:val="auto"/>
              </w:rPr>
            </w:pPr>
            <w:r>
              <w:rPr>
                <w:rFonts w:ascii="Arial" w:cs="Arial" w:eastAsia="Arial" w:hAnsi="Arial"/>
                <w:sz w:val="14"/>
                <w:szCs w:val="14"/>
                <w:color w:val="auto"/>
              </w:rPr>
              <w:t>CLO Fund Securities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4,346,290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89,676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196,035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4,632,000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89,676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KCAP Freedom 3 LLC </w:t>
            </w:r>
            <w:r>
              <w:rPr>
                <w:rFonts w:ascii="Arial" w:cs="Arial" w:eastAsia="Arial" w:hAnsi="Arial"/>
                <w:sz w:val="23"/>
                <w:szCs w:val="23"/>
                <w:color w:val="auto"/>
                <w:vertAlign w:val="superscript"/>
              </w:rPr>
              <w:t>(4)(7)</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Joint Venture</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24,914,858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(3,398,858)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21,516,000</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949,037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Total Affiliated Investments</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92,106,784</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20,965,400</w:t>
            </w:r>
          </w:p>
        </w:tc>
        <w:tc>
          <w:tcPr>
            <w:tcW w:w="960" w:type="dxa"/>
            <w:vAlign w:val="bottom"/>
            <w:gridSpan w:val="6"/>
            <w:shd w:val="clear" w:color="auto" w:fill="CCEEFF"/>
          </w:tcPr>
          <w:p>
            <w:pPr>
              <w:jc w:val="right"/>
              <w:ind w:right="120"/>
              <w:spacing w:after="0"/>
              <w:rPr>
                <w:sz w:val="20"/>
                <w:szCs w:val="20"/>
                <w:color w:val="auto"/>
              </w:rPr>
            </w:pPr>
            <w:r>
              <w:rPr>
                <w:rFonts w:ascii="Arial" w:cs="Arial" w:eastAsia="Arial" w:hAnsi="Arial"/>
                <w:sz w:val="14"/>
                <w:szCs w:val="14"/>
                <w:color w:val="auto"/>
              </w:rPr>
              <w:t>$ 10,718,864</w:t>
            </w:r>
          </w:p>
        </w:tc>
        <w:tc>
          <w:tcPr>
            <w:tcW w:w="2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104,421</w:t>
            </w:r>
          </w:p>
        </w:tc>
        <w:tc>
          <w:tcPr>
            <w:tcW w:w="6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20"/>
              <w:spacing w:after="0" w:line="176" w:lineRule="exact"/>
              <w:rPr>
                <w:sz w:val="20"/>
                <w:szCs w:val="20"/>
                <w:color w:val="auto"/>
              </w:rPr>
            </w:pPr>
            <w:r>
              <w:rPr>
                <w:rFonts w:ascii="Arial" w:cs="Arial" w:eastAsia="Arial" w:hAnsi="Arial"/>
                <w:sz w:val="12"/>
                <w:szCs w:val="12"/>
                <w:color w:val="auto"/>
              </w:rPr>
              <w:t>$ (1,264,789</w:t>
            </w:r>
            <w:r>
              <w:rPr>
                <w:rFonts w:ascii="Arial" w:cs="Arial" w:eastAsia="Arial" w:hAnsi="Arial"/>
                <w:sz w:val="20"/>
                <w:szCs w:val="20"/>
                <w:color w:val="auto"/>
                <w:vertAlign w:val="superscript"/>
              </w:rPr>
              <w:t>)</w:t>
            </w:r>
          </w:p>
        </w:tc>
        <w:tc>
          <w:tcPr>
            <w:tcW w:w="1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122,630,676</w:t>
            </w:r>
          </w:p>
        </w:tc>
        <w:tc>
          <w:tcPr>
            <w:tcW w:w="40" w:type="dxa"/>
            <w:vAlign w:val="bottom"/>
            <w:shd w:val="clear" w:color="auto" w:fill="CCEEFF"/>
          </w:tcPr>
          <w:p>
            <w:pPr>
              <w:spacing w:after="0"/>
              <w:rPr>
                <w:sz w:val="15"/>
                <w:szCs w:val="15"/>
                <w:color w:val="auto"/>
              </w:rPr>
            </w:pPr>
          </w:p>
        </w:tc>
        <w:tc>
          <w:tcPr>
            <w:tcW w:w="980" w:type="dxa"/>
            <w:vAlign w:val="bottom"/>
            <w:gridSpan w:val="5"/>
            <w:shd w:val="clear" w:color="auto" w:fill="CCEEFF"/>
          </w:tcPr>
          <w:p>
            <w:pPr>
              <w:jc w:val="right"/>
              <w:ind w:right="180"/>
              <w:spacing w:after="0"/>
              <w:rPr>
                <w:sz w:val="20"/>
                <w:szCs w:val="20"/>
                <w:color w:val="auto"/>
              </w:rPr>
            </w:pPr>
            <w:r>
              <w:rPr>
                <w:rFonts w:ascii="Arial" w:cs="Arial" w:eastAsia="Arial" w:hAnsi="Arial"/>
                <w:sz w:val="14"/>
                <w:szCs w:val="14"/>
                <w:color w:val="auto"/>
                <w:w w:val="95"/>
              </w:rPr>
              <w:t>$ 11,889,728</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9"/>
              </w:rPr>
              <w:t>$ 1,409,037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580" w:hanging="550"/>
        <w:spacing w:after="0"/>
        <w:tabs>
          <w:tab w:leader="none" w:pos="580" w:val="left"/>
        </w:tabs>
        <w:numPr>
          <w:ilvl w:val="0"/>
          <w:numId w:val="3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110" w:lineRule="exact"/>
        <w:rPr>
          <w:sz w:val="20"/>
          <w:szCs w:val="20"/>
          <w:color w:val="auto"/>
        </w:rPr>
      </w:pPr>
    </w:p>
    <w:p>
      <w:pPr>
        <w:ind w:left="580" w:hanging="550"/>
        <w:spacing w:after="0"/>
        <w:tabs>
          <w:tab w:leader="none" w:pos="580" w:val="left"/>
        </w:tabs>
        <w:numPr>
          <w:ilvl w:val="0"/>
          <w:numId w:val="36"/>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87" w:lineRule="exact"/>
        <w:rPr>
          <w:sz w:val="20"/>
          <w:szCs w:val="20"/>
          <w:color w:val="auto"/>
        </w:rPr>
      </w:pPr>
    </w:p>
    <w:p>
      <w:pPr>
        <w:ind w:left="580" w:hanging="550"/>
        <w:spacing w:after="0"/>
        <w:tabs>
          <w:tab w:leader="none" w:pos="580" w:val="left"/>
        </w:tabs>
        <w:numPr>
          <w:ilvl w:val="0"/>
          <w:numId w:val="37"/>
        </w:numPr>
        <w:rPr>
          <w:rFonts w:ascii="Arial" w:cs="Arial" w:eastAsia="Arial" w:hAnsi="Arial"/>
          <w:sz w:val="30"/>
          <w:szCs w:val="30"/>
          <w:color w:val="auto"/>
          <w:vertAlign w:val="superscript"/>
        </w:rPr>
      </w:pPr>
      <w:r>
        <w:rPr>
          <w:rFonts w:ascii="Arial" w:cs="Arial" w:eastAsia="Arial" w:hAnsi="Arial"/>
          <w:sz w:val="18"/>
          <w:szCs w:val="18"/>
          <w:color w:val="auto"/>
        </w:rPr>
        <w:t>Notice of redemption has been received for this security.</w:t>
      </w:r>
    </w:p>
    <w:p>
      <w:pPr>
        <w:spacing w:after="0" w:line="87" w:lineRule="exact"/>
        <w:rPr>
          <w:sz w:val="20"/>
          <w:szCs w:val="20"/>
          <w:color w:val="auto"/>
        </w:rPr>
      </w:pPr>
    </w:p>
    <w:p>
      <w:pPr>
        <w:ind w:left="580" w:hanging="550"/>
        <w:spacing w:after="0"/>
        <w:tabs>
          <w:tab w:leader="none" w:pos="580" w:val="left"/>
        </w:tabs>
        <w:numPr>
          <w:ilvl w:val="0"/>
          <w:numId w:val="38"/>
        </w:numPr>
        <w:rPr>
          <w:rFonts w:ascii="Arial" w:cs="Arial" w:eastAsia="Arial" w:hAnsi="Arial"/>
          <w:sz w:val="30"/>
          <w:szCs w:val="30"/>
          <w:color w:val="auto"/>
          <w:vertAlign w:val="superscript"/>
        </w:rPr>
      </w:pPr>
      <w:r>
        <w:rPr>
          <w:rFonts w:ascii="Arial" w:cs="Arial" w:eastAsia="Arial" w:hAnsi="Arial"/>
          <w:sz w:val="18"/>
          <w:szCs w:val="18"/>
          <w:color w:val="auto"/>
        </w:rPr>
        <w:t>Fair value of this investment was determined using significant unobservable inputs.</w:t>
      </w:r>
    </w:p>
    <w:p>
      <w:pPr>
        <w:spacing w:after="0" w:line="87" w:lineRule="exact"/>
        <w:rPr>
          <w:sz w:val="20"/>
          <w:szCs w:val="20"/>
          <w:color w:val="auto"/>
        </w:rPr>
      </w:pPr>
    </w:p>
    <w:p>
      <w:pPr>
        <w:ind w:left="580" w:hanging="550"/>
        <w:spacing w:after="0"/>
        <w:tabs>
          <w:tab w:leader="none" w:pos="580" w:val="left"/>
        </w:tabs>
        <w:numPr>
          <w:ilvl w:val="0"/>
          <w:numId w:val="39"/>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1940 Act.</w:t>
      </w:r>
    </w:p>
    <w:p>
      <w:pPr>
        <w:spacing w:after="0" w:line="133" w:lineRule="exact"/>
        <w:rPr>
          <w:sz w:val="20"/>
          <w:szCs w:val="20"/>
          <w:color w:val="auto"/>
        </w:rPr>
      </w:pPr>
    </w:p>
    <w:p>
      <w:pPr>
        <w:ind w:left="580" w:hanging="550"/>
        <w:spacing w:after="0"/>
        <w:tabs>
          <w:tab w:leader="none" w:pos="580"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The Company is deemed to “Control” and be an “Affiliated Person” of the Asset Manager Affiliates, each as defined in the 1940 Act, as the Company</w:t>
      </w:r>
    </w:p>
    <w:p>
      <w:pPr>
        <w:sectPr>
          <w:pgSz w:w="11900" w:h="16884" w:orient="portrait"/>
          <w:cols w:equalWidth="0" w:num="1">
            <w:col w:w="11420"/>
          </w:cols>
          <w:pgMar w:left="240" w:top="904" w:right="239" w:bottom="0" w:gutter="0" w:footer="0" w:header="0"/>
        </w:sectPr>
      </w:pPr>
    </w:p>
    <w:bookmarkStart w:id="37" w:name="page38"/>
    <w:bookmarkEnd w:id="37"/>
    <w:p>
      <w:pPr>
        <w:jc w:val="both"/>
        <w:ind w:left="550" w:right="320"/>
        <w:spacing w:after="0" w:line="264" w:lineRule="auto"/>
        <w:rPr>
          <w:sz w:val="20"/>
          <w:szCs w:val="20"/>
          <w:color w:val="auto"/>
        </w:rPr>
      </w:pPr>
      <w:r>
        <w:rPr>
          <w:rFonts w:ascii="Arial" w:cs="Arial" w:eastAsia="Arial" w:hAnsi="Arial"/>
          <w:sz w:val="18"/>
          <w:szCs w:val="18"/>
          <w:color w:val="auto"/>
        </w:rPr>
        <w:t>owns 100% of each Asset Manager Affiliate’s outstanding voting securities. In general, under the 1940 Act, the Company would be presumed to “Control” a portfolio company if it owned 25% or more of its voting securities and would be an “Affiliated Person” of a portfolio company if it owned 5% or more of its voting securities.</w:t>
      </w:r>
    </w:p>
    <w:p>
      <w:pPr>
        <w:spacing w:after="0" w:line="181" w:lineRule="exact"/>
        <w:rPr>
          <w:sz w:val="20"/>
          <w:szCs w:val="20"/>
          <w:color w:val="auto"/>
        </w:rPr>
      </w:pPr>
    </w:p>
    <w:p>
      <w:pPr>
        <w:ind w:left="550" w:hanging="550"/>
        <w:spacing w:after="0" w:line="218" w:lineRule="auto"/>
        <w:tabs>
          <w:tab w:leader="none" w:pos="550" w:val="left"/>
        </w:tabs>
        <w:numPr>
          <w:ilvl w:val="0"/>
          <w:numId w:val="41"/>
        </w:numPr>
        <w:rPr>
          <w:rFonts w:ascii="Arial" w:cs="Arial" w:eastAsia="Arial" w:hAnsi="Arial"/>
          <w:sz w:val="30"/>
          <w:szCs w:val="30"/>
          <w:color w:val="auto"/>
          <w:vertAlign w:val="superscript"/>
        </w:rPr>
      </w:pPr>
      <w:r>
        <w:rPr>
          <w:rFonts w:ascii="Arial" w:cs="Arial" w:eastAsia="Arial" w:hAnsi="Arial"/>
          <w:sz w:val="18"/>
          <w:szCs w:val="18"/>
          <w:color w:val="auto"/>
        </w:rPr>
        <w:t>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(including through a management agreement). Other than for purposes of the 1940 Act, the Company does not believe that it has control over this portfolio company</w:t>
      </w:r>
    </w:p>
    <w:p>
      <w:pPr>
        <w:spacing w:after="0" w:line="200" w:lineRule="exact"/>
        <w:rPr>
          <w:sz w:val="20"/>
          <w:szCs w:val="20"/>
          <w:color w:val="auto"/>
        </w:rPr>
      </w:pPr>
    </w:p>
    <w:p>
      <w:pPr>
        <w:spacing w:after="0" w:line="219" w:lineRule="exact"/>
        <w:rPr>
          <w:sz w:val="20"/>
          <w:szCs w:val="20"/>
          <w:color w:val="auto"/>
        </w:rPr>
      </w:pPr>
    </w:p>
    <w:p>
      <w:pPr>
        <w:jc w:val="center"/>
        <w:ind w:right="-8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90"/>
          </w:cols>
          <w:pgMar w:left="270" w:top="125"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93" w:lineRule="exact"/>
        <w:rPr>
          <w:sz w:val="20"/>
          <w:szCs w:val="20"/>
          <w:color w:val="auto"/>
        </w:rPr>
      </w:pPr>
    </w:p>
    <w:p>
      <w:pPr>
        <w:ind w:right="24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June 30, 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37,512,496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37,512,496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2,360,006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35,152,490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35,859,801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37,512,496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0" w:type="dxa"/>
            <w:vAlign w:val="bottom"/>
            <w:gridSpan w:val="4"/>
            <w:vMerge w:val="restart"/>
          </w:tcPr>
          <w:p>
            <w:pPr>
              <w:jc w:val="center"/>
              <w:ind w:right="1096"/>
              <w:spacing w:after="0"/>
              <w:rPr>
                <w:sz w:val="20"/>
                <w:szCs w:val="20"/>
                <w:color w:val="auto"/>
              </w:rPr>
            </w:pPr>
            <w:r>
              <w:rPr>
                <w:rFonts w:ascii="Arial" w:cs="Arial" w:eastAsia="Arial" w:hAnsi="Arial"/>
                <w:sz w:val="18"/>
                <w:szCs w:val="18"/>
                <w:b w:val="1"/>
                <w:bCs w:val="1"/>
                <w:color w:val="auto"/>
                <w:w w:val="95"/>
              </w:rPr>
              <w:t>KCAP Freedom 3 LLC</w:t>
            </w: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660" w:type="dxa"/>
            <w:vAlign w:val="bottom"/>
            <w:gridSpan w:val="6"/>
          </w:tcPr>
          <w:p>
            <w:pPr>
              <w:jc w:val="center"/>
              <w:ind w:right="436"/>
              <w:spacing w:after="0"/>
              <w:rPr>
                <w:sz w:val="20"/>
                <w:szCs w:val="20"/>
                <w:color w:val="auto"/>
              </w:rPr>
            </w:pPr>
            <w:r>
              <w:rPr>
                <w:rFonts w:ascii="Arial" w:cs="Arial" w:eastAsia="Arial" w:hAnsi="Arial"/>
                <w:sz w:val="18"/>
                <w:szCs w:val="18"/>
                <w:color w:val="auto"/>
                <w:w w:val="89"/>
              </w:rPr>
              <w:t>Summarized Statement of Operations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For the three</w:t>
            </w: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For the three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 the six</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months ended</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6"/>
              </w:rPr>
              <w:t>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2018</w:t>
            </w:r>
          </w:p>
        </w:tc>
        <w:tc>
          <w:tcPr>
            <w:tcW w:w="100" w:type="dxa"/>
            <w:vAlign w:val="bottom"/>
          </w:tcPr>
          <w:p>
            <w:pPr>
              <w:spacing w:after="0"/>
              <w:rPr>
                <w:sz w:val="20"/>
                <w:szCs w:val="20"/>
                <w:color w:val="auto"/>
              </w:rPr>
            </w:pPr>
          </w:p>
        </w:tc>
        <w:tc>
          <w:tcPr>
            <w:tcW w:w="1340" w:type="dxa"/>
            <w:vAlign w:val="bottom"/>
          </w:tcPr>
          <w:p>
            <w:pPr>
              <w:jc w:val="center"/>
              <w:ind w:left="56"/>
              <w:spacing w:after="0"/>
              <w:rPr>
                <w:sz w:val="20"/>
                <w:szCs w:val="20"/>
                <w:color w:val="auto"/>
              </w:rPr>
            </w:pPr>
            <w:r>
              <w:rPr>
                <w:rFonts w:ascii="Arial" w:cs="Arial" w:eastAsia="Arial" w:hAnsi="Arial"/>
                <w:sz w:val="18"/>
                <w:szCs w:val="18"/>
                <w:b w:val="1"/>
                <w:bCs w:val="1"/>
                <w:color w:val="auto"/>
                <w:w w:val="88"/>
              </w:rPr>
              <w:t>June 30,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June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117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31,998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53,761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1,189,998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2,364,053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w w:val="95"/>
              </w:rPr>
              <w:t>Unrealized (depreciation) appreciation on investments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(1,068,857)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(564,936)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ind w:right="1176"/>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9"/>
              </w:rPr>
              <w:t>39</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KCAP Freedom 3 LLC</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2018</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(unaudited)</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400" w:type="dxa"/>
            <w:vAlign w:val="bottom"/>
            <w:gridSpan w:val="2"/>
          </w:tcPr>
          <w:p>
            <w:pPr>
              <w:ind w:left="12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11.4%,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43,140,686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37,512,496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43,140,686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37,512,496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52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400" w:type="dxa"/>
            <w:vAlign w:val="bottom"/>
            <w:gridSpan w:val="2"/>
          </w:tcPr>
          <w:p>
            <w:pPr>
              <w:ind w:left="12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2"/>
              </w:rPr>
              <w:t>KCAP F3C Senior Funding, LLC</w:t>
            </w:r>
            <w:r>
              <w:rPr>
                <w:rFonts w:ascii="Arial" w:cs="Arial" w:eastAsia="Arial" w:hAnsi="Arial"/>
                <w:sz w:val="30"/>
                <w:szCs w:val="30"/>
                <w:color w:val="auto"/>
                <w:w w:val="92"/>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60" w:type="dxa"/>
            <w:vAlign w:val="bottom"/>
            <w:vMerge w:val="continue"/>
            <w:shd w:val="clear" w:color="auto" w:fill="CCEEFF"/>
          </w:tcPr>
          <w:p>
            <w:pPr>
              <w:spacing w:after="0"/>
              <w:rPr>
                <w:sz w:val="22"/>
                <w:szCs w:val="22"/>
                <w:color w:val="auto"/>
              </w:rPr>
            </w:pPr>
          </w:p>
        </w:tc>
        <w:tc>
          <w:tcPr>
            <w:tcW w:w="3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12.1%,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20" w:firstLine="414"/>
        <w:spacing w:after="0" w:line="289" w:lineRule="auto"/>
        <w:rPr>
          <w:sz w:val="20"/>
          <w:szCs w:val="20"/>
          <w:color w:val="auto"/>
        </w:rPr>
      </w:pPr>
      <w:r>
        <w:rPr>
          <w:rFonts w:ascii="Arial" w:cs="Arial" w:eastAsia="Arial" w:hAnsi="Arial"/>
          <w:sz w:val="16"/>
          <w:szCs w:val="16"/>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340" w:right="260" w:firstLine="32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340" w:right="20" w:firstLine="32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3" w:lineRule="exact"/>
        <w:rPr>
          <w:sz w:val="20"/>
          <w:szCs w:val="20"/>
          <w:color w:val="auto"/>
        </w:rPr>
      </w:pPr>
    </w:p>
    <w:p>
      <w:pPr>
        <w:ind w:left="340" w:firstLine="32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2" w:name="page43"/>
    <w:bookmarkEnd w:id="42"/>
    <w:p>
      <w:pPr>
        <w:ind w:right="800" w:firstLine="324"/>
        <w:spacing w:after="0" w:line="277" w:lineRule="auto"/>
        <w:rPr>
          <w:sz w:val="20"/>
          <w:szCs w:val="20"/>
          <w:color w:val="auto"/>
        </w:rPr>
      </w:pPr>
      <w:r>
        <w:rPr>
          <w:rFonts w:ascii="Arial" w:cs="Arial" w:eastAsia="Arial" w:hAnsi="Arial"/>
          <w:sz w:val="18"/>
          <w:szCs w:val="18"/>
          <w:color w:val="auto"/>
        </w:rPr>
        <w:t>The following table summarizes the fair value of investments by the above ASC 820: Fair Value fair value hierarchy levels as of June 30, 2018 (unaudited) and December 31,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4"/>
              </w:rPr>
              <w:t>As of June 30, 2018 (unaudited)</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00" w:type="dxa"/>
            <w:vAlign w:val="bottom"/>
          </w:tcPr>
          <w:p>
            <w:pPr>
              <w:spacing w:after="0"/>
              <w:rPr>
                <w:sz w:val="20"/>
                <w:szCs w:val="20"/>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b w:val="1"/>
                <w:bCs w:val="1"/>
                <w:color w:val="auto"/>
              </w:rPr>
              <w:t>Level I</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Level II</w:t>
            </w: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11,454,078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11,454,078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Debt securities</w:t>
            </w:r>
          </w:p>
        </w:tc>
        <w:tc>
          <w:tcPr>
            <w:tcW w:w="11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44,563,587</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117,575,659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162,139,246</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37,972,985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37,972,985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1180" w:type="dxa"/>
            <w:vAlign w:val="bottom"/>
          </w:tcPr>
          <w:p>
            <w:pPr>
              <w:spacing w:after="0"/>
              <w:rPr>
                <w:sz w:val="18"/>
                <w:szCs w:val="18"/>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4,251,111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4,251,111</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1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36,853,000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36,853,000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Joint Venture</w:t>
            </w:r>
          </w:p>
        </w:tc>
        <w:tc>
          <w:tcPr>
            <w:tcW w:w="118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21,091,494</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21,091,494</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56,017,665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217,744,249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273,761,914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As of December 31, 2017</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Level I</w:t>
            </w:r>
          </w:p>
        </w:tc>
        <w:tc>
          <w:tcPr>
            <w:tcW w:w="260" w:type="dxa"/>
            <w:vAlign w:val="bottom"/>
          </w:tcPr>
          <w:p>
            <w:pPr>
              <w:spacing w:after="0"/>
              <w:rPr>
                <w:sz w:val="20"/>
                <w:szCs w:val="20"/>
                <w:color w:val="auto"/>
              </w:rPr>
            </w:pPr>
          </w:p>
        </w:tc>
        <w:tc>
          <w:tcPr>
            <w:tcW w:w="132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Level III</w:t>
            </w:r>
          </w:p>
        </w:tc>
        <w:tc>
          <w:tcPr>
            <w:tcW w:w="3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 Term investments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52,293,570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77,300,320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Debt securities</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48,312,024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69,885,455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118,197,479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51,678,673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51,678,673</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Equity securities</w:t>
            </w:r>
          </w:p>
        </w:tc>
        <w:tc>
          <w:tcPr>
            <w:tcW w:w="3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4,414,684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4,414,684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3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38,849,000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38,849,000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Joint Venture</w:t>
            </w:r>
          </w:p>
        </w:tc>
        <w:tc>
          <w:tcPr>
            <w:tcW w:w="300" w:type="dxa"/>
            <w:vAlign w:val="bottom"/>
          </w:tcPr>
          <w:p>
            <w:pPr>
              <w:spacing w:after="0"/>
              <w:rPr>
                <w:sz w:val="19"/>
                <w:szCs w:val="19"/>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21,516,000</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21,516,000</w:t>
            </w:r>
          </w:p>
        </w:tc>
      </w:tr>
      <w:tr>
        <w:trPr>
          <w:trHeight w:val="223"/>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25,006,750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100,605,594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311,956,156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 Investment values derived by a third party pricing service are generally deemed to be Level III values. For those that have observable trades, the Company considers them to be Level II.</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8"/>
                <w:szCs w:val="18"/>
                <w:b w:val="1"/>
                <w:bCs w:val="1"/>
                <w:color w:val="auto"/>
                <w:w w:val="92"/>
              </w:rPr>
              <w:t>Six Months Ended June 30, 2018</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CLO Fund</w:t>
            </w:r>
          </w:p>
        </w:tc>
        <w:tc>
          <w:tcPr>
            <w:tcW w:w="180" w:type="dxa"/>
            <w:vAlign w:val="bottom"/>
          </w:tcPr>
          <w:p>
            <w:pPr>
              <w:spacing w:after="0"/>
              <w:rPr>
                <w:sz w:val="16"/>
                <w:szCs w:val="16"/>
                <w:color w:val="auto"/>
              </w:rPr>
            </w:pPr>
          </w:p>
        </w:tc>
        <w:tc>
          <w:tcPr>
            <w:tcW w:w="132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Equity</w:t>
            </w:r>
          </w:p>
        </w:tc>
        <w:tc>
          <w:tcPr>
            <w:tcW w:w="13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Securities</w:t>
            </w:r>
          </w:p>
        </w:tc>
        <w:tc>
          <w:tcPr>
            <w:tcW w:w="18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Securities</w:t>
            </w:r>
          </w:p>
        </w:tc>
        <w:tc>
          <w:tcPr>
            <w:tcW w:w="2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Venture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69,885,455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24,921,613</w:t>
            </w: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24,921,613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accretion</w:t>
            </w: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61,525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3,151,236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3,212,761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29,962,022</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29,962,022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5"/>
              </w:rPr>
              <w:t>Sales/Paydowns/Return of Capital</w:t>
            </w: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(6,466,548)</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(16,043,968)</w:t>
            </w: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(23,510,516)</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realized loss included in</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67,835</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67,835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Change in unrealized gain (loss)</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0"/>
                <w:szCs w:val="20"/>
                <w:color w:val="auto"/>
              </w:rPr>
            </w:pPr>
            <w:r>
              <w:rPr>
                <w:rFonts w:ascii="Arial" w:cs="Arial" w:eastAsia="Arial" w:hAnsi="Arial"/>
                <w:sz w:val="18"/>
                <w:szCs w:val="18"/>
                <w:color w:val="auto"/>
              </w:rPr>
              <w:t>included in earnings</w:t>
            </w:r>
          </w:p>
        </w:tc>
        <w:tc>
          <w:tcPr>
            <w:tcW w:w="2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(856,242)</w:t>
            </w:r>
          </w:p>
        </w:tc>
        <w:tc>
          <w:tcPr>
            <w:tcW w:w="1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(812,956)</w:t>
            </w: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(163,573)</w:t>
            </w:r>
          </w:p>
        </w:tc>
        <w:tc>
          <w:tcPr>
            <w:tcW w:w="20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(996,000)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(424,506)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(3,253,277)</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2018</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117,575,659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37,972,985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4,251,111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36,853,000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21,091,494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217,744,249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(losses) included in earnings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related to investments still held at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reporting 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(515,834)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(812,956)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(163,573)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(996,000)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(424,506)</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(2,912,419)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16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Transfers out of Level III represent a transfer of $0 relating to debt securities for which pricing inputs, other than their quoted prices in active markets were observable as of June 30, 2018.</w:t>
      </w:r>
    </w:p>
    <w:p>
      <w:pPr>
        <w:ind w:right="600"/>
        <w:spacing w:after="0" w:line="205"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Transfers into Level III represent a transfer of $24,921,613 relating to debt securities for which pricing inputs, other than their quoted prices in active markets were unobservable as of June 30, 2018.</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8"/>
                <w:szCs w:val="18"/>
                <w:b w:val="1"/>
                <w:bCs w:val="1"/>
                <w:color w:val="auto"/>
                <w:w w:val="90"/>
              </w:rPr>
              <w:t>Year Ended December 31, 2017</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w w:val="98"/>
              </w:rPr>
              <w:t>CLO Fund</w:t>
            </w: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Equity</w:t>
            </w:r>
          </w:p>
        </w:tc>
        <w:tc>
          <w:tcPr>
            <w:tcW w:w="13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Asset Manager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Joint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Securities</w:t>
            </w:r>
          </w:p>
        </w:tc>
        <w:tc>
          <w:tcPr>
            <w:tcW w:w="10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Securities</w:t>
            </w:r>
          </w:p>
        </w:tc>
        <w:tc>
          <w:tcPr>
            <w:tcW w:w="20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Affiliate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Venture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Transfers out of Level III</w:t>
            </w:r>
            <w:r>
              <w:rPr>
                <w:rFonts w:ascii="Arial" w:cs="Arial" w:eastAsia="Arial" w:hAnsi="Arial"/>
                <w:sz w:val="29"/>
                <w:szCs w:val="29"/>
                <w:color w:val="auto"/>
                <w:vertAlign w:val="superscript"/>
              </w:rPr>
              <w:t>1</w:t>
            </w:r>
          </w:p>
        </w:tc>
        <w:tc>
          <w:tcPr>
            <w:tcW w:w="200" w:type="dxa"/>
            <w:vAlign w:val="bottom"/>
          </w:tcPr>
          <w:p>
            <w:pPr>
              <w:spacing w:after="0"/>
              <w:rPr>
                <w:sz w:val="22"/>
                <w:szCs w:val="22"/>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(3,867,400)</w:t>
            </w:r>
          </w:p>
        </w:tc>
        <w:tc>
          <w:tcPr>
            <w:tcW w:w="14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(3,867,400)</w:t>
            </w: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Transfers into Level III</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2,477,500</w:t>
            </w:r>
          </w:p>
        </w:tc>
        <w:tc>
          <w:tcPr>
            <w:tcW w:w="2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2,477,500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Net accretion</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246,238</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11,139,633</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11,385,871</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53,219,762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11,211,368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36,738,873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101,352,003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5"/>
              </w:rPr>
              <w:t>Sales/Paydowns/Return of Capital</w:t>
            </w: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(136,020,685)</w:t>
            </w: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(25,598,497)</w:t>
            </w:r>
          </w:p>
        </w:tc>
        <w:tc>
          <w:tcPr>
            <w:tcW w:w="1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(2,750,000)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(11,824,015)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(176,193,197)</w:t>
            </w: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realized gain included in</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(2,121,907)</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(1,264,789)</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(3,386,696)</w:t>
            </w: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Total unrealized gain (loss)</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tcPr>
          <w:p>
            <w:pPr>
              <w:spacing w:after="0"/>
              <w:rPr>
                <w:sz w:val="20"/>
                <w:szCs w:val="20"/>
                <w:color w:val="auto"/>
              </w:rPr>
            </w:pPr>
            <w:r>
              <w:rPr>
                <w:rFonts w:ascii="Arial" w:cs="Arial" w:eastAsia="Arial" w:hAnsi="Arial"/>
                <w:sz w:val="18"/>
                <w:szCs w:val="18"/>
                <w:color w:val="auto"/>
              </w:rPr>
              <w:t>included in earnings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2,210,202</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2,016,608</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(823,671)</w:t>
            </w:r>
          </w:p>
        </w:tc>
        <w:tc>
          <w:tcPr>
            <w:tcW w:w="20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1,401,000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(3,398,858)</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1,405,281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69,885,455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4,414,684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38,849,000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21,516,000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186,343,812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line="195" w:lineRule="exact"/>
              <w:rPr>
                <w:sz w:val="20"/>
                <w:szCs w:val="20"/>
                <w:color w:val="auto"/>
              </w:rPr>
            </w:pPr>
            <w:r>
              <w:rPr>
                <w:rFonts w:ascii="Arial" w:cs="Arial" w:eastAsia="Arial" w:hAnsi="Arial"/>
                <w:sz w:val="18"/>
                <w:szCs w:val="18"/>
                <w:color w:val="auto"/>
              </w:rPr>
              <w:t>Changes in unrealized gains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(losses) included in earnings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w w:val="98"/>
              </w:rPr>
              <w:t>related to investments still held at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rPr>
                <w:sz w:val="20"/>
                <w:szCs w:val="20"/>
                <w:color w:val="auto"/>
              </w:rPr>
            </w:pPr>
            <w:r>
              <w:rPr>
                <w:rFonts w:ascii="Arial" w:cs="Arial" w:eastAsia="Arial" w:hAnsi="Arial"/>
                <w:sz w:val="18"/>
                <w:szCs w:val="18"/>
                <w:color w:val="auto"/>
              </w:rPr>
              <w:t>reporting date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(479,087)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2,016,608</w:t>
            </w:r>
          </w:p>
        </w:tc>
        <w:tc>
          <w:tcPr>
            <w:tcW w:w="24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(823,671)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1,401,000</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(3,398,858)</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(1,284,008)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54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Transfers out of Level III represent a transfer of $3,867,400 relating to debt securities for which pricing inputs, other than their quoted prices in active markets were observable as of December 31, 2017.</w:t>
      </w:r>
    </w:p>
    <w:p>
      <w:pPr>
        <w:ind w:right="80"/>
        <w:spacing w:after="0" w:line="205" w:lineRule="auto"/>
        <w:rPr>
          <w:sz w:val="20"/>
          <w:szCs w:val="20"/>
          <w:color w:val="auto"/>
        </w:rPr>
      </w:pPr>
      <w:r>
        <w:rPr>
          <w:rFonts w:ascii="Arial" w:cs="Arial" w:eastAsia="Arial" w:hAnsi="Arial"/>
          <w:sz w:val="30"/>
          <w:szCs w:val="30"/>
          <w:color w:val="auto"/>
          <w:vertAlign w:val="superscript"/>
        </w:rPr>
        <w:t>2</w:t>
      </w:r>
      <w:r>
        <w:rPr>
          <w:rFonts w:ascii="Arial" w:cs="Arial" w:eastAsia="Arial" w:hAnsi="Arial"/>
          <w:sz w:val="18"/>
          <w:szCs w:val="18"/>
          <w:color w:val="auto"/>
        </w:rPr>
        <w:t>Transfers into Level III represent a transfer of $2,477,500 relating to debt securities for which pricing inputs, other than their quoted prices in active markets were unobservable as of December 31, 2017.</w:t>
      </w:r>
    </w:p>
    <w:p>
      <w:pPr>
        <w:spacing w:after="0" w:line="20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June 30, 2018 and December 31,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$56,017,665 and $100,605,594 as of June 30, 2018 and December 31, 2017, respectively.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color w:val="auto"/>
        </w:rPr>
        <w:t>As of June 30, 2018,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380" w:type="dxa"/>
            <w:vAlign w:val="bottom"/>
            <w:tcBorders>
              <w:top w:val="single" w:sz="8" w:color="auto"/>
              <w:right w:val="single" w:sz="8" w:color="auto"/>
            </w:tcBorders>
            <w:vMerge w:val="restart"/>
            <w:shd w:val="clear" w:color="auto" w:fill="DAEEF3"/>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2280" w:type="dxa"/>
            <w:vAlign w:val="bottom"/>
            <w:tcBorders>
              <w:top w:val="single" w:sz="8" w:color="auto"/>
              <w:right w:val="single" w:sz="8" w:color="auto"/>
            </w:tcBorders>
            <w:shd w:val="clear" w:color="auto" w:fill="DAEEF3"/>
          </w:tcPr>
          <w:p>
            <w:pPr>
              <w:ind w:left="380"/>
              <w:spacing w:after="0"/>
              <w:rPr>
                <w:sz w:val="20"/>
                <w:szCs w:val="20"/>
                <w:color w:val="auto"/>
              </w:rPr>
            </w:pPr>
            <w:r>
              <w:rPr>
                <w:rFonts w:ascii="Arial" w:cs="Arial" w:eastAsia="Arial" w:hAnsi="Arial"/>
                <w:sz w:val="18"/>
                <w:szCs w:val="18"/>
                <w:b w:val="1"/>
                <w:bCs w:val="1"/>
                <w:color w:val="auto"/>
              </w:rPr>
              <w:t>Primary Valuation</w:t>
            </w:r>
          </w:p>
        </w:tc>
        <w:tc>
          <w:tcPr>
            <w:tcW w:w="2720" w:type="dxa"/>
            <w:vAlign w:val="bottom"/>
            <w:tcBorders>
              <w:top w:val="single" w:sz="8" w:color="auto"/>
              <w:right w:val="single" w:sz="8" w:color="auto"/>
            </w:tcBorders>
            <w:shd w:val="clear" w:color="auto" w:fill="DAEEF3"/>
          </w:tcPr>
          <w:p>
            <w:pPr>
              <w:ind w:left="800"/>
              <w:spacing w:after="0"/>
              <w:rPr>
                <w:sz w:val="20"/>
                <w:szCs w:val="20"/>
                <w:color w:val="auto"/>
              </w:rPr>
            </w:pPr>
            <w:r>
              <w:rPr>
                <w:rFonts w:ascii="Arial" w:cs="Arial" w:eastAsia="Arial" w:hAnsi="Arial"/>
                <w:sz w:val="18"/>
                <w:szCs w:val="18"/>
                <w:b w:val="1"/>
                <w:bCs w:val="1"/>
                <w:color w:val="auto"/>
              </w:rPr>
              <w:t>Unobservable</w:t>
            </w:r>
          </w:p>
        </w:tc>
        <w:tc>
          <w:tcPr>
            <w:tcW w:w="2300" w:type="dxa"/>
            <w:vAlign w:val="bottom"/>
            <w:tcBorders>
              <w:top w:val="single" w:sz="8" w:color="auto"/>
              <w:right w:val="single" w:sz="8" w:color="auto"/>
            </w:tcBorders>
            <w:shd w:val="clear" w:color="auto" w:fill="DAEEF3"/>
          </w:tcPr>
          <w:p>
            <w:pPr>
              <w:ind w:left="5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138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Methodology</w:t>
            </w:r>
          </w:p>
        </w:tc>
        <w:tc>
          <w:tcPr>
            <w:tcW w:w="2720" w:type="dxa"/>
            <w:vAlign w:val="bottom"/>
            <w:tcBorders>
              <w:right w:val="single" w:sz="8" w:color="auto"/>
            </w:tcBorders>
            <w:vMerge w:val="restart"/>
            <w:shd w:val="clear" w:color="auto" w:fill="DAEEF3"/>
          </w:tcPr>
          <w:p>
            <w:pPr>
              <w:ind w:left="1100"/>
              <w:spacing w:after="0"/>
              <w:rPr>
                <w:sz w:val="20"/>
                <w:szCs w:val="20"/>
                <w:color w:val="auto"/>
              </w:rPr>
            </w:pPr>
            <w:r>
              <w:rPr>
                <w:rFonts w:ascii="Arial" w:cs="Arial" w:eastAsia="Arial" w:hAnsi="Arial"/>
                <w:sz w:val="18"/>
                <w:szCs w:val="18"/>
                <w:b w:val="1"/>
                <w:bCs w:val="1"/>
                <w:color w:val="auto"/>
              </w:rPr>
              <w:t>Inputs</w:t>
            </w:r>
          </w:p>
        </w:tc>
        <w:tc>
          <w:tcPr>
            <w:tcW w:w="2300" w:type="dxa"/>
            <w:vAlign w:val="bottom"/>
            <w:tcBorders>
              <w:right w:val="single" w:sz="8" w:color="auto"/>
            </w:tcBorders>
            <w:vMerge w:val="restart"/>
            <w:shd w:val="clear" w:color="auto" w:fill="DAEEF3"/>
          </w:tcPr>
          <w:p>
            <w:pPr>
              <w:ind w:left="3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1380" w:type="dxa"/>
            <w:vAlign w:val="bottom"/>
            <w:tcBorders>
              <w:bottom w:val="single" w:sz="8" w:color="auto"/>
              <w:right w:val="single" w:sz="8" w:color="auto"/>
            </w:tcBorders>
            <w:shd w:val="clear" w:color="auto" w:fill="DAEEF3"/>
          </w:tcPr>
          <w:p>
            <w:pPr>
              <w:spacing w:after="0"/>
              <w:rPr>
                <w:sz w:val="9"/>
                <w:szCs w:val="9"/>
                <w:color w:val="auto"/>
              </w:rPr>
            </w:pPr>
          </w:p>
        </w:tc>
        <w:tc>
          <w:tcPr>
            <w:tcW w:w="228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7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$ 15,829,929</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5.1x– 6.3x (5.9x)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15.2%-18.2 %( 17.2%)</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808080"/>
              <w:right w:val="single" w:sz="8" w:color="auto"/>
            </w:tcBorders>
            <w:vMerge w:val="continue"/>
          </w:tcPr>
          <w:p>
            <w:pPr>
              <w:spacing w:after="0"/>
              <w:rPr>
                <w:sz w:val="9"/>
                <w:szCs w:val="9"/>
                <w:color w:val="auto"/>
              </w:rPr>
            </w:pPr>
          </w:p>
        </w:tc>
        <w:tc>
          <w:tcPr>
            <w:tcW w:w="2300" w:type="dxa"/>
            <w:vAlign w:val="bottom"/>
            <w:tcBorders>
              <w:bottom w:val="single" w:sz="8" w:color="808080"/>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101,745,730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Implied Discount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7.1% – 25.1% (11.7%)</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4,241,111</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5.3x – 16.0x (9.9x)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138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11.8%-15.1% (13.1%)</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10,000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7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10.3%-12.0% (11.79%)</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37,342,705</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Probability of Default</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380" w:type="dxa"/>
            <w:vAlign w:val="bottom"/>
            <w:tcBorders>
              <w:right w:val="single" w:sz="8" w:color="auto"/>
            </w:tcBorders>
            <w:vMerge w:val="continue"/>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Loss Severity</w:t>
            </w:r>
          </w:p>
        </w:tc>
        <w:tc>
          <w:tcPr>
            <w:tcW w:w="2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Recovery Rate</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00"/>
        </w:trPr>
        <w:tc>
          <w:tcPr>
            <w:tcW w:w="2660" w:type="dxa"/>
            <w:vAlign w:val="bottom"/>
            <w:tcBorders>
              <w:left w:val="single" w:sz="8" w:color="auto"/>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2720" w:type="dxa"/>
            <w:vAlign w:val="bottom"/>
            <w:tcBorders>
              <w:bottom w:val="single" w:sz="8" w:color="auto"/>
              <w:right w:val="single" w:sz="8" w:color="auto"/>
            </w:tcBorders>
            <w:vMerge w:val="continue"/>
          </w:tcPr>
          <w:p>
            <w:pPr>
              <w:spacing w:after="0"/>
              <w:rPr>
                <w:sz w:val="8"/>
                <w:szCs w:val="8"/>
                <w:color w:val="auto"/>
              </w:rPr>
            </w:pPr>
          </w:p>
        </w:tc>
        <w:tc>
          <w:tcPr>
            <w:tcW w:w="23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630,280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 Value</w:t>
            </w:r>
          </w:p>
        </w:tc>
        <w:tc>
          <w:tcPr>
            <w:tcW w:w="27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36,853,000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Discounted Cash Flow</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3.17% - 9.62% (7.01%)</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Joint Venture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21,091,494</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Enterprise Value</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Underlying NAV of the CLO</w:t>
            </w:r>
          </w:p>
        </w:tc>
        <w:tc>
          <w:tcPr>
            <w:tcW w:w="23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Pr>
          <w:p>
            <w:pPr>
              <w:ind w:left="460"/>
              <w:spacing w:after="0"/>
              <w:rPr>
                <w:sz w:val="20"/>
                <w:szCs w:val="20"/>
                <w:color w:val="auto"/>
              </w:rPr>
            </w:pPr>
            <w:r>
              <w:rPr>
                <w:rFonts w:ascii="Arial" w:cs="Arial" w:eastAsia="Arial" w:hAnsi="Arial"/>
                <w:sz w:val="18"/>
                <w:szCs w:val="18"/>
                <w:b w:val="1"/>
                <w:bCs w:val="1"/>
                <w:color w:val="auto"/>
                <w:w w:val="96"/>
              </w:rPr>
              <w:t>Total Level III Investments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$ 217,744,249</w:t>
            </w:r>
          </w:p>
        </w:tc>
        <w:tc>
          <w:tcPr>
            <w:tcW w:w="2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09" w:lineRule="auto"/>
        <w:tabs>
          <w:tab w:leader="none" w:pos="120" w:val="left"/>
        </w:tabs>
        <w:numPr>
          <w:ilvl w:val="0"/>
          <w:numId w:val="44"/>
        </w:numPr>
        <w:rPr>
          <w:rFonts w:ascii="Arial" w:cs="Arial" w:eastAsia="Arial" w:hAnsi="Arial"/>
          <w:sz w:val="30"/>
          <w:szCs w:val="30"/>
          <w:color w:val="auto"/>
          <w:vertAlign w:val="superscript"/>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As of December 31,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1380" w:type="dxa"/>
            <w:vAlign w:val="bottom"/>
            <w:tcBorders>
              <w:top w:val="single" w:sz="8" w:color="auto"/>
              <w:right w:val="single" w:sz="8" w:color="auto"/>
            </w:tcBorders>
            <w:vMerge w:val="restart"/>
            <w:shd w:val="clear" w:color="auto" w:fill="DAEEF3"/>
          </w:tcPr>
          <w:p>
            <w:pPr>
              <w:jc w:val="right"/>
              <w:ind w:right="210"/>
              <w:spacing w:after="0"/>
              <w:rPr>
                <w:sz w:val="20"/>
                <w:szCs w:val="20"/>
                <w:color w:val="auto"/>
              </w:rPr>
            </w:pPr>
            <w:r>
              <w:rPr>
                <w:rFonts w:ascii="Arial" w:cs="Arial" w:eastAsia="Arial" w:hAnsi="Arial"/>
                <w:sz w:val="18"/>
                <w:szCs w:val="18"/>
                <w:b w:val="1"/>
                <w:bCs w:val="1"/>
                <w:color w:val="auto"/>
              </w:rPr>
              <w:t>Fair Value</w:t>
            </w:r>
          </w:p>
        </w:tc>
        <w:tc>
          <w:tcPr>
            <w:tcW w:w="2280" w:type="dxa"/>
            <w:vAlign w:val="bottom"/>
            <w:tcBorders>
              <w:top w:val="single" w:sz="8" w:color="auto"/>
              <w:right w:val="single" w:sz="8" w:color="auto"/>
            </w:tcBorders>
            <w:shd w:val="clear" w:color="auto" w:fill="DAEEF3"/>
          </w:tcPr>
          <w:p>
            <w:pPr>
              <w:ind w:left="380"/>
              <w:spacing w:after="0"/>
              <w:rPr>
                <w:sz w:val="20"/>
                <w:szCs w:val="20"/>
                <w:color w:val="auto"/>
              </w:rPr>
            </w:pPr>
            <w:r>
              <w:rPr>
                <w:rFonts w:ascii="Arial" w:cs="Arial" w:eastAsia="Arial" w:hAnsi="Arial"/>
                <w:sz w:val="18"/>
                <w:szCs w:val="18"/>
                <w:b w:val="1"/>
                <w:bCs w:val="1"/>
                <w:color w:val="auto"/>
              </w:rPr>
              <w:t>Primary Valuation</w:t>
            </w:r>
          </w:p>
        </w:tc>
        <w:tc>
          <w:tcPr>
            <w:tcW w:w="2720" w:type="dxa"/>
            <w:vAlign w:val="bottom"/>
            <w:tcBorders>
              <w:top w:val="single" w:sz="8" w:color="auto"/>
              <w:right w:val="single" w:sz="8" w:color="auto"/>
            </w:tcBorders>
            <w:shd w:val="clear" w:color="auto" w:fill="DAEEF3"/>
          </w:tcPr>
          <w:p>
            <w:pPr>
              <w:ind w:left="820"/>
              <w:spacing w:after="0"/>
              <w:rPr>
                <w:sz w:val="20"/>
                <w:szCs w:val="20"/>
                <w:color w:val="auto"/>
              </w:rPr>
            </w:pPr>
            <w:r>
              <w:rPr>
                <w:rFonts w:ascii="Arial" w:cs="Arial" w:eastAsia="Arial" w:hAnsi="Arial"/>
                <w:sz w:val="18"/>
                <w:szCs w:val="18"/>
                <w:b w:val="1"/>
                <w:bCs w:val="1"/>
                <w:color w:val="auto"/>
              </w:rPr>
              <w:t>Unobservable</w:t>
            </w:r>
          </w:p>
        </w:tc>
        <w:tc>
          <w:tcPr>
            <w:tcW w:w="2300" w:type="dxa"/>
            <w:vAlign w:val="bottom"/>
            <w:tcBorders>
              <w:top w:val="single" w:sz="8" w:color="auto"/>
              <w:right w:val="single" w:sz="8" w:color="auto"/>
            </w:tcBorders>
            <w:shd w:val="clear" w:color="auto" w:fill="DAEEF3"/>
          </w:tcPr>
          <w:p>
            <w:pPr>
              <w:ind w:left="520"/>
              <w:spacing w:after="0"/>
              <w:rPr>
                <w:sz w:val="20"/>
                <w:szCs w:val="20"/>
                <w:color w:val="auto"/>
              </w:rPr>
            </w:pPr>
            <w:r>
              <w:rPr>
                <w:rFonts w:ascii="Arial" w:cs="Arial" w:eastAsia="Arial" w:hAnsi="Arial"/>
                <w:sz w:val="18"/>
                <w:szCs w:val="18"/>
                <w:b w:val="1"/>
                <w:bCs w:val="1"/>
                <w:color w:val="auto"/>
              </w:rPr>
              <w:t>Range of Inputs</w:t>
            </w:r>
          </w:p>
        </w:tc>
        <w:tc>
          <w:tcPr>
            <w:tcW w:w="0" w:type="dxa"/>
            <w:vAlign w:val="bottom"/>
          </w:tcPr>
          <w:p>
            <w:pPr>
              <w:spacing w:after="0"/>
              <w:rPr>
                <w:sz w:val="1"/>
                <w:szCs w:val="1"/>
                <w:color w:val="auto"/>
              </w:rPr>
            </w:pPr>
          </w:p>
        </w:tc>
      </w:tr>
      <w:tr>
        <w:trPr>
          <w:trHeight w:val="126"/>
        </w:trPr>
        <w:tc>
          <w:tcPr>
            <w:tcW w:w="266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138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Methodology</w:t>
            </w:r>
          </w:p>
        </w:tc>
        <w:tc>
          <w:tcPr>
            <w:tcW w:w="2720" w:type="dxa"/>
            <w:vAlign w:val="bottom"/>
            <w:tcBorders>
              <w:right w:val="single" w:sz="8" w:color="auto"/>
            </w:tcBorders>
            <w:vMerge w:val="restart"/>
            <w:shd w:val="clear" w:color="auto" w:fill="DAEEF3"/>
          </w:tcPr>
          <w:p>
            <w:pPr>
              <w:ind w:left="1100"/>
              <w:spacing w:after="0"/>
              <w:rPr>
                <w:sz w:val="20"/>
                <w:szCs w:val="20"/>
                <w:color w:val="auto"/>
              </w:rPr>
            </w:pPr>
            <w:r>
              <w:rPr>
                <w:rFonts w:ascii="Arial" w:cs="Arial" w:eastAsia="Arial" w:hAnsi="Arial"/>
                <w:sz w:val="18"/>
                <w:szCs w:val="18"/>
                <w:b w:val="1"/>
                <w:bCs w:val="1"/>
                <w:color w:val="auto"/>
              </w:rPr>
              <w:t>Inputs</w:t>
            </w:r>
          </w:p>
        </w:tc>
        <w:tc>
          <w:tcPr>
            <w:tcW w:w="2300" w:type="dxa"/>
            <w:vAlign w:val="bottom"/>
            <w:tcBorders>
              <w:right w:val="single" w:sz="8" w:color="auto"/>
            </w:tcBorders>
            <w:vMerge w:val="restart"/>
            <w:shd w:val="clear" w:color="auto" w:fill="DAEEF3"/>
          </w:tcPr>
          <w:p>
            <w:pPr>
              <w:ind w:left="380"/>
              <w:spacing w:after="0"/>
              <w:rPr>
                <w:sz w:val="20"/>
                <w:szCs w:val="20"/>
                <w:color w:val="auto"/>
              </w:rPr>
            </w:pPr>
            <w:r>
              <w:rPr>
                <w:rFonts w:ascii="Arial" w:cs="Arial" w:eastAsia="Arial" w:hAnsi="Arial"/>
                <w:sz w:val="18"/>
                <w:szCs w:val="18"/>
                <w:b w:val="1"/>
                <w:bCs w:val="1"/>
                <w:color w:val="auto"/>
              </w:rPr>
              <w:t>(Weighted Average)</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bottom w:val="single" w:sz="8" w:color="auto"/>
              <w:right w:val="single" w:sz="8" w:color="auto"/>
            </w:tcBorders>
            <w:shd w:val="clear" w:color="auto" w:fill="DAEEF3"/>
          </w:tcPr>
          <w:p>
            <w:pPr>
              <w:spacing w:after="0"/>
              <w:rPr>
                <w:sz w:val="9"/>
                <w:szCs w:val="9"/>
                <w:color w:val="auto"/>
              </w:rPr>
            </w:pPr>
          </w:p>
        </w:tc>
        <w:tc>
          <w:tcPr>
            <w:tcW w:w="1380" w:type="dxa"/>
            <w:vAlign w:val="bottom"/>
            <w:tcBorders>
              <w:bottom w:val="single" w:sz="8" w:color="auto"/>
              <w:right w:val="single" w:sz="8" w:color="auto"/>
            </w:tcBorders>
            <w:shd w:val="clear" w:color="auto" w:fill="DAEEF3"/>
          </w:tcPr>
          <w:p>
            <w:pPr>
              <w:spacing w:after="0"/>
              <w:rPr>
                <w:sz w:val="9"/>
                <w:szCs w:val="9"/>
                <w:color w:val="auto"/>
              </w:rPr>
            </w:pPr>
          </w:p>
        </w:tc>
        <w:tc>
          <w:tcPr>
            <w:tcW w:w="228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72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2300" w:type="dxa"/>
            <w:vAlign w:val="bottom"/>
            <w:tcBorders>
              <w:bottom w:val="single" w:sz="8" w:color="auto"/>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Debt Securities</w:t>
            </w: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$ 14,059,524</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5.1x - 6.1x (5.2x)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15.2% - 18.5% (17.4%)</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808080"/>
              <w:right w:val="single" w:sz="8" w:color="auto"/>
            </w:tcBorders>
            <w:vMerge w:val="continue"/>
          </w:tcPr>
          <w:p>
            <w:pPr>
              <w:spacing w:after="0"/>
              <w:rPr>
                <w:sz w:val="9"/>
                <w:szCs w:val="9"/>
                <w:color w:val="auto"/>
              </w:rPr>
            </w:pPr>
          </w:p>
        </w:tc>
        <w:tc>
          <w:tcPr>
            <w:tcW w:w="2300" w:type="dxa"/>
            <w:vAlign w:val="bottom"/>
            <w:tcBorders>
              <w:bottom w:val="single" w:sz="8" w:color="808080"/>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$55,825,931</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Income Approach</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Implied Discount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6.4% - 23.5% (12.0%)</w:t>
            </w:r>
          </w:p>
        </w:tc>
        <w:tc>
          <w:tcPr>
            <w:tcW w:w="0" w:type="dxa"/>
            <w:vAlign w:val="bottom"/>
          </w:tcPr>
          <w:p>
            <w:pPr>
              <w:spacing w:after="0"/>
              <w:rPr>
                <w:sz w:val="1"/>
                <w:szCs w:val="1"/>
                <w:color w:val="auto"/>
              </w:rPr>
            </w:pPr>
          </w:p>
        </w:tc>
      </w:tr>
      <w:tr>
        <w:trPr>
          <w:trHeight w:val="195"/>
        </w:trPr>
        <w:tc>
          <w:tcPr>
            <w:tcW w:w="2660" w:type="dxa"/>
            <w:vAlign w:val="bottom"/>
            <w:tcBorders>
              <w:left w:val="single" w:sz="8" w:color="auto"/>
              <w:right w:val="single" w:sz="8" w:color="auto"/>
            </w:tcBorders>
          </w:tcPr>
          <w:p>
            <w:pPr>
              <w:spacing w:after="0"/>
              <w:rPr>
                <w:sz w:val="16"/>
                <w:szCs w:val="16"/>
                <w:color w:val="auto"/>
              </w:rPr>
            </w:pP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$4,405,684</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Enterprise Value</w:t>
            </w:r>
          </w:p>
        </w:tc>
        <w:tc>
          <w:tcPr>
            <w:tcW w:w="27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Average EBITDA Multiple /</w:t>
            </w:r>
          </w:p>
        </w:tc>
        <w:tc>
          <w:tcPr>
            <w:tcW w:w="2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4.5x – 15.2x (9.8x)</w:t>
            </w:r>
          </w:p>
        </w:tc>
        <w:tc>
          <w:tcPr>
            <w:tcW w:w="0" w:type="dxa"/>
            <w:vAlign w:val="bottom"/>
          </w:tcPr>
          <w:p>
            <w:pPr>
              <w:spacing w:after="0"/>
              <w:rPr>
                <w:sz w:val="1"/>
                <w:szCs w:val="1"/>
                <w:color w:val="auto"/>
              </w:rPr>
            </w:pPr>
          </w:p>
        </w:tc>
      </w:tr>
      <w:tr>
        <w:trPr>
          <w:trHeight w:val="122"/>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Equity Securities</w:t>
            </w:r>
          </w:p>
        </w:tc>
        <w:tc>
          <w:tcPr>
            <w:tcW w:w="138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WACC</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10.8% - 15.1% (12.2%)</w:t>
            </w:r>
          </w:p>
        </w:tc>
        <w:tc>
          <w:tcPr>
            <w:tcW w:w="0" w:type="dxa"/>
            <w:vAlign w:val="bottom"/>
          </w:tcPr>
          <w:p>
            <w:pPr>
              <w:spacing w:after="0"/>
              <w:rPr>
                <w:sz w:val="1"/>
                <w:szCs w:val="1"/>
                <w:color w:val="auto"/>
              </w:rPr>
            </w:pPr>
          </w:p>
        </w:tc>
      </w:tr>
      <w:tr>
        <w:trPr>
          <w:trHeight w:val="108"/>
        </w:trPr>
        <w:tc>
          <w:tcPr>
            <w:tcW w:w="2660" w:type="dxa"/>
            <w:vAlign w:val="bottom"/>
            <w:tcBorders>
              <w:left w:val="single" w:sz="8" w:color="auto"/>
              <w:right w:val="single" w:sz="8" w:color="auto"/>
            </w:tcBorders>
            <w:vMerge w:val="continue"/>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2280" w:type="dxa"/>
            <w:vAlign w:val="bottom"/>
            <w:tcBorders>
              <w:bottom w:val="single" w:sz="8" w:color="auto"/>
              <w:right w:val="single" w:sz="8" w:color="auto"/>
            </w:tcBorders>
          </w:tcPr>
          <w:p>
            <w:pPr>
              <w:spacing w:after="0"/>
              <w:rPr>
                <w:sz w:val="9"/>
                <w:szCs w:val="9"/>
                <w:color w:val="auto"/>
              </w:rPr>
            </w:pPr>
          </w:p>
        </w:tc>
        <w:tc>
          <w:tcPr>
            <w:tcW w:w="2720" w:type="dxa"/>
            <w:vAlign w:val="bottom"/>
            <w:tcBorders>
              <w:bottom w:val="single" w:sz="8" w:color="auto"/>
              <w:right w:val="single" w:sz="8" w:color="auto"/>
            </w:tcBorders>
            <w:vMerge w:val="continue"/>
          </w:tcPr>
          <w:p>
            <w:pPr>
              <w:spacing w:after="0"/>
              <w:rPr>
                <w:sz w:val="9"/>
                <w:szCs w:val="9"/>
                <w:color w:val="auto"/>
              </w:rPr>
            </w:pPr>
          </w:p>
        </w:tc>
        <w:tc>
          <w:tcPr>
            <w:tcW w:w="230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9,000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Options Value</w:t>
            </w:r>
          </w:p>
        </w:tc>
        <w:tc>
          <w:tcPr>
            <w:tcW w:w="27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(1)</w:t>
            </w: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18,922,030</w:t>
            </w:r>
          </w:p>
        </w:tc>
        <w:tc>
          <w:tcPr>
            <w:tcW w:w="22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Discounted Cash Flow</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Probability of Default</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1380" w:type="dxa"/>
            <w:vAlign w:val="bottom"/>
            <w:tcBorders>
              <w:right w:val="single" w:sz="8" w:color="auto"/>
            </w:tcBorders>
            <w:vMerge w:val="continue"/>
          </w:tcPr>
          <w:p>
            <w:pPr>
              <w:spacing w:after="0"/>
              <w:rPr>
                <w:sz w:val="18"/>
                <w:szCs w:val="18"/>
                <w:color w:val="auto"/>
              </w:rPr>
            </w:pPr>
          </w:p>
        </w:tc>
        <w:tc>
          <w:tcPr>
            <w:tcW w:w="2280" w:type="dxa"/>
            <w:vAlign w:val="bottom"/>
            <w:tcBorders>
              <w:right w:val="single" w:sz="8" w:color="auto"/>
            </w:tcBorders>
            <w:vMerge w:val="continue"/>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Loss Severity</w:t>
            </w:r>
          </w:p>
        </w:tc>
        <w:tc>
          <w:tcPr>
            <w:tcW w:w="2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115"/>
        </w:trPr>
        <w:tc>
          <w:tcPr>
            <w:tcW w:w="2660" w:type="dxa"/>
            <w:vAlign w:val="bottom"/>
            <w:tcBorders>
              <w:left w:val="single" w:sz="8" w:color="auto"/>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Recovery Rate</w:t>
            </w:r>
          </w:p>
        </w:tc>
        <w:tc>
          <w:tcPr>
            <w:tcW w:w="2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100"/>
        </w:trPr>
        <w:tc>
          <w:tcPr>
            <w:tcW w:w="2660" w:type="dxa"/>
            <w:vAlign w:val="bottom"/>
            <w:tcBorders>
              <w:left w:val="single" w:sz="8" w:color="auto"/>
              <w:right w:val="single" w:sz="8" w:color="auto"/>
            </w:tcBorders>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2720" w:type="dxa"/>
            <w:vAlign w:val="bottom"/>
            <w:tcBorders>
              <w:bottom w:val="single" w:sz="8" w:color="auto"/>
              <w:right w:val="single" w:sz="8" w:color="auto"/>
            </w:tcBorders>
            <w:vMerge w:val="continue"/>
          </w:tcPr>
          <w:p>
            <w:pPr>
              <w:spacing w:after="0"/>
              <w:rPr>
                <w:sz w:val="8"/>
                <w:szCs w:val="8"/>
                <w:color w:val="auto"/>
              </w:rPr>
            </w:pPr>
          </w:p>
        </w:tc>
        <w:tc>
          <w:tcPr>
            <w:tcW w:w="230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Prepayment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0"/>
        </w:trPr>
        <w:tc>
          <w:tcPr>
            <w:tcW w:w="2660" w:type="dxa"/>
            <w:vAlign w:val="bottom"/>
            <w:tcBorders>
              <w:left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11,150,766</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Liquidation Value</w:t>
            </w:r>
          </w:p>
        </w:tc>
        <w:tc>
          <w:tcPr>
            <w:tcW w:w="2720" w:type="dxa"/>
            <w:vAlign w:val="bottom"/>
            <w:tcBorders>
              <w:bottom w:val="single" w:sz="8" w:color="auto"/>
              <w:right w:val="single" w:sz="8" w:color="auto"/>
            </w:tcBorders>
          </w:tcPr>
          <w:p>
            <w:pPr>
              <w:ind w:left="100"/>
              <w:spacing w:after="0" w:line="250" w:lineRule="exact"/>
              <w:rPr>
                <w:sz w:val="20"/>
                <w:szCs w:val="20"/>
                <w:color w:val="auto"/>
              </w:rPr>
            </w:pPr>
            <w:r>
              <w:rPr>
                <w:rFonts w:ascii="Arial" w:cs="Arial" w:eastAsia="Arial" w:hAnsi="Arial"/>
                <w:sz w:val="17"/>
                <w:szCs w:val="17"/>
                <w:color w:val="auto"/>
              </w:rPr>
              <w:t>Qualitative Inputs</w:t>
            </w:r>
            <w:r>
              <w:rPr>
                <w:rFonts w:ascii="Arial" w:cs="Arial" w:eastAsia="Arial" w:hAnsi="Arial"/>
                <w:sz w:val="28"/>
                <w:szCs w:val="28"/>
                <w:color w:val="auto"/>
                <w:vertAlign w:val="superscript"/>
              </w:rPr>
              <w:t>(2)</w:t>
            </w:r>
          </w:p>
        </w:tc>
        <w:tc>
          <w:tcPr>
            <w:tcW w:w="23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21,605,877</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Quote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56.0%-96.5% (69.7%)</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Asset Manager Affiliate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38,849,000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Discounted Cash Flow</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Discount Rate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2.66% - 12.0% (6.56%)</w:t>
            </w:r>
          </w:p>
        </w:tc>
        <w:tc>
          <w:tcPr>
            <w:tcW w:w="0" w:type="dxa"/>
            <w:vAlign w:val="bottom"/>
          </w:tcPr>
          <w:p>
            <w:pPr>
              <w:spacing w:after="0"/>
              <w:rPr>
                <w:sz w:val="1"/>
                <w:szCs w:val="1"/>
                <w:color w:val="auto"/>
              </w:rPr>
            </w:pPr>
          </w:p>
        </w:tc>
      </w:tr>
      <w:tr>
        <w:trPr>
          <w:trHeight w:val="210"/>
        </w:trPr>
        <w:tc>
          <w:tcPr>
            <w:tcW w:w="2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Joint Venture</w:t>
            </w:r>
          </w:p>
        </w:tc>
        <w:tc>
          <w:tcPr>
            <w:tcW w:w="13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21,516,000</w:t>
            </w:r>
          </w:p>
        </w:tc>
        <w:tc>
          <w:tcPr>
            <w:tcW w:w="22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Market Approach</w:t>
            </w:r>
          </w:p>
        </w:tc>
        <w:tc>
          <w:tcPr>
            <w:tcW w:w="2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Third Party Quote</w:t>
            </w:r>
          </w:p>
        </w:tc>
        <w:tc>
          <w:tcPr>
            <w:tcW w:w="2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7"/>
        </w:trPr>
        <w:tc>
          <w:tcPr>
            <w:tcW w:w="2660" w:type="dxa"/>
            <w:vAlign w:val="bottom"/>
          </w:tcPr>
          <w:p>
            <w:pPr>
              <w:ind w:left="460"/>
              <w:spacing w:after="0"/>
              <w:rPr>
                <w:sz w:val="20"/>
                <w:szCs w:val="20"/>
                <w:color w:val="auto"/>
              </w:rPr>
            </w:pPr>
            <w:r>
              <w:rPr>
                <w:rFonts w:ascii="Arial" w:cs="Arial" w:eastAsia="Arial" w:hAnsi="Arial"/>
                <w:sz w:val="18"/>
                <w:szCs w:val="18"/>
                <w:b w:val="1"/>
                <w:bCs w:val="1"/>
                <w:color w:val="auto"/>
                <w:w w:val="96"/>
              </w:rPr>
              <w:t>Total Level III Investments</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$ 186,343,812</w:t>
            </w:r>
          </w:p>
        </w:tc>
        <w:tc>
          <w:tcPr>
            <w:tcW w:w="2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09" w:lineRule="auto"/>
        <w:tabs>
          <w:tab w:leader="none" w:pos="120" w:val="left"/>
        </w:tabs>
        <w:numPr>
          <w:ilvl w:val="0"/>
          <w:numId w:val="45"/>
        </w:numPr>
        <w:rPr>
          <w:rFonts w:ascii="Arial" w:cs="Arial" w:eastAsia="Arial" w:hAnsi="Arial"/>
          <w:sz w:val="30"/>
          <w:szCs w:val="30"/>
          <w:color w:val="auto"/>
          <w:vertAlign w:val="superscript"/>
        </w:rPr>
      </w:pPr>
      <w:r>
        <w:rPr>
          <w:rFonts w:ascii="Arial" w:cs="Arial" w:eastAsia="Arial" w:hAnsi="Arial"/>
          <w:sz w:val="18"/>
          <w:szCs w:val="18"/>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The qualitative inputs used in the fair value measurements include the value of the pledged collateral.</w:t>
      </w:r>
    </w:p>
    <w:p>
      <w:pPr>
        <w:spacing w:after="0" w:line="113"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right="100" w:firstLine="324"/>
        <w:spacing w:after="0" w:line="293" w:lineRule="auto"/>
        <w:rPr>
          <w:sz w:val="20"/>
          <w:szCs w:val="20"/>
          <w:color w:val="auto"/>
        </w:rPr>
      </w:pPr>
      <w:r>
        <w:rPr>
          <w:rFonts w:ascii="Arial" w:cs="Arial" w:eastAsia="Arial" w:hAnsi="Arial"/>
          <w:sz w:val="16"/>
          <w:szCs w:val="16"/>
          <w:color w:val="auto"/>
        </w:rPr>
        <w:t>The significant unobservable input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Company’s investment in the Joint Venture is carried at fair value based upon the fair value of the investments held by the Joint Venture.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2018 and December 31, 2017, the Asset Manager Affiliates had approximately $2.8 billion and $3.0 billion of par value of assets under management, respectively, and the Company’s 100% equity interest in the Asset Manager Affiliates had a fair value of approximately $36.9 million and $38.8 million, respectively.</w:t>
      </w:r>
    </w:p>
    <w:p>
      <w:pPr>
        <w:spacing w:after="0" w:line="171" w:lineRule="exact"/>
        <w:rPr>
          <w:sz w:val="20"/>
          <w:szCs w:val="20"/>
          <w:color w:val="auto"/>
        </w:rPr>
      </w:pPr>
    </w:p>
    <w:p>
      <w:pPr>
        <w:ind w:right="160" w:firstLine="324"/>
        <w:spacing w:after="0" w:line="270"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During the first half of 2018, the Asset Manager Affiliates did not recognize any incentive fee revenue. During the first half of 2017, the Asset Manager Affiliates recognized $2.9 million of incentive fee revenue from Trimaran VII, which was called in January 2017. Currently, all CLO Funds managed by the Asset Manager Affiliates are paying both their senior and subordinated management fees on a current basis. As of June 30, 2018, none of the CLO Funds managed by the Asset Manager Affiliates were paying incentive fees.</w:t>
      </w:r>
    </w:p>
    <w:p>
      <w:pPr>
        <w:spacing w:after="0" w:line="18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Certain investments, and the future management fees of certain managed CLO Funds, have been pledged by the Asset Manager Affiliates to third-party lenders under borrowing arrangements undertaken to satisfy the U.S. risk retention rules formerly required by Section 941 of the Dodd-Frank Wall Street Reform and Consumer Protection Act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 A recent court ruling has vacated the application of the U.S. risk retention rules insofar as they apply to managers of “open market CLOs,” such as the Asset Manager Affiliates. Please see Note 8 – “Commitments and Contingencies” for further information regarding the U.S. risk retention rules.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ind w:firstLine="324"/>
        <w:spacing w:after="0" w:line="289" w:lineRule="auto"/>
        <w:rPr>
          <w:sz w:val="20"/>
          <w:szCs w:val="20"/>
          <w:color w:val="auto"/>
        </w:rPr>
      </w:pPr>
      <w:r>
        <w:rPr>
          <w:rFonts w:ascii="Arial" w:cs="Arial" w:eastAsia="Arial" w:hAnsi="Arial"/>
          <w:sz w:val="16"/>
          <w:szCs w:val="16"/>
          <w:color w:val="auto"/>
        </w:rPr>
        <w:t>For the three months ended June 30, 2018 and 2017, the Asset Manager Affiliates declared cash distributions of $800,000 and $650,000 to the Company, respectively. For the six monthsended June 30, 2018 and 2017, the Asset Manager Affiliates declared cash distributions of $1.6 million and $1.3 million to the Company, respectively. Any distributions from the Asset Manager Affiliates out of their estimated tax-basis earnings and profits are recorded as “Dividends from Asset Manager Affiliates” on the Company’s statement of operations. The Company recognized $300,000 and $0 of Dividends from Asset Manager Affiliates, as reflected in the Company’s in the statement of operations in the second quarter of 2018 and 2017, respectively. The difference between cash distributions received and the tax-basis earnings and profits of the distributing affiliate, are recorded as an adjustment to the cost basis in the Asset Manager Affiliate (i.e., tax-basis return of capital). For the quarters ended June 30, 2018 and 2017 the difference of $500,000 and $650,000, respectively,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67"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147"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accordance with Rules 3-09, Rule 4-08(g) and 1-02 of Regulation S-X, additional financial information with respect to the Asset Manager Affiliates and with respect to one of the CLO Funds in which the Company has an investment, Katonah 2007-I CLO are required to be included in the Company’s SEC filings. The additional financial information regarding the Asset Manager Affiliates (pursuant to Rule 3-09) and Katonah 2007-I CLO (pursuant to Rule 4-08(g)) is set forth below. This additional financial information regarding the Asset Manager Affiliates and Katonah 2007-1 CLO does not directly impact the financial position, results of operations, or cash flows of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3,478,623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4,655,662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46,679,398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79,901,209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22,830,000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2,524,449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4,471,250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75,512,470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111,858,121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19,685,000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69,802,500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Borrowings from related parties</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29,777,282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12,792,218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5,203,387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6,789,433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54,665,669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89,384,151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20,846,801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22,473,970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75,512,470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111,858,121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w w:val="98"/>
              </w:rPr>
              <w:t>For the three months ended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4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six months ended</w:t>
            </w:r>
          </w:p>
        </w:tc>
      </w:tr>
      <w:tr>
        <w:trPr>
          <w:trHeight w:val="234"/>
        </w:trPr>
        <w:tc>
          <w:tcPr>
            <w:tcW w:w="4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8,972,550</w:t>
            </w:r>
          </w:p>
        </w:tc>
        <w:tc>
          <w:tcPr>
            <w:tcW w:w="100" w:type="dxa"/>
            <w:vAlign w:val="bottom"/>
            <w:shd w:val="clear" w:color="auto" w:fill="CCEEFF"/>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1,582,005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2,268,591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5,910</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4,472,872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3,092,088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8,219,118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2,819,121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2,543,378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5,345,206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5,304,832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1,535,588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214,715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2,713,106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403,566</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4,354,709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2,758,093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8,058,312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6,035,939</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4500" w:type="dxa"/>
            <w:vAlign w:val="bottom"/>
          </w:tcPr>
          <w:p>
            <w:pPr>
              <w:spacing w:after="0" w:line="182" w:lineRule="exact"/>
              <w:rPr>
                <w:sz w:val="20"/>
                <w:szCs w:val="20"/>
                <w:color w:val="auto"/>
              </w:rPr>
            </w:pPr>
            <w:r>
              <w:rPr>
                <w:rFonts w:ascii="Arial" w:cs="Arial" w:eastAsia="Arial" w:hAnsi="Arial"/>
                <w:sz w:val="18"/>
                <w:szCs w:val="18"/>
                <w:color w:val="auto"/>
                <w:w w:val="94"/>
              </w:rPr>
              <w:t>Income before unrealized gains on investments and income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118,163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333,995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160,806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2,942,521</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w w:val="97"/>
              </w:rPr>
              <w:t>Net realized and unrealized gains (losses) on investments</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203,461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(498,647</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333,995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364,267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2,942,521</w:t>
            </w:r>
          </w:p>
        </w:tc>
        <w:tc>
          <w:tcPr>
            <w:tcW w:w="10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(201,612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(280,784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(328,566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1,058,560</w:t>
            </w:r>
          </w:p>
        </w:tc>
        <w:tc>
          <w:tcPr>
            <w:tcW w:w="10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(297,035</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614,779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692,833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1,883,961</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4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32"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140" w:type="dxa"/>
            <w:vAlign w:val="bottom"/>
          </w:tcPr>
          <w:p>
            <w:pPr>
              <w:spacing w:after="0"/>
              <w:rPr>
                <w:sz w:val="19"/>
                <w:szCs w:val="19"/>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r>
      <w:tr>
        <w:trPr>
          <w:trHeight w:val="234"/>
        </w:trPr>
        <w:tc>
          <w:tcPr>
            <w:tcW w:w="7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2018</w:t>
            </w: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49,144</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215,799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1,673,789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8,750,934</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264,943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11,203,551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CLO Debt at Fair Value</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10,770,486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50,006</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10,854,495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349,056</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60" w:type="dxa"/>
            <w:vAlign w:val="bottom"/>
            <w:gridSpan w:val="6"/>
          </w:tcPr>
          <w:p>
            <w:pPr>
              <w:ind w:left="560"/>
              <w:spacing w:after="0"/>
              <w:rPr>
                <w:sz w:val="20"/>
                <w:szCs w:val="20"/>
                <w:color w:val="auto"/>
              </w:rPr>
            </w:pPr>
            <w:r>
              <w:rPr>
                <w:rFonts w:ascii="Arial" w:cs="Arial" w:eastAsia="Arial" w:hAnsi="Arial"/>
                <w:sz w:val="18"/>
                <w:szCs w:val="18"/>
                <w:b w:val="1"/>
                <w:bCs w:val="1"/>
                <w:color w:val="auto"/>
              </w:rPr>
              <w:t>For the three months ended</w:t>
            </w:r>
          </w:p>
        </w:tc>
        <w:tc>
          <w:tcPr>
            <w:tcW w:w="320" w:type="dxa"/>
            <w:vAlign w:val="bottom"/>
          </w:tcPr>
          <w:p>
            <w:pPr>
              <w:spacing w:after="0"/>
              <w:rPr>
                <w:sz w:val="19"/>
                <w:szCs w:val="19"/>
                <w:color w:val="auto"/>
              </w:rPr>
            </w:pPr>
          </w:p>
        </w:tc>
        <w:tc>
          <w:tcPr>
            <w:tcW w:w="294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4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88"/>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4"/>
              </w:rPr>
              <w:t>2018</w:t>
            </w:r>
          </w:p>
        </w:tc>
        <w:tc>
          <w:tcPr>
            <w:tcW w:w="52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1,373,010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3,151,126</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Income</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1,344,827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6,505</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3,188,161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10,487,425</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3,014,926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Expenses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4,138</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1,681,473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10,626,914</w:t>
            </w: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3,483,656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(530,500)</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10,504,641</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(1,158,514)</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w w:val="94"/>
              </w:rPr>
              <w:t>Increase (Decrease) in net assets resulting from operations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(4,138)</w:t>
            </w:r>
          </w:p>
        </w:tc>
        <w:tc>
          <w:tcPr>
            <w:tcW w:w="36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(867,146)</w:t>
            </w:r>
          </w:p>
        </w:tc>
        <w:tc>
          <w:tcPr>
            <w:tcW w:w="3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(115,768)</w:t>
            </w:r>
          </w:p>
        </w:tc>
        <w:tc>
          <w:tcPr>
            <w:tcW w:w="3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(1,454,009)</w:t>
            </w:r>
          </w:p>
        </w:tc>
      </w:tr>
    </w:tbl>
    <w:p>
      <w:pPr>
        <w:spacing w:after="0" w:line="187" w:lineRule="exact"/>
        <w:rPr>
          <w:sz w:val="20"/>
          <w:szCs w:val="20"/>
          <w:color w:val="auto"/>
        </w:rPr>
      </w:pPr>
    </w:p>
    <w:p>
      <w:pPr>
        <w:ind w:right="220" w:firstLine="324"/>
        <w:spacing w:after="0" w:line="288" w:lineRule="auto"/>
        <w:rPr>
          <w:sz w:val="20"/>
          <w:szCs w:val="20"/>
          <w:color w:val="auto"/>
        </w:rPr>
      </w:pPr>
      <w:r>
        <w:rPr>
          <w:rFonts w:ascii="Arial" w:cs="Arial" w:eastAsia="Arial" w:hAnsi="Arial"/>
          <w:sz w:val="16"/>
          <w:szCs w:val="16"/>
          <w:color w:val="auto"/>
        </w:rPr>
        <w:t>On December 19, 2017, the Company, in its capacity as the holder of all of the outstanding preferred shares of Katonah 2007-1, exercised its right to cause Katonah 2007-1 to redeem all of its outstanding indebtedness through the sale of its investments and otherwise wind up its business. As of December 31, 2017, Katonah 2007-1 had paid off all of its outstanding indebtedness and had approximately $10.8 million in total assets. It is expected that Katonah</w:t>
      </w:r>
    </w:p>
    <w:p>
      <w:pPr>
        <w:spacing w:after="0" w:line="253" w:lineRule="auto"/>
        <w:rPr>
          <w:sz w:val="20"/>
          <w:szCs w:val="20"/>
          <w:color w:val="auto"/>
        </w:rPr>
      </w:pPr>
      <w:r>
        <w:rPr>
          <w:rFonts w:ascii="Arial" w:cs="Arial" w:eastAsia="Arial" w:hAnsi="Arial"/>
          <w:sz w:val="18"/>
          <w:szCs w:val="18"/>
          <w:color w:val="auto"/>
        </w:rPr>
        <w:t>2007-1 will be fully liquidated and dissolved in 2018. The Company received approximately $11.3 million on its investment in Katonah 2007-1 during the fourth quarter of 2017 in connection with the liquidation of Katonah 2007-1, and received an additional $10.5 million in the first half of 2018. Upon receipt of the final liquidating distribution from Katonah 2007-1, the Company expects to record a realized loss of approximately $10 million on its investment in Katonah 2007-1 and a corresponding unrealized gain of the same amount, in order to reverse the previously recorded unrealized depreciation with respect to the investment.</w:t>
      </w:r>
    </w:p>
    <w:p>
      <w:pPr>
        <w:spacing w:after="0" w:line="191"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Except for KCAP Management, LLC, which is a disregarded entity whose tax results are included with the Company’s tax results, 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6"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tax-basis intangible assets of $15.7 million, both of which are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On April 15, 2013, the Trimaran Credit Facility was amended and upsized from $20 million to $23 million. On November 17, 2017, the Trimaran Credit Facility was amended to extend the maturity date to November 17, 2022 and bears interest at an annual rate of 9.0%. At June 30, 2018 there was a $23 million loan outstanding and at December 31, 2017, there were no loans outstanding under the Trimaran Credit Facility. For the three months ended June 30, 2018 and 2017, the Company recognized interest income of approximately $524,000 and $210,000, respectively, related to the Trimaran Credit Facility. For the six months ended June 30, 2018 and 2017, the Company recognized interest income of approximately $639,000 and $390,000, respectively, related to the Trimaran Credit Facility.</w:t>
      </w:r>
    </w:p>
    <w:p>
      <w:pPr>
        <w:spacing w:after="0" w:line="16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October 30, 2017, the Company entered into a new term loan agreement with Trimaran Advisors, one of the Asset Manager Affiliates. Trimaran Advisors borrowed $8.4 million under this agreement, which bears interest at a rate of 10.5% annually, payable quarterly. The loan matures on April 30, 2030, can be repaid at any time, and must be repaid upon the occurrence of certain events. During the second quarter of 2018, $1.6 million of the principal on this loan was repaid by Trimaran. During the three months and six months ended June 30, 2018, the Company recognized approximately $221,000 and $440,000, respectively, of interest income related to this loan.</w:t>
      </w:r>
    </w:p>
    <w:p>
      <w:pPr>
        <w:spacing w:after="0" w:line="188"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On October 31, 2017, Trimaran Advisors capitalized Trimaran Risk Retention Holdings, LLC, a newly-formed wholly-owned subsidiary, with $8.4 million of equity capital. In turn, Trimaran Risk Retention Holdings capitalized Trimaran RR I, LLC, a wholly-owned subsidiary of Trimaran Risk Retention Holdings, LLC, with $8.4 million of equity capital. With this equity contribution and other borrowed funds, Trimaran RR I, LLC purchased $34.8 million notional amount of notes issued by Catamaran CLO 2014-1, Ltd. for aggregate consideration of $35.5 million. On December 21, 2017, the Company entered into another new term loan agreement with Trimaran Advisors. Trimaran Advisors borrowed $4.4 million, which also bears interest at a rate of 10.5% annually, payable quarterly. The loan matures on January 27, 2028, can be repaid at any time, and must be repaid upon the occurrence of certain events. During the second quarter of 2018, this loan was repaid in full by Trimaran. During the three months and six months ended June 30, 2018, the Company recognized approximately $113,000 and $229,000, respectively, of interest income related to this loan.</w:t>
      </w:r>
    </w:p>
    <w:p>
      <w:pPr>
        <w:spacing w:after="0" w:line="17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On December 21, 2017, Trimaran Advisors contributed $4.4 million of equity capital to Trimaran Risk Retention Holdings, LLC. In turn, Trimaran Risk Retention Holdings contributed $4.4 under this agreement million of equity capital to Trimaran RR I. With this equity contribution and other borrowed funds, Trimaran RR I, LLC purchased $27.4 million notional amount of notes issued by Catamaran CLO 2013-1, Ltd. for aggregate consideration of $27.4 million.</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Section 941 of the Dodd-Frank Act added a provision to the Exchange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U.S.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February 9, 2018, the United States Court of Appeals for the District of Columbia (the “D.C. Circuit Court”) ruled in favor of an appeal brought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 The LSTA was appealing from a judgment entered by the United States District Court for the District of Columbia (the "D.C. District Court"), which granted summary judgment in favor of the SEC and Federal Reserve and against the LSTA with respect to its challenges.</w:t>
      </w:r>
    </w:p>
    <w:p>
      <w:pPr>
        <w:spacing w:after="0" w:line="19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April 5, 2018, the D.C. District Court entered an order implementing the Appellate Court Ruling and thereby vacated the U.S. risk retention rules insofar as they apply to CLO managers of “open market CLOs.” In addition, the Applicable Governmental Agencies did not request that the case be heard by the United States Supreme Court. Since the Applicable Governmental Agencies have not successfully challenged the Appellate Court Ruling and the D.C. District Court has issued the above described order implementing the Appellate Court Ruling, collateral managers of open market CLOs are no longer required to comply with the U.S. risk retention rules at this time. As such,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5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During the second quarter of 2018, Trimaran RR I sold $31.4 million and $24.9 million, respectively of notional amount of notes issued by Catamaran CLO 2014-1, Ltd and Catamaran 2013-1, Ltd,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112"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20" w:type="dxa"/>
            <w:vAlign w:val="bottom"/>
            <w:gridSpan w:val="2"/>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 2018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w w:val="89"/>
              </w:rPr>
              <w:t>6.125% Notes Due 2022</w:t>
            </w:r>
          </w:p>
        </w:tc>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offering costs of: 2018-$2,474,275; 2017 - $2,734,248)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74,932,925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74,672,952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w w:val="89"/>
              </w:rPr>
              <w:t>7.375% Notes Due 2019</w:t>
            </w:r>
          </w:p>
        </w:tc>
        <w:tc>
          <w:tcPr>
            <w:tcW w:w="5640" w:type="dxa"/>
            <w:vAlign w:val="bottom"/>
          </w:tcPr>
          <w:p>
            <w:pPr>
              <w:ind w:left="20"/>
              <w:spacing w:after="0"/>
              <w:rPr>
                <w:sz w:val="20"/>
                <w:szCs w:val="20"/>
                <w:color w:val="auto"/>
              </w:rPr>
            </w:pPr>
            <w:r>
              <w:rPr>
                <w:rFonts w:ascii="Arial" w:cs="Arial" w:eastAsia="Arial" w:hAnsi="Arial"/>
                <w:sz w:val="18"/>
                <w:szCs w:val="18"/>
                <w:color w:val="auto"/>
              </w:rPr>
              <w:t>(net of offering costs of: 2018 - $40,536; 2017 - $259,635)</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6,959,463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26,740,365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KCAP Funding I, LLC Revolving Credit Facility (net of offering costs of: 2018 - $1,265,107)</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19,895,080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101,787,468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101,413,316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2018 were 6.1% and 3.9 years, respectively, and as of December 31, 2017 were 6.4% and 3.9 years,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the three months ended June 30, 2017, interest expense, including the amortization of deferred debt issuance costs and the OID was approximately $1.6 million consisting of stated interest expense of approximately $1.3 million, accreted discount of approximately $159,000, and deferred debt issuance costs of approximately $171,000. For the six months ended June 30, 2017, interest expense, including the amortization of deferred debt issuance costs and the discount on the face amount of the notes, was approximately $3.1 million consisting of stated interest expense of approximately $2.4 million, accreted discount of approximately $317,000, and deferred debt issuance costs of approximately $340,000.</w:t>
      </w:r>
    </w:p>
    <w:p>
      <w:pPr>
        <w:spacing w:after="0" w:line="17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All of the KCAP Senior Funding I Class A, B, C and D notes were repaid in the third quarter of 2017. In connection therewith, the Company recorded a realized loss from the extinguishment of debt of approximately $4.0 million in the third quarter of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requirement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June 30, 2018, the Company was in compliance with all of its debt covenants.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firstLine="324"/>
        <w:spacing w:after="0" w:line="264" w:lineRule="auto"/>
        <w:rPr>
          <w:sz w:val="20"/>
          <w:szCs w:val="20"/>
          <w:color w:val="auto"/>
        </w:rPr>
      </w:pPr>
      <w:r>
        <w:rPr>
          <w:rFonts w:ascii="Arial" w:cs="Arial" w:eastAsia="Arial" w:hAnsi="Arial"/>
          <w:sz w:val="18"/>
          <w:szCs w:val="18"/>
          <w:color w:val="auto"/>
        </w:rPr>
        <w:t>For the three months ended June 30, 2018 and 2017, interest expense related to the 7.375% Notes Due 2019 was approximately, $129,000 and $609,000, respectively. For the six months ended June 30, 2018 and 2017, interest expense related to the 7.375% Notes Due 2019 was approximately $565,000 and $1.2 million, respectively.</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$40,000 remains to be amortized, and is included on the consolidated balance sheets as a reduction in the related debt liability.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The Company subsequently surrendered these notes to the Trustee for cancellation.</w:t>
      </w:r>
    </w:p>
    <w:p>
      <w:pPr>
        <w:spacing w:after="0" w:line="18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The Company subsequently surrendered these notes to the Trustee for cancellation.</w:t>
      </w:r>
    </w:p>
    <w:p>
      <w:pPr>
        <w:spacing w:after="0" w:line="170"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During the fourth quarter of 2016, approximately $469,000 par value of the 7.375% Notes Due 2019 was redeemed by the Company, resulting in a realized loss on extinguishment of approximately $15,000. The Company subsequently surrendered these notes to the Trustee for cancellation.</w:t>
      </w:r>
    </w:p>
    <w:p>
      <w:pPr>
        <w:spacing w:after="0" w:line="124"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The Company subsequently surrendered these notes to the Trustee for cancellation.</w:t>
      </w:r>
    </w:p>
    <w:p>
      <w:pPr>
        <w:spacing w:after="0" w:line="124"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Fair Value of 7.375% Notes Due 2019. </w:t>
      </w:r>
      <w:r>
        <w:rPr>
          <w:rFonts w:ascii="Arial" w:cs="Arial" w:eastAsia="Arial" w:hAnsi="Arial"/>
          <w:sz w:val="18"/>
          <w:szCs w:val="18"/>
          <w:color w:val="auto"/>
        </w:rPr>
        <w:t>The 7.375% Notes Due 2019 were issued in a public offering on October 10, 2012 and are carried at cost.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and December 31, 2017, the fair value of the Company’s outstanding 7.375% Notes Due 2019 was approximately $7.1 million and $27.3 million, respectively. The fair value was determined based on the closing price on June 29, 2018 and December 29, 2017 for the 7.375% Notes Due 2019. The 7.375% Notes Due 2019 are categorized as Level I under the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6.125% Notes Due 2022</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the third quarter of 2017, the Company issued $77.4 million in aggregate principal amount of unsecured 6.125% Notes due 2022 (the “6.125% Notes Due 2022”). The net proceeds for these Notes, after the payment of underwriting expenses, were approximately $74.6 million. Interest on the 6.125% Notes Due 2022 is paid quarterly in arrears on March 30, June 30, September 30 and December 30, at a rate of 6.125%. The 6.125% Notes Due 2022 mature on September, 30, 2022 and are unsecured obligations of the Company. The 6.125% Notes Due 2022 are subject to redemption in whole or in part at any time or from time to time, at the option of the Company, on or after September 30, 2019, at a redemption price per security equal to 100% of the outstanding principal amount thereof plus accrued and unpaid interest payments otherwise payable for the then-current quarterly interest period accrued to the date fixed for redemption. In addition, due to the asset coverage requirement applicable to the Company as a BDC and a covenant that the Company agreed to in connection with the issuance of the 6.125% Notes Due 2022, the Company is limited in its ability to make distributions in certain circumstances. The indenture governing the 6.125% Notes Due 2022 contains certain restrictive covenants, including compliance with certain provisions of the 1940 Act relating to borrowing and dividends. At June 30, 2018, the Company was in compliance with all of its debt covenants.</w:t>
      </w:r>
    </w:p>
    <w:p>
      <w:pPr>
        <w:spacing w:after="0" w:line="16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For the three months ended June 30, 2018 and 2017, interest expense related to the 6.125% Notes Due 2022 was approximately $1.2 million and $0, respectively. For the six months ended June 30, 2018 and 2017, interest expense related to the 6.125% Notes Due 2022 was approximately $2.4 million and $0, respectively.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53" w:name="page54"/>
    <w:bookmarkEnd w:id="53"/>
    <w:p>
      <w:pPr>
        <w:ind w:right="40" w:firstLine="324"/>
        <w:spacing w:after="0" w:line="264" w:lineRule="auto"/>
        <w:rPr>
          <w:sz w:val="20"/>
          <w:szCs w:val="20"/>
          <w:color w:val="auto"/>
        </w:rPr>
      </w:pPr>
      <w:r>
        <w:rPr>
          <w:rFonts w:ascii="Arial" w:cs="Arial" w:eastAsia="Arial" w:hAnsi="Arial"/>
          <w:sz w:val="18"/>
          <w:szCs w:val="18"/>
          <w:color w:val="auto"/>
        </w:rPr>
        <w:t>In connection with the issuance of the 6.125% Notes Due 2022, the Company incurred approximately $2.9 million of debt offering costs which are being amortized over the expected term of the facility on an effective yield method, of which approximately $2.5 million remains to be amortized as of June 30, 2018, and is included on the consolidated balance sheets as a reduction in the related debt liability.</w:t>
      </w:r>
    </w:p>
    <w:p>
      <w:pPr>
        <w:spacing w:after="0" w:line="18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i w:val="1"/>
          <w:iCs w:val="1"/>
          <w:color w:val="auto"/>
        </w:rPr>
        <w:t xml:space="preserve">Fair Value of 6.125% Notes Due 2022. </w:t>
      </w:r>
      <w:r>
        <w:rPr>
          <w:rFonts w:ascii="Arial" w:cs="Arial" w:eastAsia="Arial" w:hAnsi="Arial"/>
          <w:sz w:val="17"/>
          <w:szCs w:val="17"/>
          <w:color w:val="auto"/>
        </w:rPr>
        <w:t>The 6.125% Notes Due 2022 were issued via public offering during the third quarter of 2017 and are carried at</w:t>
      </w:r>
      <w:r>
        <w:rPr>
          <w:rFonts w:ascii="Arial" w:cs="Arial" w:eastAsia="Arial" w:hAnsi="Arial"/>
          <w:sz w:val="17"/>
          <w:szCs w:val="17"/>
          <w:i w:val="1"/>
          <w:iCs w:val="1"/>
          <w:color w:val="auto"/>
        </w:rPr>
        <w:t xml:space="preserve"> </w:t>
      </w:r>
      <w:r>
        <w:rPr>
          <w:rFonts w:ascii="Arial" w:cs="Arial" w:eastAsia="Arial" w:hAnsi="Arial"/>
          <w:sz w:val="17"/>
          <w:szCs w:val="17"/>
          <w:color w:val="auto"/>
        </w:rPr>
        <w:t>cost, net of offering costs of $2.7 million at June 30, 2018. The fair value of the Company’s outstanding 6.125% Notes Due 2022 was approximately $78.3 million and $77.7 million at June 30, 2018 and December 31, 2017. The fair value was determined based on the closing price on June 29, 2018 and December 29, 2017 for the 6.125% Notes Due 2022. The 6.125% Notes Due 2022 are categorized as Level I under the ASC 820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KCAP Funding I, LLC</w:t>
      </w:r>
    </w:p>
    <w:p>
      <w:pPr>
        <w:spacing w:after="0" w:line="225" w:lineRule="exact"/>
        <w:rPr>
          <w:sz w:val="20"/>
          <w:szCs w:val="20"/>
          <w:color w:val="auto"/>
        </w:rPr>
      </w:pPr>
    </w:p>
    <w:p>
      <w:pPr>
        <w:ind w:right="400" w:firstLine="324"/>
        <w:spacing w:after="0" w:line="264" w:lineRule="auto"/>
        <w:rPr>
          <w:sz w:val="20"/>
          <w:szCs w:val="20"/>
          <w:color w:val="auto"/>
        </w:rPr>
      </w:pPr>
      <w:r>
        <w:rPr>
          <w:rFonts w:ascii="Arial" w:cs="Arial" w:eastAsia="Arial" w:hAnsi="Arial"/>
          <w:sz w:val="18"/>
          <w:szCs w:val="18"/>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w:t>
      </w:r>
    </w:p>
    <w:p>
      <w:pPr>
        <w:spacing w:after="0" w:line="171"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4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maturity date is the earliest of: (a) March 1, 2022 and (b) the date upon which all loans shall become due and payable in full, whether by acceleration or otherwise, as a result of a default by the Company, as defined in the Revolving Credit Facility.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Borrowings under the Revolving Credit Facility are repayable by the Company at any time.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June 30, 2018, Funding was in compliance with all of its debt covenants.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$21.2 million principal amount of borrowings was outstanding under the Revolving Credit Facility.</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three months ended June 30, 2018, interest expense related to the Revolving Credit Facility was approximately $278,000. For six months ended June 30, 2018, interest expense related to the Revolving Credit Facility was approximately $350,000.</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incurred approximately $1.4 million of debt offering costs in connection with the issuance of the Revolving Credit Facility, which are being amortized over the expected term of the Revolving Credit Facility, of which approximately $1.3 million remains to be amortized as of June 30, 2018, and is included on the consolidated balance sheets as a reduction in the related debt liability.</w:t>
      </w:r>
    </w:p>
    <w:p>
      <w:pPr>
        <w:spacing w:after="0" w:line="18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i w:val="1"/>
          <w:iCs w:val="1"/>
          <w:color w:val="auto"/>
        </w:rPr>
        <w:t xml:space="preserve">Fair Value of the Revolving Credit Facility. </w:t>
      </w:r>
      <w:r>
        <w:rPr>
          <w:rFonts w:ascii="Arial" w:cs="Arial" w:eastAsia="Arial" w:hAnsi="Arial"/>
          <w:sz w:val="17"/>
          <w:szCs w:val="17"/>
          <w:color w:val="auto"/>
        </w:rPr>
        <w:t>Borrowings under the Revolving Credit Facility are carried at cost, net of unamortized debt offering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$1.3 million at June 30, 2018. The fair value of the Revolving Credit Facility borrowings was approximately $21.2 million at June 30, 2018. The fair value was determined based on an analysis of the value of the pledged collateral and the amount of over-collateralization supporting the repayment of these borrowings. The Revolving Credit Facility borrowings are categorized as Level III under the ASC 820 Fair Value.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2018).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 for the six months ended June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(unaudited)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1,297,622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2,907,276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3,522,396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1,846,951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losses over capital gains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(188,560)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(1,233,069)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556,816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Taxable income before deductions for distributions</w:t>
            </w:r>
          </w:p>
        </w:tc>
        <w:tc>
          <w:tcPr>
            <w:tcW w:w="6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5,357,918</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4,591,253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Taxable income before deductions for distributions per weighted average basic shares for the period</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7"/>
              </w:rPr>
              <w:t>Taxable income before deductions for distributions per weighted average diluted shares for the period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six months ended June 30, 2018 and 2017, the Asset Manager Affiliates declared cash distributions of $1.6 million and $1.3 million respectively, to the Company. The Company recognized $620,000 and $0 of dividends from the Asset Manager Affiliates, as reflected in the Company’s statement of operations in the second quarter of 2018 and 2017, respectively. For the six months ended June 30, 2018 and 2017 the differences of $1.0 million and $1.3 million, respectively, between cash distributions received and the estimated tax-basis earnings and profits of the distributing affiliate, are recorded as adjustments to the cost basis in the Asset Manager Affiliate (i.e. tax-basis return of capital).</w:t>
      </w:r>
    </w:p>
    <w:p>
      <w:pPr>
        <w:spacing w:after="0" w:line="16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At June 30, 2018, the Company had a net capital loss carryforward of $88.6 million to offset net capital gains, to the extent provided by federal tax law. $13.5 million of net capital loss carryforward expired in 2017. $17.9 million of net capital loss carryforward is subject to expiration in 2018. $70.8 million of the net capital loss carryforward is not subject to expiration under the RIC Modernization Act of 2010.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right="780" w:firstLine="324"/>
        <w:spacing w:after="0" w:line="277" w:lineRule="auto"/>
        <w:rPr>
          <w:sz w:val="20"/>
          <w:szCs w:val="20"/>
          <w:color w:val="auto"/>
        </w:rPr>
      </w:pPr>
      <w:r>
        <w:rPr>
          <w:rFonts w:ascii="Arial" w:cs="Arial" w:eastAsia="Arial" w:hAnsi="Arial"/>
          <w:sz w:val="18"/>
          <w:szCs w:val="18"/>
          <w:color w:val="auto"/>
        </w:rPr>
        <w:t>On June 19, 2018 the Company’s Board of Directors declared a distribution to shareholders of $0.10 per share for a total of approximately $3.7 million. The record date was July 6, 2018 and the distribution was paid on July 26, 2018.</w:t>
      </w:r>
    </w:p>
    <w:p>
      <w:pPr>
        <w:spacing w:after="0" w:line="17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ASC Topic 740 Accounting for Uncertainty in Income Taxes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2018 and December 31, 2017, the Company had no outstanding commitments,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During the six months ended June 30, 2018 and 2017, the Company issued 31,048 and 56,918 shares, respectively, of common stock under its dividend reinvestment plan. For the six months ended June 30, 2018, there were 6,000 grants of restricted stock, 7,954 shares were forfeited, and 116,126 shares vested. The total number of shares of the Company’s common stock outstanding as of June 30, 2018 and December 31, 2017 was 37,341,924 and 37,339,224, respectively. During the six months ended June 30, 2018 and 2017, the Company repurchased 26,394 and 63,827, respectively shares at an aggregate cost of approximately $86,000 and $224,000, respectively, in connection with the vesting of restricted stock awards.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COMPENSATION PLANS</w:t>
      </w:r>
    </w:p>
    <w:p>
      <w:pPr>
        <w:spacing w:after="0" w:line="229"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The Company has an equity incentive plan, established in 2006 and most recently amended, following approval by the Company’s Board of Directors and shareholders, on May 4, 2017 (the “Equity Incentive Plan”). The Company reserved 2,000,000 shares of common stock for issuance under the Equity Incentive Plan. Pursuant to the Equity Incentive Plan and in accordance with the terms of the exemptive relief granted to the Company in August 2008, the Company aims to provide officers and employees of the Company with additional incentives and align the interests of its employees with those of its shareholders. Restricted stock granted under the Equity Incentive Plan is granted at a price equal to the fair market value (market closing price) of the shares on the day such restricted stock is granted. Options granted under the Equity Incentive Plan are exercisable at a price equal to the fair market value (market closing price) of the shares on the day the option is granted. Restricted stock granted pursuant to the Equity Incentive Plan in 2013 vested in two equal installments of 50% on each of the third and the fourth anniversaries of the grant date. Restricted Stock granted pursuant to the Equity Incentive Plan in 2014 and 2015 vests in four equal installments of 25% on each of the first four anniversaries of the grant date. Restricted Stock granted pursuant to the Equity Incentive Plan in 2017 will vest in two equal installments of 50% on each of the third and the fourth anniversaries of the grant date.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2008 Non-Employee Director Plan was originally adopted by the Board and was approved by a vote of the Company’s shareholders at the 2008 Annual Shareholder Meeting (the “2008 Plan”). Effective June 10, 2011, the 2008 Plan was amended and restated in accordance with a resolution of the Board and approved by a vote of the Company’s shareholders at the 2011 Annual Shareholder Meeting (the “2011 Plan”). Effective May 4, 2017, the 2011 Plan was amended and restated in accordance with a resolution of the Board and approved by the Company’s shareholders at the 2017 Annual Shareholder Meeting (the “Non-Employee Director Plan”). Pursuant to the Non-Employee Director Plan, the Company’s independent directors and other directors who are not officers or employees of the Company (“Non-Employee Directors”) may be issued restricted stock as a portion of their compensation for service on the Company’s Board of Directors in accordance with the terms of exemptive relief granted by the SEC in August 2008. Since implementation of the 2011 Plan, the Company is permitted to issue restricted stock, and is no longer permitted to issue any options for common stock, of the Company to Non-Employee Directors. Any options outstanding as of the date of the 2011 Annual Shareholder Meeting are governed in all respects by the terms of the 2008 Plan. Under the Non-Employee Director Plan, the Non-Employee Directors automatically receive 1,000 shares of restricted stock on the date of each annual meeting of shareholders during the term of the plan.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right="4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2017 through June 30,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Weighted Average</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60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6"/>
              </w:rPr>
              <w:t>Aggregate Intrinsic</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2"/>
          </w:tcPr>
          <w:p>
            <w:pPr>
              <w:jc w:val="right"/>
              <w:ind w:right="360"/>
              <w:spacing w:after="0" w:line="183" w:lineRule="exact"/>
              <w:rPr>
                <w:sz w:val="20"/>
                <w:szCs w:val="20"/>
                <w:color w:val="auto"/>
              </w:rPr>
            </w:pPr>
            <w:r>
              <w:rPr>
                <w:rFonts w:ascii="Arial" w:cs="Arial" w:eastAsia="Arial" w:hAnsi="Arial"/>
                <w:sz w:val="18"/>
                <w:szCs w:val="18"/>
                <w:b w:val="1"/>
                <w:bCs w:val="1"/>
                <w:color w:val="auto"/>
                <w:w w:val="91"/>
              </w:rPr>
              <w:t>Weighted Average</w:t>
            </w:r>
          </w:p>
        </w:tc>
        <w:tc>
          <w:tcPr>
            <w:tcW w:w="100" w:type="dxa"/>
            <w:vAlign w:val="bottom"/>
          </w:tcPr>
          <w:p>
            <w:pPr>
              <w:spacing w:after="0"/>
              <w:rPr>
                <w:sz w:val="15"/>
                <w:szCs w:val="15"/>
                <w:color w:val="auto"/>
              </w:rPr>
            </w:pPr>
          </w:p>
        </w:tc>
        <w:tc>
          <w:tcPr>
            <w:tcW w:w="1600" w:type="dxa"/>
            <w:vAlign w:val="bottom"/>
            <w:gridSpan w:val="2"/>
          </w:tcPr>
          <w:p>
            <w:pPr>
              <w:jc w:val="center"/>
              <w:ind w:right="220"/>
              <w:spacing w:after="0" w:line="183" w:lineRule="exact"/>
              <w:rPr>
                <w:sz w:val="20"/>
                <w:szCs w:val="20"/>
                <w:color w:val="auto"/>
              </w:rPr>
            </w:pPr>
            <w:r>
              <w:rPr>
                <w:rFonts w:ascii="Arial" w:cs="Arial" w:eastAsia="Arial" w:hAnsi="Arial"/>
                <w:sz w:val="18"/>
                <w:szCs w:val="18"/>
                <w:b w:val="1"/>
                <w:bCs w:val="1"/>
                <w:color w:val="auto"/>
                <w:w w:val="92"/>
              </w:rPr>
              <w:t>Remaining Term</w:t>
            </w:r>
          </w:p>
        </w:tc>
        <w:tc>
          <w:tcPr>
            <w:tcW w:w="1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2000" w:type="dxa"/>
            <w:vAlign w:val="bottom"/>
            <w:gridSpan w:val="3"/>
          </w:tcPr>
          <w:p>
            <w:pPr>
              <w:spacing w:after="0"/>
              <w:rPr>
                <w:sz w:val="20"/>
                <w:szCs w:val="20"/>
                <w:color w:val="auto"/>
              </w:rPr>
            </w:pPr>
            <w:r>
              <w:rPr>
                <w:rFonts w:ascii="Arial" w:cs="Arial" w:eastAsia="Arial" w:hAnsi="Arial"/>
                <w:sz w:val="18"/>
                <w:szCs w:val="18"/>
                <w:b w:val="1"/>
                <w:bCs w:val="1"/>
                <w:color w:val="auto"/>
                <w:w w:val="93"/>
              </w:rPr>
              <w:t>Exercise Price per Share</w:t>
            </w:r>
          </w:p>
        </w:tc>
        <w:tc>
          <w:tcPr>
            <w:tcW w:w="100" w:type="dxa"/>
            <w:vAlign w:val="bottom"/>
          </w:tcPr>
          <w:p>
            <w:pPr>
              <w:spacing w:after="0"/>
              <w:rPr>
                <w:sz w:val="23"/>
                <w:szCs w:val="2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(years)</w:t>
            </w:r>
          </w:p>
        </w:tc>
        <w:tc>
          <w:tcPr>
            <w:tcW w:w="300" w:type="dxa"/>
            <w:vAlign w:val="bottom"/>
          </w:tcPr>
          <w:p>
            <w:pPr>
              <w:spacing w:after="0"/>
              <w:rPr>
                <w:sz w:val="23"/>
                <w:szCs w:val="23"/>
                <w:color w:val="auto"/>
              </w:rPr>
            </w:pPr>
          </w:p>
        </w:tc>
        <w:tc>
          <w:tcPr>
            <w:tcW w:w="1300" w:type="dxa"/>
            <w:vAlign w:val="bottom"/>
            <w:gridSpan w:val="2"/>
          </w:tcPr>
          <w:p>
            <w:pPr>
              <w:ind w:left="200"/>
              <w:spacing w:after="0" w:line="266"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January 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w:t>
            </w:r>
          </w:p>
        </w:tc>
        <w:tc>
          <w:tcPr>
            <w:tcW w:w="1700" w:type="dxa"/>
            <w:vAlign w:val="bottom"/>
            <w:tcBorders>
              <w:top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Expired Unexercised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80" w:type="dxa"/>
            <w:vAlign w:val="bottom"/>
          </w:tcPr>
          <w:p>
            <w:pPr>
              <w:spacing w:after="0"/>
              <w:rPr>
                <w:sz w:val="19"/>
                <w:szCs w:val="19"/>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2018</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CEEFF"/>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700" w:type="dxa"/>
            <w:vAlign w:val="bottom"/>
            <w:tcBorders>
              <w:top w:val="single" w:sz="8" w:color="CCEEFF"/>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vested at June 30, 2018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w:t>
            </w:r>
          </w:p>
        </w:tc>
        <w:tc>
          <w:tcPr>
            <w:tcW w:w="1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on June 30, 2018 and the exercise price of the options.</w:t>
      </w:r>
    </w:p>
    <w:p>
      <w:pPr>
        <w:spacing w:after="0" w:line="202"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2018 and 2017, the Company did not recognize any non-cash compensation expense related to stock options. At June 30, 2018, the Company had no remaining compensation costs related to unvested stock option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540" w:hanging="208"/>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25" w:lineRule="exact"/>
        <w:rPr>
          <w:rFonts w:ascii="Arial" w:cs="Arial" w:eastAsia="Arial" w:hAnsi="Arial"/>
          <w:sz w:val="18"/>
          <w:szCs w:val="18"/>
          <w:color w:val="auto"/>
        </w:rPr>
      </w:pPr>
    </w:p>
    <w:p>
      <w:pPr>
        <w:ind w:left="600" w:hanging="268"/>
        <w:spacing w:after="0"/>
        <w:tabs>
          <w:tab w:leader="none" w:pos="6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25"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2018, 6,000 shares of restricted stock were awarded to the Company’s Board of Directors.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years ended December 31, 2016 and 2015, the Company repurchased 67,654 and 36,348 shares, respectively, of common stock at an aggregate cost of approximately $248,000 and $220,000,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plan reserve and could not be reissued under the Company’s Equity Incentive Plan.</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On September 19, 2017, the Company’s Board of Directors approved the grant of 133,620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Information with respect to restricted stock granted, exercised and forfeited under the Plan for the period January 1, 2017 through June 30, 2018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Non-vested</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Restricted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January 1, 2017</w:t>
            </w:r>
          </w:p>
        </w:tc>
        <w:tc>
          <w:tcPr>
            <w:tcW w:w="47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139,620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(242,918)</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(10,982)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outstanding at December 31, 2017</w:t>
            </w:r>
          </w:p>
        </w:tc>
        <w:tc>
          <w:tcPr>
            <w:tcW w:w="47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Granted</w:t>
            </w:r>
          </w:p>
        </w:tc>
        <w:tc>
          <w:tcPr>
            <w:tcW w:w="6680" w:type="dxa"/>
            <w:vAlign w:val="bottom"/>
            <w:gridSpan w:val="3"/>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6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(122,126)</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Forfeited</w:t>
            </w:r>
          </w:p>
        </w:tc>
        <w:tc>
          <w:tcPr>
            <w:tcW w:w="6680" w:type="dxa"/>
            <w:vAlign w:val="bottom"/>
            <w:gridSpan w:val="3"/>
          </w:tcPr>
          <w:p>
            <w:pPr>
              <w:jc w:val="right"/>
              <w:ind w:right="40"/>
              <w:spacing w:after="0"/>
              <w:rPr>
                <w:sz w:val="20"/>
                <w:szCs w:val="20"/>
                <w:color w:val="auto"/>
              </w:rPr>
            </w:pPr>
            <w:r>
              <w:rPr>
                <w:rFonts w:ascii="Arial" w:cs="Arial" w:eastAsia="Arial" w:hAnsi="Arial"/>
                <w:sz w:val="18"/>
                <w:szCs w:val="18"/>
                <w:color w:val="auto"/>
              </w:rPr>
              <w:t>(7,954)</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Outstanding at June 30, 2018</w:t>
            </w:r>
          </w:p>
        </w:tc>
        <w:tc>
          <w:tcPr>
            <w:tcW w:w="474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740" w:type="dxa"/>
            <w:vAlign w:val="bottom"/>
            <w:vMerge w:val="restart"/>
          </w:tcPr>
          <w:p>
            <w:pPr>
              <w:jc w:val="right"/>
              <w:ind w:right="3570"/>
              <w:spacing w:after="0"/>
              <w:rPr>
                <w:sz w:val="20"/>
                <w:szCs w:val="20"/>
                <w:color w:val="auto"/>
              </w:rPr>
            </w:pPr>
            <w:r>
              <w:rPr>
                <w:rFonts w:ascii="Arial" w:cs="Arial" w:eastAsia="Arial" w:hAnsi="Arial"/>
                <w:sz w:val="18"/>
                <w:szCs w:val="18"/>
                <w:color w:val="auto"/>
              </w:rPr>
              <w:t>58</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7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vMerge w:val="continue"/>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59" w:name="page60"/>
    <w:bookmarkEnd w:id="59"/>
    <w:p>
      <w:pPr>
        <w:ind w:right="180" w:firstLine="324"/>
        <w:spacing w:after="0" w:line="290" w:lineRule="auto"/>
        <w:rPr>
          <w:sz w:val="20"/>
          <w:szCs w:val="20"/>
          <w:color w:val="auto"/>
        </w:rPr>
      </w:pPr>
      <w:r>
        <w:rPr>
          <w:rFonts w:ascii="Arial" w:cs="Arial" w:eastAsia="Arial" w:hAnsi="Arial"/>
          <w:sz w:val="16"/>
          <w:szCs w:val="16"/>
          <w:color w:val="auto"/>
        </w:rPr>
        <w:t>For the three months ended June 30, 2018, non-cash compensation expense related to restricted stock was approximately $208,000; of this amount approximately $78,000 was expensed at the Company, and approximately $130,000 was a reimbursable expense allocated to the Asset Manager Affiliates. For the three months ended June 30, 2017, non-cash compensation expense related to restricted stock was approximately $258,000; of this amount approximately $88,000 was expensed at the Company, and approximately $170,000 was a reimbursable expense allocated to the Asset Manager Affiliates. For the six months ended June 30, 2018, non-cash compensation expense related to restricted stock was approximately $461,000; of this amount approximately $186,000 was expensed at the Company, and approximately $275,000 was a reimbursable expense allocated to the Asset Manager Affiliates. For the six months ended June 30, 2017, non-cash compensation expense related to restricted stock was approximately $647,000; of this amount approximately $247,000 was expensed at the Company and approximately $400,000 was a reimbursable expense allocated to the Asset Manager Affiliates.</w:t>
      </w:r>
    </w:p>
    <w:p>
      <w:pPr>
        <w:spacing w:after="0" w:line="166"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June 30, 2018, the Company had approximately $662,000 of total unrecognized compensation cost related to non-vested restricted share awards, respectively. That cost is expected to be recognized over the remaining weighted average period of 1.0 years. As of June 30, 2017, the Company had approximately $1.1 million of total unrecognized compensation cost related to non-vested restricted share awards,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$10,000 and $17,000 was expensed during the three months ended June 30, 2018 and 2017, respectively, related to the 401K Plan. Approximately $20,000 and $34,000 was expensed during the six months ended June 30, 2018 and 2017, respectively, related to the 401K Plan.</w:t>
      </w:r>
    </w:p>
    <w:p>
      <w:pPr>
        <w:spacing w:after="0" w:line="193"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$47,000 and $46,000 was expensed during the three months ended June 30, 2018 and 2017, respectively, related to the Profit-Sharing Plan. Approximately $72,000 and $92,000 was expensed during the six months ended June 30, 2018 and 2017, respectively, related to the Profit-Sharing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June 30, 2018 for items that should potentially be recognized or disclosed in these financial statements.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In this Quarterly Report on Form 10-Q, “KCAP,” “Company,” “we,” “us,” and “our” refer to KCAP Financial, Inc., and its wholly-owned subsidiaries, KCAP Funding I, LLC, KCAP Senior Funding I, LLC and KCAP Senior Funding I Holdings, LLC, unless the context otherwise requires.</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2017,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right="380" w:hanging="328"/>
        <w:spacing w:after="0" w:line="264"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registered investment company, including the impact of changes in laws or regulations governing our operations, or the operations of our wholly-owned portfolio companies, including Katonah Debt Advisors, L.L.C. and Trimaran Advisors, L.L.C;</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including the Asset Manager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form and amount of any dividend distributions.</w:t>
      </w:r>
    </w:p>
    <w:p>
      <w:pPr>
        <w:spacing w:after="0" w:line="225"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II, “Item 1A. Risk Factors”, and in Part I, “Item 1A. Risk Factors” in our Annual Report on Form 10-K for the fiscal year ended December 31, 2017.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as amended (the “1940 Act”). We have three principal areas of investments:</w:t>
      </w:r>
    </w:p>
    <w:p>
      <w:pPr>
        <w:spacing w:after="0" w:line="2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Second, the Company has invested in our wholly owned asset management companies including Katonah Debt Advisors (“Katonah Debt Advisors”) and Trimaran Advisors L.L.C. (“Trimaran Advisors”), which manage collateralized loan obligation funds (“CLO Funds”).</w:t>
      </w:r>
    </w:p>
    <w:p>
      <w:pPr>
        <w:spacing w:after="0" w:line="170"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Third, the Company invests in debt and subordinated securities issued by CLOs (“CLO Fund Securities”). These CLO Fund Securities are primarily managed by Katonah Debt Advisors and Trimaran Advisors, as well as affiliated management companies Katonah 2007-1 Management, L.L.C., Trimaran Advisors Management, L.L.C. and KCAP Management, LLC (collectively, the “Asset Manager Affiliates”), but from time-to-time the Company makes investments in CLO Fund Securities managed by other asset managers. The CLO Funds typically invest in broadly syndicated loans, high-yield bonds and other credit instruments.</w:t>
      </w:r>
    </w:p>
    <w:p>
      <w:pPr>
        <w:spacing w:after="0" w:line="188" w:lineRule="exact"/>
        <w:rPr>
          <w:sz w:val="20"/>
          <w:szCs w:val="20"/>
          <w:color w:val="auto"/>
        </w:rPr>
      </w:pPr>
    </w:p>
    <w:p>
      <w:pPr>
        <w:ind w:right="540" w:firstLine="272"/>
        <w:spacing w:after="0" w:line="342" w:lineRule="auto"/>
        <w:rPr>
          <w:sz w:val="20"/>
          <w:szCs w:val="20"/>
          <w:color w:val="auto"/>
        </w:rPr>
      </w:pPr>
      <w:r>
        <w:rPr>
          <w:rFonts w:ascii="Arial" w:cs="Arial" w:eastAsia="Arial" w:hAnsi="Arial"/>
          <w:sz w:val="16"/>
          <w:szCs w:val="16"/>
          <w:color w:val="auto"/>
        </w:rPr>
        <w:t>The Company may also invest in other investments such as loans to publicly-traded companies, high-yield bonds, joint venture and distressed debt securities. The Company may also receive warrants or options to purchase common stock in connection with its debt investments.</w:t>
      </w:r>
    </w:p>
    <w:p>
      <w:pPr>
        <w:spacing w:after="0" w:line="12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$2.8 billion of par value assets under management as of June 30, 2018. Katonah Debt Advisors and Trimaran Advisors are registered under the Investment Advisers Act of 1940, as amended, and are each managed independently from us by a separate management team. Certain of the Company’s executive officers also act in similar capacities for one or more of the Asset Manager Affiliates).</w:t>
      </w:r>
    </w:p>
    <w:p>
      <w:pPr>
        <w:spacing w:after="0" w:line="16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560" w:firstLine="324"/>
        <w:spacing w:after="0" w:line="302" w:lineRule="auto"/>
        <w:rPr>
          <w:sz w:val="20"/>
          <w:szCs w:val="20"/>
          <w:color w:val="auto"/>
        </w:rPr>
      </w:pPr>
      <w:r>
        <w:rPr>
          <w:rFonts w:ascii="Arial" w:cs="Arial" w:eastAsia="Arial" w:hAnsi="Arial"/>
          <w:sz w:val="16"/>
          <w:szCs w:val="16"/>
          <w:color w:val="auto"/>
        </w:rPr>
        <w:t>Subject to market conditions, we intend to grow our portfolio of assets by raising additional capital, including through the prudent use of leverage available to us. Because we also recognize the need to have funds available for operating our business and to make investments, we seek to have adequate liquidity at all times to cover normal cyclical swings in funding availability and to allow us to meet abnormal and unexpected funding requirements. As a result, we may hold varying amounts of cash and other short-term investments from time-to-time for liquidity purposes.</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2" w:name="page63"/>
    <w:bookmarkEnd w:id="62"/>
    <w:p>
      <w:pPr>
        <w:ind w:right="480" w:firstLine="324"/>
        <w:spacing w:after="0" w:line="255" w:lineRule="auto"/>
        <w:rPr>
          <w:sz w:val="20"/>
          <w:szCs w:val="20"/>
          <w:color w:val="auto"/>
        </w:rPr>
      </w:pPr>
      <w:r>
        <w:rPr>
          <w:rFonts w:ascii="Arial" w:cs="Arial" w:eastAsia="Arial" w:hAnsi="Arial"/>
          <w:sz w:val="18"/>
          <w:szCs w:val="18"/>
          <w:color w:val="auto"/>
        </w:rPr>
        <w:t>We have elected to be treated for U.S. federal income tax purposes as a regulated investment company (“RIC”) under the Internal Revenue Code (the “Code”) and intend to operate in a manner to maintain our RIC tax treatment. Accordingly, we generally will not pay corporate-level U.S. federal income taxes on any net ordinary tax-basis taxable income or capital gains that we timely distribute to our shareholders as dividends. To maintain our RIC tax treatment, we must meet the specified source-of-income and asset diversification requirements and distribute to our stockholders annually at least 90% of our net ordinary tax-basis taxable income and realized net short-term capital gains in excess of realized net long-term capital losses, if any, for each year.</w:t>
      </w:r>
    </w:p>
    <w:p>
      <w:pPr>
        <w:spacing w:after="0" w:line="193" w:lineRule="exact"/>
        <w:rPr>
          <w:sz w:val="20"/>
          <w:szCs w:val="20"/>
          <w:color w:val="auto"/>
        </w:rPr>
      </w:pPr>
    </w:p>
    <w:p>
      <w:pPr>
        <w:ind w:right="400" w:firstLine="324"/>
        <w:spacing w:after="0" w:line="273" w:lineRule="auto"/>
        <w:rPr>
          <w:sz w:val="20"/>
          <w:szCs w:val="20"/>
          <w:color w:val="auto"/>
        </w:rPr>
      </w:pPr>
      <w:r>
        <w:rPr>
          <w:rFonts w:ascii="Arial" w:cs="Arial" w:eastAsia="Arial" w:hAnsi="Arial"/>
          <w:sz w:val="17"/>
          <w:szCs w:val="17"/>
          <w:color w:val="auto"/>
        </w:rPr>
        <w:t>On March 29, 2018, our Board of Directors, including a “required majority” (as such term is defined in Section 57(o) of the 1940 Act) of the Board, approved the modified asset coverage requirements set forth in Section 61(a)(2) of the 1940 Act, as amended by the Small Business Credit Availability Act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as discussed below. In any such event, we would be prohibited from making distributions required in order to maintain our status as a RIC.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2018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2017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CLO Fund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Equity</w:t>
            </w:r>
          </w:p>
        </w:tc>
        <w:tc>
          <w:tcPr>
            <w:tcW w:w="1440" w:type="dxa"/>
            <w:vAlign w:val="bottom"/>
            <w:gridSpan w:val="4"/>
          </w:tcPr>
          <w:p>
            <w:pPr>
              <w:ind w:left="80"/>
              <w:spacing w:after="0"/>
              <w:rPr>
                <w:sz w:val="20"/>
                <w:szCs w:val="20"/>
                <w:color w:val="auto"/>
              </w:rPr>
            </w:pPr>
            <w:r>
              <w:rPr>
                <w:rFonts w:ascii="Arial" w:cs="Arial" w:eastAsia="Arial" w:hAnsi="Arial"/>
                <w:sz w:val="18"/>
                <w:szCs w:val="18"/>
                <w:b w:val="1"/>
                <w:bCs w:val="1"/>
                <w:color w:val="auto"/>
              </w:rPr>
              <w:t>Asset Manager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7"/>
              </w:rPr>
              <w:t>Debt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Affiliates</w:t>
            </w: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Joint Venture</w:t>
            </w:r>
          </w:p>
        </w:tc>
        <w:tc>
          <w:tcPr>
            <w:tcW w:w="1300" w:type="dxa"/>
            <w:vAlign w:val="bottom"/>
            <w:gridSpan w:val="4"/>
          </w:tcPr>
          <w:p>
            <w:pPr>
              <w:ind w:left="80"/>
              <w:spacing w:after="0"/>
              <w:rPr>
                <w:sz w:val="20"/>
                <w:szCs w:val="20"/>
                <w:color w:val="auto"/>
              </w:rPr>
            </w:pPr>
            <w:r>
              <w:rPr>
                <w:rFonts w:ascii="Arial" w:cs="Arial" w:eastAsia="Arial" w:hAnsi="Arial"/>
                <w:sz w:val="18"/>
                <w:szCs w:val="18"/>
                <w:b w:val="1"/>
                <w:bCs w:val="1"/>
                <w:color w:val="auto"/>
                <w:w w:val="98"/>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at December 31,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238,343,330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54,174,350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5,056,355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337,772,035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2017 Activity: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181,613,690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11,211,368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36,738,873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229,745,931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(300,625,104)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(25,598,497)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(11,824,015)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(340,797,616)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11,139,633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11,444,537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Net realized losses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(5,634,255)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(1,264,789)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(6,899,044)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4,194,914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2,016,608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(823,671)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(3,398,858)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3,389,993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at December 31, 2017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118,197,479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51,678,673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4,414,684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38,849,000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21,516,000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234,655,836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2018 Activity: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61,534,043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61,534,043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Pay-downs / pay-offs / sales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(17,313,251)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(16,043,968)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(34,357,219)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of interest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846,907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3,151,236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fair value</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(1,125,361)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(812,956)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(163,573)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(996,000)</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(424,506)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(3,522,396)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162,139,246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37,972,985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4,251,111</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36,853,000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21,091,494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262,307,836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3" w:name="page64"/>
    <w:bookmarkEnd w:id="63"/>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b w:val="1"/>
                <w:bCs w:val="1"/>
                <w:color w:val="auto"/>
                <w:w w:val="90"/>
              </w:rPr>
              <w:t>June 30, 2018 (unaudited)</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4"/>
              </w:rPr>
              <w:t>December 31, 2017</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8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Cost/Amortized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Short-term investments</w:t>
            </w:r>
            <w:r>
              <w:rPr>
                <w:rFonts w:ascii="Arial" w:cs="Arial" w:eastAsia="Arial" w:hAnsi="Arial"/>
                <w:sz w:val="27"/>
                <w:szCs w:val="27"/>
                <w:color w:val="auto"/>
                <w:vertAlign w:val="superscript"/>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11,454,078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11,454,078</w:t>
            </w: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77,300,320</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77,300,320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62,122,920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58,324,196</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48,337,900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44,960,146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78,346,396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74,037,768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62,561,913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58,941,300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29,777,282</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29,777,282</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12,777,283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12,777,283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1,502,374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1,518,750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59,446,300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37,972,985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72,339,032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51,678,673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4,251,111</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10,571,007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4,414,684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Asset Manager Affiliates</w:t>
            </w:r>
            <w:r>
              <w:rPr>
                <w:rFonts w:ascii="Arial" w:cs="Arial" w:eastAsia="Arial" w:hAnsi="Arial"/>
                <w:sz w:val="29"/>
                <w:szCs w:val="29"/>
                <w:color w:val="auto"/>
                <w:vertAlign w:val="superscript"/>
              </w:rPr>
              <w:t>3</w:t>
            </w:r>
          </w:p>
        </w:tc>
        <w:tc>
          <w:tcPr>
            <w:tcW w:w="2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51,591,230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36,853,000</w:t>
            </w: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21,091,494</w:t>
            </w:r>
          </w:p>
        </w:tc>
        <w:tc>
          <w:tcPr>
            <w:tcW w:w="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21,516,000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328,224,071</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273,761,914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362,895,917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total portfolio at fair value.</w:t>
      </w:r>
    </w:p>
    <w:p>
      <w:pPr>
        <w:ind w:left="340" w:hanging="332"/>
        <w:spacing w:after="0" w:line="180"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6"/>
          <w:szCs w:val="16"/>
          <w:color w:val="auto"/>
        </w:rPr>
        <w:t>Includes money market accounts and U.S. treasury bills.</w:t>
      </w:r>
    </w:p>
    <w:p>
      <w:pPr>
        <w:ind w:left="340" w:hanging="332"/>
        <w:spacing w:after="0" w:line="180"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6"/>
          <w:szCs w:val="16"/>
          <w:color w:val="auto"/>
        </w:rPr>
        <w:t>The industry concentrations, based on the fair value of the Company’s investment portfolio as of June 30, 2018 and December 31, 2017,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w w:val="97"/>
              </w:rPr>
              <w:t>June 30, 2018 (unaudited)</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4"/>
              </w:rPr>
              <w:t>December 31, 2017</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Cost/</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8"/>
              </w:rPr>
              <w:t>Cost/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Industry Classification</w:t>
            </w: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vMerge w:val="restart"/>
          </w:tcPr>
          <w:p>
            <w:pPr>
              <w:jc w:val="right"/>
              <w:ind w:right="25"/>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Cost</w:t>
            </w: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5,423,072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4,876,425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4,115,487</w:t>
            </w: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640" w:type="dxa"/>
            <w:vAlign w:val="bottom"/>
          </w:tcPr>
          <w:p>
            <w:pPr>
              <w:spacing w:after="0" w:line="256" w:lineRule="exact"/>
              <w:rPr>
                <w:sz w:val="20"/>
                <w:szCs w:val="20"/>
                <w:color w:val="auto"/>
              </w:rPr>
            </w:pPr>
            <w:r>
              <w:rPr>
                <w:rFonts w:ascii="Arial" w:cs="Arial" w:eastAsia="Arial" w:hAnsi="Arial"/>
                <w:sz w:val="18"/>
                <w:szCs w:val="18"/>
                <w:color w:val="auto"/>
              </w:rPr>
              <w:t xml:space="preserve">Asset Management Company </w:t>
            </w:r>
            <w:r>
              <w:rPr>
                <w:rFonts w:ascii="Arial" w:cs="Arial" w:eastAsia="Arial" w:hAnsi="Arial"/>
                <w:sz w:val="29"/>
                <w:szCs w:val="29"/>
                <w:b w:val="1"/>
                <w:bCs w:val="1"/>
                <w:color w:val="auto"/>
                <w:vertAlign w:val="superscript"/>
              </w:rPr>
              <w:t>2</w:t>
            </w:r>
          </w:p>
        </w:tc>
        <w:tc>
          <w:tcPr>
            <w:tcW w:w="1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51,591,230</w:t>
            </w: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36,853,000</w:t>
            </w: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52,591,230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38,849,000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Banking, Finance, Insurance &amp;</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4,447,205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4,395,587</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4,458,962</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4,418,391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5,978,372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5,877,619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7,496,438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7,435,050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9,423,335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8,555,748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5,454,621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4,680,821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6,652,974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6,619,400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59,446,300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37,972,985</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72,339,032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51,678,673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997,633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989,895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1,004,093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999,872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839,450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1,071,340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805,607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Consumer goods: Non-durable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599,752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602,344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691,234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694,662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Energy: Oil &amp; Gas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17,222,218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12,499,467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14,932,542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11,433,777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Environmental Industries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8,466,453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7,423,009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6,330,630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5,766,437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Forest Products &amp; Paper</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1,561,553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1,558,556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1,600,960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41,248,780</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36,188,183</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30,367,449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25,512,654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14,132,583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14,030,079</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18,229,229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18,260,577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Hotel, Gaming &amp; Leisure</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21,091,494</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24,914,858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21,516,000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40" w:type="dxa"/>
            <w:vAlign w:val="bottom"/>
          </w:tcPr>
          <w:p>
            <w:pPr>
              <w:spacing w:after="0" w:line="201" w:lineRule="exact"/>
              <w:rPr>
                <w:sz w:val="20"/>
                <w:szCs w:val="20"/>
                <w:color w:val="auto"/>
              </w:rPr>
            </w:pPr>
            <w:r>
              <w:rPr>
                <w:rFonts w:ascii="Arial" w:cs="Arial" w:eastAsia="Arial" w:hAnsi="Arial"/>
                <w:sz w:val="18"/>
                <w:szCs w:val="18"/>
                <w:color w:val="auto"/>
              </w:rPr>
              <w:t>Media: Advertising, Printing &amp;</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Publishing</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3,283,670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3,230,850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3,371,086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3,318,296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Related Party Loans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29,777,283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29,777,283</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12,777,283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12,777,283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Services: Business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9,479,862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8,299,523</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3,563,574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2,366,400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6,444,954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6,419,200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6,455,489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6,466,949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Textiles and Leather</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10,183,566</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10,162,735</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7,950,994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7,947,940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11,454,078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11,454,078</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52,293,570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52,293,570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Transportation: Cargo</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4,000,768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4,001,600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4,000,901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U.S. Government Obligations</w:t>
            </w: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25,006,750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25,006,750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328,224,071</w:t>
            </w: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273,761,914</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362,895,917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311,956,156</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At both June 30, 2018 and December 31, 2017, the weighted average contractual interest rate on our loans and debt securities was approximately 9.9%. At June 30, 2018 and December 31, 2017, the weighted average rate on our loans and debt securities, adjusted for non-accrual and partial non-accrual investments, was approximately 9.0% and 9.6%, respectively.</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CLO Fund Securities, Money Market accounts, and Joint Venture) at June 30, 2018 was spread across 20 different industries and 48 different entities with an average balance per entity of approximately $2.9 million. As of June 30, 2018, all but one of our portfolio companies were current on their debt service obligations.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firstLine="324"/>
        <w:spacing w:after="0" w:line="293" w:lineRule="auto"/>
        <w:rPr>
          <w:sz w:val="20"/>
          <w:szCs w:val="20"/>
          <w:color w:val="auto"/>
        </w:rPr>
      </w:pPr>
      <w:r>
        <w:rPr>
          <w:rFonts w:ascii="Arial" w:cs="Arial" w:eastAsia="Arial" w:hAnsi="Arial"/>
          <w:sz w:val="16"/>
          <w:szCs w:val="16"/>
          <w:color w:val="auto"/>
        </w:rPr>
        <w:t>We may invest up to 30% of our investment portfolio in “non-qualifying” opportunistic investments such as high-yield bonds, debt and equity securities of CLO Funds, foreign investments, and distressed debt or equity securities of large cap public companies. At June 30, 2018 and December 31, 2017, the total amount of non-qualifying assets was approximately 22% and 23%, respectively. The majority of non-qualifying assets were foreign investments which were approximately 14% and 16%, respectively, of the Company’s total assets (including the Company’s investments in CLO Funds, which are typically domiciled outside the U.S. and represented approximately 14% and 16% of its total assets, respectively). The investments in our Debt Securities Portfolio are all or predominantly below investment grade, and therefore have speculative characteristics with respect to the issuer’s capacity to pay interest and repay principal.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June 30, 2018 and December 31, 2017, our Asset Manager Affiliates had approximately $2.8 billion and $3.0 billion, respectively, of par value of assets under management on which they earn management fees, and were valued at approximately $36.9 million and $38.8 million, respectively.</w:t>
      </w:r>
    </w:p>
    <w:p>
      <w:pPr>
        <w:spacing w:after="0" w:line="154"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As of June 30, 2018 and December 31, 2017, none of the CLO Funds managed by the Asset Manager Affiliates were paying incentive fees.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CLO Fund Securities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2018 and December 31, 2017, we had approximately $38 million and $52 million, respectively, invested in CLO Fund Securities, issued primarily by funds managed by our Asset Manager Affiliates.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 For a more detailed discussion of the risks related to our investments in CLO Funds, please see “Risk Factors</w:t>
      </w:r>
    </w:p>
    <w:p>
      <w:pPr>
        <w:spacing w:after="0" w:line="2" w:lineRule="exact"/>
        <w:rPr>
          <w:sz w:val="20"/>
          <w:szCs w:val="20"/>
          <w:color w:val="auto"/>
        </w:rPr>
      </w:pPr>
    </w:p>
    <w:p>
      <w:pPr>
        <w:ind w:left="5640" w:right="2620" w:hanging="5623"/>
        <w:spacing w:after="0" w:line="762" w:lineRule="auto"/>
        <w:rPr>
          <w:sz w:val="20"/>
          <w:szCs w:val="20"/>
          <w:color w:val="auto"/>
        </w:rPr>
      </w:pPr>
      <w:r>
        <w:rPr>
          <w:rFonts w:ascii="Arial" w:cs="Arial" w:eastAsia="Arial" w:hAnsi="Arial"/>
          <w:sz w:val="18"/>
          <w:szCs w:val="18"/>
          <w:color w:val="auto"/>
        </w:rPr>
        <w:t>— Risks Related to Our Investments — Our investments may be risky, and you could lose all or part of your investment.”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ind w:left="340"/>
        <w:spacing w:after="0"/>
        <w:rPr>
          <w:sz w:val="20"/>
          <w:szCs w:val="20"/>
          <w:color w:val="auto"/>
        </w:rPr>
      </w:pPr>
      <w:r>
        <w:rPr>
          <w:rFonts w:ascii="Arial" w:cs="Arial" w:eastAsia="Arial" w:hAnsi="Arial"/>
          <w:sz w:val="18"/>
          <w:szCs w:val="18"/>
          <w:color w:val="auto"/>
        </w:rPr>
        <w:t>Our CLO Fund Securities as of June 30, 2018 and December 31,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850"/>
              <w:spacing w:after="0"/>
              <w:rPr>
                <w:sz w:val="20"/>
                <w:szCs w:val="20"/>
                <w:color w:val="auto"/>
              </w:rPr>
            </w:pPr>
            <w:r>
              <w:rPr>
                <w:rFonts w:ascii="Arial" w:cs="Arial" w:eastAsia="Arial" w:hAnsi="Arial"/>
                <w:sz w:val="18"/>
                <w:szCs w:val="18"/>
                <w:b w:val="1"/>
                <w:bCs w:val="1"/>
                <w:color w:val="auto"/>
              </w:rPr>
              <w:t>June 30, 2018</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CLO Fund Securities</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Amortized Cost</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Amortized Cost</w:t>
            </w:r>
          </w:p>
        </w:tc>
        <w:tc>
          <w:tcPr>
            <w:tcW w:w="2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Grant Grove CLO, Ltd.</w:t>
            </w:r>
            <w:r>
              <w:rPr>
                <w:rFonts w:ascii="Arial" w:cs="Arial" w:eastAsia="Arial" w:hAnsi="Arial"/>
                <w:sz w:val="28"/>
                <w:szCs w:val="28"/>
                <w:color w:val="auto"/>
                <w:vertAlign w:val="superscript"/>
              </w:rPr>
              <w:t>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Shares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2,485,886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2,485,886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Katonah III, Ltd.</w:t>
            </w:r>
            <w:r>
              <w:rPr>
                <w:rFonts w:ascii="Arial" w:cs="Arial" w:eastAsia="Arial" w:hAnsi="Arial"/>
                <w:sz w:val="29"/>
                <w:szCs w:val="29"/>
                <w:color w:val="auto"/>
                <w:vertAlign w:val="superscript"/>
              </w:rPr>
              <w:t>3</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Income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1,287,155</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369,280</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1,287,155</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Katonah 2007-I CLO Ltd.</w:t>
            </w:r>
            <w:r>
              <w:rPr>
                <w:rFonts w:ascii="Arial" w:cs="Arial" w:eastAsia="Arial" w:hAnsi="Arial"/>
                <w:sz w:val="29"/>
                <w:szCs w:val="29"/>
                <w:color w:val="auto"/>
                <w:vertAlign w:val="superscript"/>
              </w:rPr>
              <w:t>2,3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10,309,141</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20,524,908</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10,770,486</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rPr>
              <w:t>Trimaran CLO VII, Ltd.</w:t>
            </w:r>
            <w:r>
              <w:rPr>
                <w:rFonts w:ascii="Arial" w:cs="Arial" w:eastAsia="Arial" w:hAnsi="Arial"/>
                <w:sz w:val="29"/>
                <w:szCs w:val="29"/>
                <w:color w:val="auto"/>
                <w:vertAlign w:val="superscript"/>
              </w:rPr>
              <w:t>2,3</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379,830</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379,830</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89"/>
              </w:rPr>
              <w:t>Catamaran CLO 2012-1 Ltd.</w:t>
            </w:r>
            <w:r>
              <w:rPr>
                <w:rFonts w:ascii="Arial" w:cs="Arial" w:eastAsia="Arial" w:hAnsi="Arial"/>
                <w:sz w:val="29"/>
                <w:szCs w:val="29"/>
                <w:color w:val="auto"/>
                <w:w w:val="89"/>
                <w:vertAlign w:val="superscript"/>
              </w:rPr>
              <w:t>2,3</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3,568,581</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5,847,802</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2,320,783</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w w:val="93"/>
              </w:rPr>
              <w:t>Catamaran CLO 2013- 1 Ltd.</w:t>
            </w:r>
            <w:r>
              <w:rPr>
                <w:rFonts w:ascii="Arial" w:cs="Arial" w:eastAsia="Arial" w:hAnsi="Arial"/>
                <w:sz w:val="29"/>
                <w:szCs w:val="29"/>
                <w:color w:val="auto"/>
                <w:w w:val="93"/>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4,938,710</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5,974,982</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5,017,307</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6,923,699</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Catamaran CLO 2014-1 Ltd.</w:t>
            </w:r>
            <w:r>
              <w:rPr>
                <w:rFonts w:ascii="Arial" w:cs="Arial" w:eastAsia="Arial" w:hAnsi="Arial"/>
                <w:sz w:val="29"/>
                <w:szCs w:val="29"/>
                <w:color w:val="auto"/>
                <w:w w:val="95"/>
                <w:vertAlign w:val="superscript"/>
              </w:rPr>
              <w:t>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9,838,586</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9,444,045</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9,858,073</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8,230,178</w:t>
            </w:r>
          </w:p>
        </w:tc>
        <w:tc>
          <w:tcPr>
            <w:tcW w:w="0" w:type="dxa"/>
            <w:vAlign w:val="bottom"/>
          </w:tcPr>
          <w:p>
            <w:pPr>
              <w:spacing w:after="0"/>
              <w:rPr>
                <w:sz w:val="1"/>
                <w:szCs w:val="1"/>
                <w:color w:val="auto"/>
              </w:rPr>
            </w:pPr>
          </w:p>
        </w:tc>
      </w:tr>
      <w:tr>
        <w:trPr>
          <w:trHeight w:val="205"/>
        </w:trPr>
        <w:tc>
          <w:tcPr>
            <w:tcW w:w="2300" w:type="dxa"/>
            <w:vAlign w:val="bottom"/>
          </w:tcPr>
          <w:p>
            <w:pPr>
              <w:spacing w:after="0" w:line="206" w:lineRule="exact"/>
              <w:rPr>
                <w:sz w:val="20"/>
                <w:szCs w:val="20"/>
                <w:color w:val="auto"/>
              </w:rPr>
            </w:pPr>
            <w:r>
              <w:rPr>
                <w:rFonts w:ascii="Arial" w:cs="Arial" w:eastAsia="Arial" w:hAnsi="Arial"/>
                <w:sz w:val="18"/>
                <w:szCs w:val="18"/>
                <w:color w:val="auto"/>
              </w:rPr>
              <w:t>KCAP F3C Senior Funding</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300" w:type="dxa"/>
            <w:vAlign w:val="bottom"/>
          </w:tcPr>
          <w:p>
            <w:pPr>
              <w:spacing w:after="0" w:line="266" w:lineRule="exact"/>
              <w:rPr>
                <w:sz w:val="20"/>
                <w:szCs w:val="20"/>
                <w:color w:val="auto"/>
              </w:rPr>
            </w:pPr>
            <w:r>
              <w:rPr>
                <w:rFonts w:ascii="Arial" w:cs="Arial" w:eastAsia="Arial" w:hAnsi="Arial"/>
                <w:sz w:val="18"/>
                <w:szCs w:val="18"/>
                <w:color w:val="auto"/>
              </w:rPr>
              <w:t>LLC</w:t>
            </w:r>
            <w:r>
              <w:rPr>
                <w:rFonts w:ascii="Arial" w:cs="Arial" w:eastAsia="Arial" w:hAnsi="Arial"/>
                <w:sz w:val="30"/>
                <w:szCs w:val="30"/>
                <w:color w:val="auto"/>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Class E Notes</w:t>
            </w: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4,386,066</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4,687,843</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4,435,965</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4,632,000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8"/>
              </w:rPr>
              <w:t>Dryden 30 Senior Loan Fund</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1,395,797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2,057,241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1,353,852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57"/>
        </w:trPr>
        <w:tc>
          <w:tcPr>
            <w:tcW w:w="2300" w:type="dxa"/>
            <w:vAlign w:val="bottom"/>
          </w:tcPr>
          <w:p>
            <w:pPr>
              <w:spacing w:after="0" w:line="256" w:lineRule="exact"/>
              <w:rPr>
                <w:sz w:val="20"/>
                <w:szCs w:val="20"/>
                <w:color w:val="auto"/>
              </w:rPr>
            </w:pPr>
            <w:r>
              <w:rPr>
                <w:rFonts w:ascii="Arial" w:cs="Arial" w:eastAsia="Arial" w:hAnsi="Arial"/>
                <w:sz w:val="18"/>
                <w:szCs w:val="18"/>
                <w:color w:val="auto"/>
                <w:w w:val="95"/>
              </w:rPr>
              <w:t>Catamaran CLO 2014-2 Ltd.</w:t>
            </w:r>
            <w:r>
              <w:rPr>
                <w:rFonts w:ascii="Arial" w:cs="Arial" w:eastAsia="Arial" w:hAnsi="Arial"/>
                <w:sz w:val="29"/>
                <w:szCs w:val="29"/>
                <w:color w:val="auto"/>
                <w:w w:val="95"/>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6,488,780</w:t>
            </w:r>
          </w:p>
        </w:tc>
        <w:tc>
          <w:tcPr>
            <w:tcW w:w="18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4,021,183</w:t>
            </w:r>
          </w:p>
        </w:tc>
        <w:tc>
          <w:tcPr>
            <w:tcW w:w="3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6,642,805</w:t>
            </w:r>
          </w:p>
        </w:tc>
        <w:tc>
          <w:tcPr>
            <w:tcW w:w="18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4,500,962</w:t>
            </w:r>
          </w:p>
        </w:tc>
        <w:tc>
          <w:tcPr>
            <w:tcW w:w="0" w:type="dxa"/>
            <w:vAlign w:val="bottom"/>
          </w:tcPr>
          <w:p>
            <w:pPr>
              <w:spacing w:after="0"/>
              <w:rPr>
                <w:sz w:val="1"/>
                <w:szCs w:val="1"/>
                <w:color w:val="auto"/>
              </w:rPr>
            </w:pPr>
          </w:p>
        </w:tc>
      </w:tr>
      <w:tr>
        <w:trPr>
          <w:trHeight w:val="257"/>
        </w:trPr>
        <w:tc>
          <w:tcPr>
            <w:tcW w:w="23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w w:val="95"/>
              </w:rPr>
              <w:t>Catamaran CLO 2015-1 Ltd.</w:t>
            </w:r>
            <w:r>
              <w:rPr>
                <w:rFonts w:ascii="Arial" w:cs="Arial" w:eastAsia="Arial" w:hAnsi="Arial"/>
                <w:sz w:val="29"/>
                <w:szCs w:val="29"/>
                <w:color w:val="auto"/>
                <w:w w:val="95"/>
                <w:vertAlign w:val="superscript"/>
              </w:rPr>
              <w:t>2</w:t>
            </w:r>
          </w:p>
        </w:tc>
        <w:tc>
          <w:tcPr>
            <w:tcW w:w="1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4,455,464</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3,307,190</w:t>
            </w:r>
          </w:p>
        </w:tc>
        <w:tc>
          <w:tcPr>
            <w:tcW w:w="3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4,418,647</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3,569,600</w:t>
            </w:r>
          </w:p>
        </w:tc>
        <w:tc>
          <w:tcPr>
            <w:tcW w:w="0" w:type="dxa"/>
            <w:vAlign w:val="bottom"/>
          </w:tcPr>
          <w:p>
            <w:pPr>
              <w:spacing w:after="0"/>
              <w:rPr>
                <w:sz w:val="1"/>
                <w:szCs w:val="1"/>
                <w:color w:val="auto"/>
              </w:rPr>
            </w:pPr>
          </w:p>
        </w:tc>
      </w:tr>
      <w:tr>
        <w:trPr>
          <w:trHeight w:val="270"/>
        </w:trPr>
        <w:tc>
          <w:tcPr>
            <w:tcW w:w="2300" w:type="dxa"/>
            <w:vAlign w:val="bottom"/>
          </w:tcPr>
          <w:p>
            <w:pPr>
              <w:spacing w:after="0" w:line="269" w:lineRule="exact"/>
              <w:rPr>
                <w:sz w:val="20"/>
                <w:szCs w:val="20"/>
                <w:color w:val="auto"/>
              </w:rPr>
            </w:pPr>
            <w:r>
              <w:rPr>
                <w:rFonts w:ascii="Arial" w:cs="Arial" w:eastAsia="Arial" w:hAnsi="Arial"/>
                <w:sz w:val="18"/>
                <w:szCs w:val="18"/>
                <w:color w:val="auto"/>
                <w:w w:val="95"/>
              </w:rPr>
              <w:t>Catamaran CLO 2016-1 Ltd.</w:t>
            </w:r>
            <w:r>
              <w:rPr>
                <w:rFonts w:ascii="Arial" w:cs="Arial" w:eastAsia="Arial" w:hAnsi="Arial"/>
                <w:sz w:val="30"/>
                <w:szCs w:val="30"/>
                <w:color w:val="auto"/>
                <w:w w:val="95"/>
                <w:vertAlign w:val="superscript"/>
              </w:rPr>
              <w:t>2</w:t>
            </w:r>
          </w:p>
        </w:tc>
        <w:tc>
          <w:tcPr>
            <w:tcW w:w="1860" w:type="dxa"/>
            <w:vAlign w:val="bottom"/>
            <w:gridSpan w:val="3"/>
          </w:tcPr>
          <w:p>
            <w:pPr>
              <w:ind w:left="120"/>
              <w:spacing w:after="0"/>
              <w:rPr>
                <w:sz w:val="20"/>
                <w:szCs w:val="20"/>
                <w:color w:val="auto"/>
              </w:rPr>
            </w:pPr>
            <w:r>
              <w:rPr>
                <w:rFonts w:ascii="Arial" w:cs="Arial" w:eastAsia="Arial" w:hAnsi="Arial"/>
                <w:sz w:val="18"/>
                <w:szCs w:val="18"/>
                <w:color w:val="auto"/>
              </w:rPr>
              <w:t>Subordinated Notes</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9,912,304</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7,850,221</w:t>
            </w:r>
          </w:p>
        </w:tc>
        <w:tc>
          <w:tcPr>
            <w:tcW w:w="3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10,086,802</w:t>
            </w:r>
          </w:p>
        </w:tc>
        <w:tc>
          <w:tcPr>
            <w:tcW w:w="180" w:type="dxa"/>
            <w:vAlign w:val="bottom"/>
          </w:tcPr>
          <w:p>
            <w:pPr>
              <w:spacing w:after="0"/>
              <w:rPr>
                <w:sz w:val="23"/>
                <w:szCs w:val="23"/>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8,530,685</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59,446,300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37,972,985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72,339,032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51,678,673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9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30"/>
          <w:szCs w:val="30"/>
          <w:color w:val="auto"/>
          <w:vertAlign w:val="superscript"/>
        </w:rPr>
      </w:pPr>
      <w:r>
        <w:rPr>
          <w:rFonts w:ascii="Arial" w:cs="Arial" w:eastAsia="Arial" w:hAnsi="Arial"/>
          <w:sz w:val="18"/>
          <w:szCs w:val="18"/>
          <w:color w:val="auto"/>
        </w:rPr>
        <w:t>Represents percentage of class held.</w:t>
      </w:r>
    </w:p>
    <w:p>
      <w:pPr>
        <w:ind w:left="340" w:hanging="332"/>
        <w:spacing w:after="0" w:line="180" w:lineRule="auto"/>
        <w:tabs>
          <w:tab w:leader="none" w:pos="340" w:val="left"/>
        </w:tabs>
        <w:numPr>
          <w:ilvl w:val="0"/>
          <w:numId w:val="56"/>
        </w:numPr>
        <w:rPr>
          <w:rFonts w:ascii="Arial" w:cs="Arial" w:eastAsia="Arial" w:hAnsi="Arial"/>
          <w:sz w:val="25"/>
          <w:szCs w:val="25"/>
          <w:color w:val="auto"/>
          <w:vertAlign w:val="superscript"/>
        </w:rPr>
      </w:pPr>
      <w:r>
        <w:rPr>
          <w:rFonts w:ascii="Arial" w:cs="Arial" w:eastAsia="Arial" w:hAnsi="Arial"/>
          <w:sz w:val="16"/>
          <w:szCs w:val="16"/>
          <w:color w:val="auto"/>
        </w:rPr>
        <w:t>A CLO Fund managed by an Asset Manager Affiliate.</w:t>
      </w:r>
    </w:p>
    <w:p>
      <w:pPr>
        <w:ind w:left="340" w:hanging="332"/>
        <w:spacing w:after="0" w:line="180" w:lineRule="auto"/>
        <w:tabs>
          <w:tab w:leader="none" w:pos="340" w:val="left"/>
        </w:tabs>
        <w:numPr>
          <w:ilvl w:val="0"/>
          <w:numId w:val="57"/>
        </w:numPr>
        <w:rPr>
          <w:rFonts w:ascii="Arial" w:cs="Arial" w:eastAsia="Arial" w:hAnsi="Arial"/>
          <w:sz w:val="25"/>
          <w:szCs w:val="25"/>
          <w:color w:val="auto"/>
          <w:vertAlign w:val="superscript"/>
        </w:rPr>
      </w:pPr>
      <w:r>
        <w:rPr>
          <w:rFonts w:ascii="Arial" w:cs="Arial" w:eastAsia="Arial" w:hAnsi="Arial"/>
          <w:sz w:val="16"/>
          <w:szCs w:val="16"/>
          <w:color w:val="auto"/>
        </w:rPr>
        <w:t>As of June 30, 2018, this CLO Fund security was not providing a taxable distribution.</w:t>
      </w:r>
    </w:p>
    <w:p>
      <w:pPr>
        <w:spacing w:after="0" w:line="19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LLC (“Freedom 3 Opportunities”), an affiliate of Freedom 3 Capital LLC, entered into an agreement to create KCAP Freedom 3 LLC (the “Joint Venture”). The Company and Freedom 3 Opportunities contributed approximately $37 million and $25 million, respectively, in assets to the Joint Venture, which in turn used the assets to capitalize a new fund, KCAP F3C Senior Funding, L.L.C. (the “Fund”) managed by KCAP Management, LLC, one of the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I, LLC (“KCAP Senior Funding”). The Joint Venture may originate loans from time to time and sell them to the Fund.</w:t>
      </w:r>
    </w:p>
    <w:p>
      <w:pPr>
        <w:spacing w:after="0" w:line="18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the Joint Venture made a cash distribution to the Company of approximately $12.6 million. The Company expects that approximately $11.8 million of this distribution was a return of capital, reducing the cost basis of its investment in the Joint Venture by that amount. The final determination of the tax attributes of distributions from the Joint Venture is made on an annual (full calendar year) basis at the end of the year, therefore, any estimate of tax attributes of distributions made on an interim basis may not be representative of the actual tax attributes of distributions for the full year.</w:t>
      </w:r>
    </w:p>
    <w:p>
      <w:pPr>
        <w:spacing w:after="0" w:line="193" w:lineRule="exact"/>
        <w:rPr>
          <w:sz w:val="20"/>
          <w:szCs w:val="20"/>
          <w:color w:val="auto"/>
        </w:rPr>
      </w:pPr>
    </w:p>
    <w:p>
      <w:pPr>
        <w:ind w:right="260" w:firstLine="324"/>
        <w:spacing w:after="0" w:line="276" w:lineRule="auto"/>
        <w:rPr>
          <w:sz w:val="20"/>
          <w:szCs w:val="20"/>
          <w:color w:val="auto"/>
        </w:rPr>
      </w:pPr>
      <w:r>
        <w:rPr>
          <w:rFonts w:ascii="Arial" w:cs="Arial" w:eastAsia="Arial" w:hAnsi="Arial"/>
          <w:sz w:val="17"/>
          <w:szCs w:val="17"/>
          <w:color w:val="auto"/>
        </w:rPr>
        <w:t>The Joint Venture is structured as an unconsolidated Delaware limited liability company. All portfolio and other material decisions regarding the Joint Venture must be submitted to its board of managers, which is comprised of four members, two of whom were selected by the Company and two of whom were selected by Freedom 3 Opportunities, and must be approved by at least one member appointed by the Company and one appointed by Freedom 3 Opportunities. In addition, certain matters may be approved by the Joint Venture’s investment committee, which is comprised of one member appointed by the Company and one member appointed by Freedom 3 Opportunities.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7"/>
          <w:szCs w:val="17"/>
          <w:color w:val="auto"/>
        </w:rPr>
        <w:t>The Company has determined that the Joint Venture is an investment company under Accounting Standards Codification (“ASC”), Financial</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Services — Investment Companies (“ASC 946”), however, in accordance with such guidance, the Company will generally not consolidate its investment in a company other than a wholly owned investment company subsidiary or a controlled operating company whose business consists of providing services to the Company. The Company does not consolidate its interest in the Joint Venture, because the Company does not control the Joint Venture due to allocation of the voting rights among the Joint Venture partners.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Financial Condition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Investment at fair value</w:t>
            </w:r>
          </w:p>
        </w:tc>
        <w:tc>
          <w:tcPr>
            <w:tcW w:w="24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37,512,496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37,512,496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2,360,006</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1,221,916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35,152,490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35,859,801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37,512,496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37,081,717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Freedom 3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the three</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 the six</w:t>
            </w: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For the six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7"/>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months ended</w:t>
            </w:r>
          </w:p>
        </w:tc>
        <w:tc>
          <w:tcPr>
            <w:tcW w:w="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6"/>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2018</w:t>
            </w:r>
          </w:p>
        </w:tc>
        <w:tc>
          <w:tcPr>
            <w:tcW w:w="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June 30, 2018</w:t>
            </w:r>
          </w:p>
        </w:tc>
        <w:tc>
          <w:tcPr>
            <w:tcW w:w="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June 30,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1,221,996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2,417,814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31,998</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53,761</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2,364,053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Unrealized (depreciation) appreciation on investments</w:t>
            </w:r>
          </w:p>
        </w:tc>
        <w:tc>
          <w:tcPr>
            <w:tcW w:w="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(1,068,857)</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(564,936)</w:t>
            </w: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1,799,117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KCAP Freedom 3 LLC</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June 30, 2018</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(unaudited)</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180" w:type="dxa"/>
            <w:vAlign w:val="bottom"/>
            <w:gridSpan w:val="2"/>
          </w:tcPr>
          <w:p>
            <w:pPr>
              <w:ind w:left="1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9"/>
              </w:rPr>
              <w:t>KCAP F3C Senior Funding, LLC</w:t>
            </w:r>
            <w:r>
              <w:rPr>
                <w:rFonts w:ascii="Arial" w:cs="Arial" w:eastAsia="Arial" w:hAnsi="Arial"/>
                <w:sz w:val="30"/>
                <w:szCs w:val="30"/>
                <w:color w:val="auto"/>
                <w:w w:val="99"/>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vMerge w:val="continue"/>
            <w:shd w:val="clear" w:color="auto" w:fill="CCEEFF"/>
          </w:tcPr>
          <w:p>
            <w:pPr>
              <w:spacing w:after="0"/>
              <w:rPr>
                <w:sz w:val="22"/>
                <w:szCs w:val="22"/>
                <w:color w:val="auto"/>
              </w:rPr>
            </w:pP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11.4%,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43,140,686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37,512,496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43,140,686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37,512,496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default rates, prepayment rates, spreads, and the discount rate by which to value the resulting cash flows.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Schedule of Investments</w:t>
            </w: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30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 2017</w:t>
            </w:r>
          </w:p>
        </w:tc>
        <w:tc>
          <w:tcPr>
            <w:tcW w:w="1860" w:type="dxa"/>
            <w:vAlign w:val="bottom"/>
            <w:gridSpan w:val="3"/>
            <w:vMerge w:val="restart"/>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Ownership</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by Joint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Pr>
          <w:p>
            <w:pPr>
              <w:spacing w:after="0"/>
              <w:rPr>
                <w:sz w:val="20"/>
                <w:szCs w:val="20"/>
                <w:color w:val="auto"/>
              </w:rPr>
            </w:pPr>
          </w:p>
        </w:tc>
        <w:tc>
          <w:tcPr>
            <w:tcW w:w="3180" w:type="dxa"/>
            <w:vAlign w:val="bottom"/>
            <w:gridSpan w:val="2"/>
          </w:tcPr>
          <w:p>
            <w:pPr>
              <w:ind w:left="1120"/>
              <w:spacing w:after="0"/>
              <w:rPr>
                <w:sz w:val="20"/>
                <w:szCs w:val="20"/>
                <w:color w:val="auto"/>
              </w:rPr>
            </w:pPr>
            <w:r>
              <w:rPr>
                <w:rFonts w:ascii="Arial" w:cs="Arial" w:eastAsia="Arial" w:hAnsi="Arial"/>
                <w:sz w:val="18"/>
                <w:szCs w:val="18"/>
                <w:b w:val="1"/>
                <w:bCs w:val="1"/>
                <w:color w:val="auto"/>
              </w:rPr>
              <w:t>Investment</w:t>
            </w:r>
          </w:p>
        </w:tc>
        <w:tc>
          <w:tcPr>
            <w:tcW w:w="18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2"/>
              </w:rPr>
              <w:t>Venture</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9"/>
              </w:rPr>
              <w:t>KCAP F3C Senior Funding, LLC</w:t>
            </w:r>
            <w:r>
              <w:rPr>
                <w:rFonts w:ascii="Arial" w:cs="Arial" w:eastAsia="Arial" w:hAnsi="Arial"/>
                <w:sz w:val="30"/>
                <w:szCs w:val="30"/>
                <w:color w:val="auto"/>
                <w:w w:val="99"/>
                <w:vertAlign w:val="superscript"/>
              </w:rPr>
              <w:t>(1)(2)</w:t>
            </w:r>
          </w:p>
        </w:tc>
        <w:tc>
          <w:tcPr>
            <w:tcW w:w="120" w:type="dxa"/>
            <w:vAlign w:val="bottom"/>
            <w:tcBorders>
              <w:top w:val="single" w:sz="8" w:color="CCEEFF"/>
            </w:tcBorders>
            <w:shd w:val="clear" w:color="auto" w:fill="CCEEFF"/>
          </w:tcPr>
          <w:p>
            <w:pPr>
              <w:spacing w:after="0"/>
              <w:rPr>
                <w:sz w:val="19"/>
                <w:szCs w:val="19"/>
                <w:color w:val="auto"/>
              </w:rPr>
            </w:pPr>
          </w:p>
        </w:tc>
        <w:tc>
          <w:tcPr>
            <w:tcW w:w="3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Subordinated Securities, effective interest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80" w:type="dxa"/>
            <w:vAlign w:val="bottom"/>
            <w:vMerge w:val="continue"/>
            <w:shd w:val="clear" w:color="auto" w:fill="CCEEFF"/>
          </w:tcPr>
          <w:p>
            <w:pPr>
              <w:spacing w:after="0"/>
              <w:rPr>
                <w:sz w:val="22"/>
                <w:szCs w:val="22"/>
                <w:color w:val="auto"/>
              </w:rPr>
            </w:pPr>
          </w:p>
        </w:tc>
        <w:tc>
          <w:tcPr>
            <w:tcW w:w="3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12.1%, 12/29 maturity</w:t>
            </w: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37,080,000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42,143,254</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37,080,000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8"/>
        <w:spacing w:after="0" w:line="254"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2"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Fair value of this investment was determined using significant unobservable inputs, including a third party broker quote.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2018 and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U.S.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future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months ended June 30, 2018, the Asset Manager Affiliates did not receive any incentive fees.</w:t>
      </w:r>
    </w:p>
    <w:p>
      <w:pPr>
        <w:spacing w:after="0" w:line="183"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Certain investments, and the future management fees of certain managed CLO Funds, have been pledged by the Asset Manager Affiliates to third-party lenders under borrowing arrangements undertaken to satisfy the risk retention U.S. risk retention rules formerly required by Section 941 of the of the Dodd-Frank Act applicable to asset managers. In addition, certain of the Asset Manager Affiliates have provided a make-whole guaranty to these lenders in the event that the pledged assets and management fees are insufficient to satisfy the repayment of these borrowings. So long as the underlying managed CLO Funds’ rated notes are making regular quarterly distributions, the management fees are available to the Asset Manager Affiliates. A recent court ruling has vacated the application of the U.S. risk retention rules insofar as they apply to managers of “open market CLOs,” such as the Asset Manager Affiliates. For additional information, please see Part II, “Item 1A. Risk Factors—The application of the risk retention rules under Section 941 of the Dodd-Frank Act to CLOs may have broader effects on the CLO and loan markets in general, potentially resulting in fewer or less desirable investment opportunities for us.”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firstLine="324"/>
        <w:spacing w:after="0" w:line="285" w:lineRule="auto"/>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 dependent upon the maintenance and growth in their assets under management and related management fees. As a result of tax-basis goodwill amortization and certain other tax-related adjustments, portions of distributions received may be deemed return of capital. As amortizing funds which are paying incentive fees are redeemed, we do not expect incentive fees available for distribution to be significant. The fair value of our investment in our Asset Manager Affiliates was approximately $36.9 million at June 30, 2018, with an unrealized appreciation for the six-month period ending June 30, 2018 of approximately $996,000. For the six months ended June 30, 2018 and 2017, we recognized dividend income of $620,000 and $0, respectively from the Asset Manager Affiliates, while cash distributions received were approximately $1.6 million and $1.3 million, respectively for the six months ended June 30, 2018 and 2017. The difference between cash distributions received and the tax-basis earnings and profits is recorded as an adjustment to the cost basis of the Asset Manager Affiliates investments.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 CLO Funds typically have automatic orderly wind-down features following an initial period of reinvestment. Thus, with all else being equal, as managed CLO Fund portfolios age, projected future assets under management (and associated management fees) will naturally decline, resulting in a reduction in fair value of our Asset Manager Affiliates. On the other hand, mandates to manage new CLO Fund portfolios will generally result in an increase in the fair value of our investment in our Asset Manager Affiliates. The aggregate of par value of assets under management by our Asset Manager Affiliates was $2.8 billion and $3.0 billion as of June 30, 2018 and December 31, 2017, respectively.</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 xml:space="preserve">Investment in Joint Venture. </w:t>
      </w:r>
      <w:r>
        <w:rPr>
          <w:rFonts w:ascii="Arial" w:cs="Arial" w:eastAsia="Arial" w:hAnsi="Arial"/>
          <w:sz w:val="18"/>
          <w:szCs w:val="18"/>
          <w:color w:val="auto"/>
        </w:rPr>
        <w:t>For the three months and six months ended June 30, 2018, the Company recognized $700,000 and $1.4 million,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in investment income from its investment in the Joint Venture. As of June 30, 2018 and December 31, 2017, the fair value of the Company’s investment in the Joint Venture was $21.1 million and $21.5 million, respectively. For interim periods, the Company recognizes investment income on its investment in the Joint Venture based upon its share of the estimated tax-basis earnings and profits of the Joint Venture. Any distributions in excess of tax-basis earnings and profits are recognized as a return of capital (adjustment to the Company’s cost basis in the investment). The final determination of the tax attributes of distributions from the Joint Venture is made on an annual (full calendar year) basis at year-end of the year based upon taxable income and distributions for the full year. Therefore, any estimate of tax attributes of distributions made on an interim basis may not be representative of the actual tax attributes of distributions for the full year.</w:t>
      </w:r>
    </w:p>
    <w:p>
      <w:pPr>
        <w:spacing w:after="0" w:line="19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Investment income for the three months ended June 30, 2018 and 2017 was approximately $6.8 million and $7.7 million, respectively. Of these amounts, approximately $4.3 million and $4.8 million was attributable to interest income on our Debt Securities Portfolio. Investment income for the six months ended June 30, 2018 and 2017 was approximately $13.7 million and $15.4 million, respectively. Of these amounts, approximately $8.0 million and $9.3 million was attributable to interest income on our Debt Securities Portfolio.</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both June 30, 2018 and December 31, 2017, the weighted average contractual interest rate on our loans and debt securities was approximately 9.9%. At June 30, 2018 and December 31, 2017, the weighted average rate on our loans and debt securities, adjusted for non-accrual and partial non-accrual investments, was approximately 9.0% and 9.6%, respectively.</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For the three months ended June 30, 2018 and 2017, approximately $1.5 million and $2.8 million, respectively, of investment income was attributable to investments in CLO Fund Securities. For the six months ended June 30, 2018 and 2017, approximately $3.4 million and $5.9 million, respectively, of investment income was attributable to investments in CLO Fund Securities. On a tax basis, the Company recognized $3.3 million and $4.6 million of taxable distributable income on distributions from our CLO Fund Securities during the six months ended June 30, 2018 and 2017,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25"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Total expenses for the three months ended June 30, 2018 and 2017 were approximately $4.3 million and $5.1 million, respectively. Interest expense and amortization on debt issuance costs for the period was approximately $1.8 million and $2.2 million, respectively, on average debt outstanding of $110 million and $180 million, respectively.</w:t>
      </w:r>
    </w:p>
    <w:p>
      <w:pPr>
        <w:spacing w:after="0" w:line="18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Total expenses for the six months ended June 30, 2018 and 2017 were approximately $8.7 million and $9.6 million, respectively. Interest expense and amortization on debt issuance costs for the period was approximately $3.7 million and $4.4 million, respectively, on average debt outstanding of $109 million and $181 million, respectively.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For the three months ended June 30, 2018 and 2017, approximately $1.0 million and $1.2 million of expenses were attributable to employee compensation, including salaries, bonuses, employee benefits, payroll taxes and stock-based compensation expense, respectively. For the six months ended June 30, 2018 and 2017, approximately $2.2 million and $2.4 million of expenses were attributable to employee compensation, including salaries, bonuses, employee benefits, payroll taxes and stock-based compensation expense, respectively. For the three months ended June 30, 2018 and 2017, respectively, professional fees and insurance expenses totaled approximately $1.0 million and $1.3 million. For the six months ended June 30, 2018 and 2017, respectively, professional fees and insurance expenses totaled approximately $1.8 million and $1.9 million. Administrative costs, which include occupancy expense, technology and other office expenses, totaled approximately $480,000 and $364,000 for the three months ended June 30, 2018 and 2017, respectively. Administrative costs, which include occupancy expense, technology and other office expenses, totaled approximately $982,000 and $870,000 for the six months ended June 30, 2018 and 2017, respectively.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Net investment income and net realized gains (losses) represents the stockholder’s equity before net unrealized appreciation or depreciation on investments. For the three months ended June 30, 2018, net investment income and net realized losses were approximately $2.5 million, or $0.07 per share. For the three months ended June 30, 2017, net investment income and net realized losses were approximately $1.6 million, or $0.04 per share. For the six months ended June 30, 2018, net investment income and net realized losses were approximately $5.0 million, or $0.13 per share. For the six months ended June 30, 2017, net investment income and net realized losses were approximately $4.9 million, or $0.13 per share. Net investment income represents the income earned on our investments less operating and interest expense before net realized gains or losses and unrealized appreciation or depreciation on investments. Investments are carried at fair value, with changes in fair value recorded as unrealized appreciation (depreciation) in the statement of operations. When an investment is sold or liquidated, any previously recognized unrealized appreciation/depreciation is reversed and a corresponding amount is recognized as realized gain (loss). For example,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For the six months ended June 30, 2018, U.S. GAAP-basis net investment income was approximately $5.0 million or $0.13 per share, while tax-basis distributable income was approximately $5.4 million or $0.14 per share. For the six months ended June 30, 2017, U.S. GAAP-basis net investment income was approximately $4.9 million or $0.13 per basic share, while tax-basis distributable income was approximately $4.6 million or $0.12 per share.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Unrealized (Depreciation) Appreciation on Investments</w:t>
      </w:r>
    </w:p>
    <w:p>
      <w:pPr>
        <w:spacing w:after="0" w:line="22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During the three months ended June 30, 2018, our total investments had net unrealized depreciation of approximately $3.8 million. Included in the net unrealized loss for the three months ended June 30, 2018 are unrealized depreciation on CLO Fund Securities of approximately $941,000, net unrealized depreciation on equity securities of approximately $227,000, net unrealized depreciation on the Asset Manager Affiliates of $1.3 million, net unrealized depreciation on our debt securities of approximately $682,000, and unrealized depreciation on our Joint Venture investment of $676,000. During the three months ended June 30, 2017, our total investments had net unrealized depreciation of approximately $1.0 million. Included in the net unrealized appreciation in 2017 are unrealized appreciation on CLO Fund Securities of approximately $1.1 million, unrealized depreciation and on equity securities of approximately $266,000, unrealized appreciation on the Asset Manager Affiliates of $1.2 million, and net unrealized appreciation on our debt securities of $1.2 million.</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During the six months ended June 30, 2018, our total investments had net unrealized depreciation of approximately $3.5 million. Included in the net unrealized loss in 2018 are unrealized depreciation on CLO Fund Securities of approximately $813,000, net unrealized depreciation on equity securities of approximately $164,000, net unrealized depreciation on the Asset Manager Affiliates of $996,000, net unrealized depreciation on our debt securities of approximately $1.1 million, and unrealized depreciation on our Joint Venture investment of $425,000. During the six months ended June 30, 2017, our total investments had net unrealized depreciation of approximately $1.8 million. Included in the net unrealized depreciation in 2017 are net unrealized depreciation on CLO Fund Securities of approximately $2.4 million net unrealized depreciation and on equity securities of approximately $420,000, net unrealized depreciation on the Asset Manager Affiliates of $1.4 million, and net unrealized appreciation on our debt securities of $2.4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Change in Stockholder’s Equity Resulting from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net decrease in stockholders’ equity resulting from operations for the three months ended June 30, 2018 was $1.3 million, or $0.04 per basic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increase in stockholders’ equity resulting from operations for the three months ended June 30, 2017 was $2.5 million, or $0.07 per share.</w:t>
      </w:r>
    </w:p>
    <w:p>
      <w:pPr>
        <w:spacing w:after="0" w:line="21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net increase in stockholders’ equity resulting from operations for the six months ended June 30, 2018 was $1.3 million, or $0.03 per basic share. Net increase in stockholders’ equity resulting from operations for the six months ended June 30, 2017 was $2.9 million, or $0.08 per share.</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2018 and December 31, 2017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7"/>
          </w:tcPr>
          <w:p>
            <w:pPr>
              <w:ind w:left="700"/>
              <w:spacing w:after="0"/>
              <w:rPr>
                <w:sz w:val="20"/>
                <w:szCs w:val="20"/>
                <w:color w:val="auto"/>
              </w:rPr>
            </w:pPr>
            <w:r>
              <w:rPr>
                <w:rFonts w:ascii="Arial" w:cs="Arial" w:eastAsia="Arial" w:hAnsi="Arial"/>
                <w:sz w:val="18"/>
                <w:szCs w:val="18"/>
                <w:b w:val="1"/>
                <w:bCs w:val="1"/>
                <w:color w:val="auto"/>
              </w:rPr>
              <w:t>Investments at Fair Value</w:t>
            </w: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June 30, 2018</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2017</w:t>
            </w:r>
          </w:p>
        </w:tc>
        <w:tc>
          <w:tcPr>
            <w:tcW w:w="100" w:type="dxa"/>
            <w:vAlign w:val="bottom"/>
            <w:gridSpan w:val="2"/>
          </w:tcPr>
          <w:p>
            <w:pPr>
              <w:spacing w:after="0"/>
              <w:rPr>
                <w:sz w:val="19"/>
                <w:szCs w:val="19"/>
                <w:color w:val="auto"/>
              </w:rPr>
            </w:pPr>
          </w:p>
        </w:tc>
      </w:tr>
      <w:tr>
        <w:trPr>
          <w:trHeight w:val="210"/>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2,451,249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2,034,095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1,023,114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11,454,078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77,300,320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58,324,196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44,960,146</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74,037,768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58,941,300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Senior Unsecured Loan</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29,777,283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12,777,283</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1,518,750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37,972,985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51,678,673</w:t>
            </w:r>
          </w:p>
        </w:tc>
        <w:tc>
          <w:tcPr>
            <w:tcW w:w="8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4,251,111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4,414,684</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Joint Venture</w:t>
            </w:r>
          </w:p>
        </w:tc>
        <w:tc>
          <w:tcPr>
            <w:tcW w:w="240" w:type="dxa"/>
            <w:vAlign w:val="bottom"/>
          </w:tcPr>
          <w:p>
            <w:pPr>
              <w:spacing w:after="0"/>
              <w:rPr>
                <w:sz w:val="18"/>
                <w:szCs w:val="18"/>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21,091,494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21,516,000</w:t>
            </w:r>
          </w:p>
        </w:tc>
        <w:tc>
          <w:tcPr>
            <w:tcW w:w="80" w:type="dxa"/>
            <w:vAlign w:val="bottom"/>
          </w:tcPr>
          <w:p>
            <w:pPr>
              <w:spacing w:after="0"/>
              <w:rPr>
                <w:sz w:val="18"/>
                <w:szCs w:val="18"/>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24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36,853,000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38,849,000</w:t>
            </w:r>
          </w:p>
        </w:tc>
        <w:tc>
          <w:tcPr>
            <w:tcW w:w="80" w:type="dxa"/>
            <w:vAlign w:val="bottom"/>
            <w:shd w:val="clear" w:color="auto" w:fill="CCEEFF"/>
          </w:tcPr>
          <w:p>
            <w:pPr>
              <w:spacing w:after="0"/>
              <w:rPr>
                <w:sz w:val="19"/>
                <w:szCs w:val="19"/>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277,236,278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313,990,251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We use borrowed funds, known as “leverage,” to make investments and to attempt to increase returns to our shareholders by reducing our overall cost of capital. As a BDC, we generally are required to meet a coverage ratio of total assets to total borrowings and other senior securities, which include all of our borrowings and any preferred stock that we may issue in the future, of at least 200% (or 150% beginning on March 29, 2019). As of June 30, 2018, we had approximately $105.6 million of par value of outstanding borrowings and our asset coverage ratio of total assets to total borrowings was 263%. We may also generally borrow amounts of up to 5% of the value of our total assets for temporary purposes.</w:t>
      </w:r>
    </w:p>
    <w:p>
      <w:pPr>
        <w:spacing w:after="0" w:line="173"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158" w:lineRule="exact"/>
        <w:rPr>
          <w:sz w:val="20"/>
          <w:szCs w:val="20"/>
          <w:color w:val="auto"/>
        </w:rPr>
      </w:pPr>
    </w:p>
    <w:p>
      <w:pPr>
        <w:ind w:right="20" w:firstLine="324"/>
        <w:spacing w:after="0" w:line="283"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asset coverage requirement currently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As a result, despite the SBCA, the Company will continue to be prohibited by the indenture governing the 7.375% Notes Due 2019 from making distributions on its common stock if its asset coverage, as defined in the 1940 Act, falls below 200%. At June 30, 2018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w:t>
      </w:r>
    </w:p>
    <w:p>
      <w:pPr>
        <w:spacing w:after="0" w:line="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7.375% notes due 2019 at a weighted average price of $25.23 per $25.00 note, resulting in a realized loss on extinguishment of $71,190. KCAP subsequently surrendered these notes to the Trustee for cancellation.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 During the second quarter of 2017, the Company redeemed $6.5 million par value of the 7.375% Notes Due 2019 resulting in a realized loss on extinguishment of debt of $107,276. KCAP subsequently surrendered all of these Notes to the Trustee for cancellation. During the first quarter of 2018, approximately $20 million par value of the 7.375% Notes Due 2019 was redeemed by the Company, resulting in a realized loss on extinguishment of approximately $169,000. The Company subsequently surrendered these notes to the Trustee for cancellation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right="360" w:firstLine="324"/>
        <w:spacing w:after="0" w:line="291" w:lineRule="auto"/>
        <w:rPr>
          <w:sz w:val="20"/>
          <w:szCs w:val="20"/>
          <w:color w:val="auto"/>
        </w:rPr>
      </w:pPr>
      <w:r>
        <w:rPr>
          <w:rFonts w:ascii="Arial" w:cs="Arial" w:eastAsia="Arial" w:hAnsi="Arial"/>
          <w:sz w:val="16"/>
          <w:szCs w:val="16"/>
          <w:color w:val="auto"/>
        </w:rPr>
        <w:t>During the third quarter of 2017, the company issued $77.4 million aggregate principal amount of 6.125% Notes due 2022 (the “6.125% Notes Due 2022”). The net proceeds for the 6.125% Notes Due 2022, after the payment of underwriting expenses, were approximately $74.6 million. Interest on the</w:t>
      </w:r>
    </w:p>
    <w:p>
      <w:pPr>
        <w:ind w:right="160"/>
        <w:spacing w:after="0" w:line="281" w:lineRule="auto"/>
        <w:rPr>
          <w:sz w:val="20"/>
          <w:szCs w:val="20"/>
          <w:color w:val="auto"/>
        </w:rPr>
      </w:pPr>
      <w:r>
        <w:rPr>
          <w:rFonts w:ascii="Arial" w:cs="Arial" w:eastAsia="Arial" w:hAnsi="Arial"/>
          <w:sz w:val="16"/>
          <w:szCs w:val="16"/>
          <w:color w:val="auto"/>
        </w:rPr>
        <w:t>6.125% Notes Due 2022 is paid quarterly in arrears on March 30, June 30, September 30 and December 30, at a rate of 6.125% commencing September 30, 2017. The 6.125% Notes Due 2022 mature on September 30, 2022, and are senior unsecured obligations of the Company. In addition, due to the asset coverage requirement currently applicable to the Company as a BDC and a covenant that the Company agreed to in connection with the issuance of the</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6.125% Notes Due 2022, the Company is limited in its ability to make distributions if its asset coverage, as defined in the 1940 Act, is below 200% at the time of the declaration of the distribution. As a result, despite the SBCA, the Company will continue to be prohibited by the indenture governing the 6.125% Notes Due 2022 from making distributions on its common stock if its asset coverage, as defined in the 1940 Act, falls below 200%. At December 31, 2017, the Company was in compliance with all of its debt covenants. The indenture governing the 6.125% Notes Due 2022 contains certain restrictive covenants, including compliance with certain provisions of the 1940 Act relating to borrowing and dividends.</w:t>
      </w:r>
    </w:p>
    <w:p>
      <w:pPr>
        <w:spacing w:after="0" w:line="1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1, 2018, KCAP Funding I, LLC (“Funding”), a wholly owned subsidiary of the Company, entered into a senior secured revolving credit facility (the “Revolving Credit Facility”) with certain institutional lenders, State Bank and Trust Company, as the administrative agent, lead arranger and bookrunner, CIBC Bank USA, as documentation agent and the Company, as the servicer. The maximum commitment amount of the Revolving Credit Facility is $50 million, subject to availability under the borrowing base. Borrowings under the Revolving Credit Facility bear interest at a rate per annum equal to (i) in the case of LIBOR rate loans, an adjusted LIBOR rate for the applicable interest period plus 3.25% or (ii) in the case of base rate loans, the prime rate plus 3.25%. Funding will pay a fee on any undrawn amounts of 0.375% per annum; provided that if 50% or less of the Revolving Credit Facility is drawn, the fee will be 0.50% per annum. The Company intends to use the proceeds from borrowings under the Revolving Credit Facility for general corporate purposes, including to acquire certain qualifying loans, and such other uses as permitted under the Loan and Security Agreement (the “Revolving Credit Agreement”).</w:t>
      </w:r>
    </w:p>
    <w:p>
      <w:pPr>
        <w:spacing w:after="0" w:line="16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maturity date is the earliest of: (a) March 1, 2022 and (b) the date upon which all loans shall become due and payable in full, whether by acceleration or otherwise, as a result of default by the Company, as defined in the Revolving Credit Facility. The Revolving Credit Facility is secured by all of the assets held by Funding, and the Company has pledged its interests in Funding as collateral to State Bank and Trust Company, as the administrative agent, to secure the obligations of Funding under the Revolving Credit Facility. The Revolving Credit Agreement includes customary affirmative and negative covenants, including certain limitations on the incurrence of additional indebtedness and liens, as well as usual and customary events of default for revolving credit facilities of this nature. At June 30, 2018, Funding was in compliance with all of its debt covenants. During the first six months of 2018, Funding borrowed $27 million under the Revolving Credit Facility. As of June 30, 2018, $21.1 million principal amount of borrowings was outstanding under the Revolving Credit Facility. Interest on borrowings under the Revolving Credit Facility is paid monthly. Borrowings under the Revolving Credit Facility are subject to redemption in whole or in part at any time or from time to time, at the option of the Funding. Concurrently with any termination of the Revolving Credit Facility before March 1, 2019 Funding will pay to agent an amount equal to 1% of the Revolver Commitments.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20" w:firstLine="324"/>
        <w:spacing w:after="0" w:line="255" w:lineRule="auto"/>
        <w:rPr>
          <w:sz w:val="20"/>
          <w:szCs w:val="20"/>
          <w:color w:val="auto"/>
        </w:rPr>
      </w:pPr>
      <w:r>
        <w:rPr>
          <w:rFonts w:ascii="Arial" w:cs="Arial" w:eastAsia="Arial" w:hAnsi="Arial"/>
          <w:sz w:val="18"/>
          <w:szCs w:val="18"/>
          <w:color w:val="auto"/>
        </w:rPr>
        <w:t>During the third quarter of 2017, the Company and Freedom 3 Opportunities entered into an agreement to create the Joint Venture. The Company and Freedom 3 Opportunities contributed approximately $37 million and $25 million, respectively, in assets to the Joint Venture, which in turn used the assets to capitalize the Fund, which is managed by KCAP Management, LLC, one of the Company’s Asset Manager Affiliates. In addition, the Fund used cash on hand and borrowings under a credit facility to purchase approximately $184 million of loans from the Company and the Company used the proceeds from such sale to redeem approximately $147 million in debt issued by KCAP Senior Funding. The Joint Venture may originate loans from time to time and sell them to the Fund.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5" w:name="page76"/>
    <w:bookmarkEnd w:id="75"/>
    <w:p>
      <w:pPr>
        <w:ind w:right="760" w:firstLine="324"/>
        <w:spacing w:after="0" w:line="264" w:lineRule="auto"/>
        <w:rPr>
          <w:sz w:val="20"/>
          <w:szCs w:val="20"/>
          <w:color w:val="auto"/>
        </w:rPr>
      </w:pPr>
      <w:r>
        <w:rPr>
          <w:rFonts w:ascii="Arial" w:cs="Arial" w:eastAsia="Arial" w:hAnsi="Arial"/>
          <w:sz w:val="18"/>
          <w:szCs w:val="18"/>
          <w:color w:val="auto"/>
        </w:rPr>
        <w:t>During the fourth quarter of 2017, the Fund was refinanced through the issuance of senior and subordinated notes. The Joint Venture purchased 100% of the subordinated notes issued by the Fund. In connection with the refinancing, KCAP received a cash distribution of $12.6 million, $11.8 million of which was a return of capital.</w:t>
      </w:r>
    </w:p>
    <w:p>
      <w:pPr>
        <w:spacing w:after="0" w:line="181" w:lineRule="exact"/>
        <w:rPr>
          <w:sz w:val="20"/>
          <w:szCs w:val="20"/>
          <w:color w:val="auto"/>
        </w:rPr>
      </w:pPr>
    </w:p>
    <w:p>
      <w:pPr>
        <w:ind w:right="1440" w:firstLine="324"/>
        <w:spacing w:after="0" w:line="277" w:lineRule="auto"/>
        <w:rPr>
          <w:sz w:val="20"/>
          <w:szCs w:val="20"/>
          <w:color w:val="auto"/>
        </w:rPr>
      </w:pPr>
      <w:r>
        <w:rPr>
          <w:rFonts w:ascii="Arial" w:cs="Arial" w:eastAsia="Arial" w:hAnsi="Arial"/>
          <w:sz w:val="18"/>
          <w:szCs w:val="18"/>
          <w:color w:val="auto"/>
        </w:rPr>
        <w:t>On July 20, 2017 $147.4 million par value of notes issued by KCAP Senior Funding were repaid in full, resulting in a realized loss on extinguishment of debt of $4.1 million.</w:t>
      </w:r>
    </w:p>
    <w:p>
      <w:pPr>
        <w:spacing w:after="0" w:line="17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and we are limited in our ability to sell our common stock at a price below net asset value per share without stockholder approval (which we currently do not have), we have been and may continue to be limited in our ability to raise equity capital. See “Business — Regulation — Common Stock”.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net investment income, distributable taxable income and the after-tax free cash flow from our Asset Manager Affiliates.</w:t>
      </w:r>
    </w:p>
    <w:p>
      <w:pPr>
        <w:spacing w:after="0" w:line="170"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On March 29, 2018, our Board of Directors, including a “required majority” (as such term is defined in Section 57(o) of the 1940 Act) of the Board, approved the modified asset coverage requirements set forth in Section 61(a)(2) of the 1940 Act, as amended by the SBCA. As a result, our asset coverage requirement for senior securities will be changed from 200% to 150%, effective as of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Distribution</w:t>
            </w:r>
          </w:p>
        </w:tc>
        <w:tc>
          <w:tcPr>
            <w:tcW w:w="2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6/19/2018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7/6/2018</w:t>
            </w:r>
          </w:p>
        </w:tc>
        <w:tc>
          <w:tcPr>
            <w:tcW w:w="1360" w:type="dxa"/>
            <w:vAlign w:val="bottom"/>
          </w:tcPr>
          <w:p>
            <w:pPr>
              <w:jc w:val="right"/>
              <w:spacing w:after="0"/>
              <w:rPr>
                <w:sz w:val="20"/>
                <w:szCs w:val="20"/>
                <w:color w:val="auto"/>
              </w:rPr>
            </w:pPr>
            <w:r>
              <w:rPr>
                <w:rFonts w:ascii="Arial" w:cs="Arial" w:eastAsia="Arial" w:hAnsi="Arial"/>
                <w:sz w:val="18"/>
                <w:szCs w:val="18"/>
                <w:color w:val="auto"/>
              </w:rPr>
              <w:t>7/26/2018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12/13/2017</w:t>
            </w:r>
          </w:p>
        </w:tc>
        <w:tc>
          <w:tcPr>
            <w:tcW w:w="148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9/22/2017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10/10/2017</w:t>
            </w:r>
          </w:p>
        </w:tc>
        <w:tc>
          <w:tcPr>
            <w:tcW w:w="1360" w:type="dxa"/>
            <w:vAlign w:val="bottom"/>
          </w:tcPr>
          <w:p>
            <w:pPr>
              <w:jc w:val="right"/>
              <w:spacing w:after="0"/>
              <w:rPr>
                <w:sz w:val="20"/>
                <w:szCs w:val="20"/>
                <w:color w:val="auto"/>
              </w:rPr>
            </w:pPr>
            <w:r>
              <w:rPr>
                <w:rFonts w:ascii="Arial" w:cs="Arial" w:eastAsia="Arial" w:hAnsi="Arial"/>
                <w:sz w:val="18"/>
                <w:szCs w:val="18"/>
                <w:color w:val="auto"/>
              </w:rPr>
              <w:t>10/26/2017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6/20/2017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3/21/2017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4/7/2017</w:t>
            </w:r>
          </w:p>
        </w:tc>
        <w:tc>
          <w:tcPr>
            <w:tcW w:w="1360" w:type="dxa"/>
            <w:vAlign w:val="bottom"/>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12/14/2016</w:t>
            </w:r>
          </w:p>
        </w:tc>
        <w:tc>
          <w:tcPr>
            <w:tcW w:w="148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9/20/2016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6/21/2016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7/7/2016</w:t>
            </w:r>
          </w:p>
        </w:tc>
        <w:tc>
          <w:tcPr>
            <w:tcW w:w="1360" w:type="dxa"/>
            <w:vAlign w:val="bottom"/>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Total declared in 2016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30"/>
          <w:szCs w:val="30"/>
          <w:color w:val="auto"/>
          <w:vertAlign w:val="superscript"/>
        </w:rPr>
      </w:pPr>
      <w:r>
        <w:rPr>
          <w:rFonts w:ascii="Arial" w:cs="Arial" w:eastAsia="Arial" w:hAnsi="Arial"/>
          <w:sz w:val="18"/>
          <w:szCs w:val="18"/>
          <w:color w:val="auto"/>
        </w:rPr>
        <w:t>Since the record date of this distribution is subsequent to year-end, it is a subsequent year tax event.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2018 and December 31, 2017, the Company had no commitments to fund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44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1580" w:type="dxa"/>
            <w:vAlign w:val="bottom"/>
            <w:gridSpan w:val="3"/>
          </w:tcPr>
          <w:p>
            <w:pPr>
              <w:jc w:val="center"/>
              <w:ind w:right="445"/>
              <w:spacing w:after="0"/>
              <w:rPr>
                <w:sz w:val="20"/>
                <w:szCs w:val="20"/>
                <w:color w:val="auto"/>
              </w:rPr>
            </w:pPr>
            <w:r>
              <w:rPr>
                <w:rFonts w:ascii="Arial" w:cs="Arial" w:eastAsia="Arial" w:hAnsi="Arial"/>
                <w:sz w:val="18"/>
                <w:szCs w:val="18"/>
                <w:b w:val="1"/>
                <w:bCs w:val="1"/>
                <w:color w:val="auto"/>
                <w:w w:val="91"/>
              </w:rPr>
              <w:t>year</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3 - 5 years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105,567,387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98,567,387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207"/>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r>
        <w:rPr>
          <w:rFonts w:ascii="Arial" w:cs="Arial" w:eastAsia="Arial" w:hAnsi="Arial"/>
          <w:sz w:val="17"/>
          <w:szCs w:val="17"/>
          <w:i w:val="1"/>
          <w:iCs w:val="1"/>
          <w:color w:val="auto"/>
        </w:rPr>
        <w: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ind w:left="22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170"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color w:val="auto"/>
        </w:rPr>
        <w:t>The Company follows the provisions of ASC 820: Fair Value Measurements and Disclosures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7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660" w:hanging="328"/>
        <w:spacing w:after="0" w:line="286"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92" w:lineRule="exact"/>
        <w:rPr>
          <w:rFonts w:ascii="Arial" w:cs="Arial" w:eastAsia="Arial" w:hAnsi="Arial"/>
          <w:sz w:val="17"/>
          <w:szCs w:val="17"/>
          <w:color w:val="auto"/>
        </w:rPr>
      </w:pPr>
    </w:p>
    <w:p>
      <w:pPr>
        <w:ind w:left="660" w:right="100" w:hanging="328"/>
        <w:spacing w:after="0" w:line="276" w:lineRule="auto"/>
        <w:tabs>
          <w:tab w:leader="none" w:pos="6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78" w:name="page79"/>
    <w:bookmarkEnd w:id="78"/>
    <w:p>
      <w:pPr>
        <w:ind w:left="660" w:right="80" w:hanging="328"/>
        <w:spacing w:after="0" w:line="293"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16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carries investments in joint ventures at fair value based upon the fair value of the investments held by the joint venture.</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9" w:name="page80"/>
    <w:bookmarkEnd w:id="79"/>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420" w:firstLine="324"/>
        <w:spacing w:after="0" w:line="253" w:lineRule="auto"/>
        <w:rPr>
          <w:sz w:val="20"/>
          <w:szCs w:val="20"/>
          <w:color w:val="auto"/>
        </w:rPr>
      </w:pPr>
      <w:r>
        <w:rPr>
          <w:rFonts w:ascii="Arial" w:cs="Arial" w:eastAsia="Arial" w:hAnsi="Arial"/>
          <w:sz w:val="18"/>
          <w:szCs w:val="18"/>
          <w:color w:val="auto"/>
        </w:rPr>
        <w:t>Interest income, including amortization of premium and accretion of discount and accrual of payment-in-kind (“PIK”) interest,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For investments with PIK interest, which represents contractual interest accrued and added to the principal balance that generally becomes due at maturity, we will not accrue PIK interest if the portfolio company valuation indicates that the PIK interest is not collectible (i.e. via a partial or full non-accrual). Loans which are on partial or full non-accrual remain in such status until the borrower has demonstrated the ability and intent to pay contractual amounts due or such loans become current. As of June 30, 2018, one of our investments was on non-accrual status. As of June 30, 2018, two of our investments were on partial non-accrual status whereby we have recognized income on a portion of contractual PIK amounts due.</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 basis investment income and from the cash distributions actually received by the Company during the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0" w:name="page81"/>
    <w:bookmarkEnd w:id="80"/>
    <w:p>
      <w:pPr>
        <w:ind w:right="4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KCAP F3C Senior Funding, L.L.C., interest is earned at a fixed spread relative to the LIBOR index.</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28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net investment income, distributable taxable income and the after-tax free cash flow from our Asset Manager Affiliates. The following table sets forth the quarterly distributions declared by us for the 2018, 2017 and 2016 calendar years.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Distribution</w:t>
            </w:r>
          </w:p>
        </w:tc>
        <w:tc>
          <w:tcPr>
            <w:tcW w:w="22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6/19/2018</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7/6/2018</w:t>
            </w:r>
          </w:p>
        </w:tc>
        <w:tc>
          <w:tcPr>
            <w:tcW w:w="1360" w:type="dxa"/>
            <w:vAlign w:val="bottom"/>
          </w:tcPr>
          <w:p>
            <w:pPr>
              <w:jc w:val="right"/>
              <w:spacing w:after="0"/>
              <w:rPr>
                <w:sz w:val="20"/>
                <w:szCs w:val="20"/>
                <w:color w:val="auto"/>
              </w:rPr>
            </w:pPr>
            <w:r>
              <w:rPr>
                <w:rFonts w:ascii="Arial" w:cs="Arial" w:eastAsia="Arial" w:hAnsi="Arial"/>
                <w:sz w:val="18"/>
                <w:szCs w:val="18"/>
                <w:color w:val="auto"/>
              </w:rPr>
              <w:t>7/26/2018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declared in 2018</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0.10</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12/13/2017</w:t>
            </w:r>
          </w:p>
        </w:tc>
        <w:tc>
          <w:tcPr>
            <w:tcW w:w="1480" w:type="dxa"/>
            <w:vAlign w:val="bottom"/>
            <w:gridSpan w:val="2"/>
            <w:shd w:val="clear" w:color="auto" w:fill="CCEEFF"/>
          </w:tcPr>
          <w:p>
            <w:pPr>
              <w:jc w:val="right"/>
              <w:ind w:right="120"/>
              <w:spacing w:after="0" w:line="256" w:lineRule="exact"/>
              <w:rPr>
                <w:sz w:val="20"/>
                <w:szCs w:val="20"/>
                <w:color w:val="auto"/>
              </w:rPr>
            </w:pPr>
            <w:r>
              <w:rPr>
                <w:rFonts w:ascii="Arial" w:cs="Arial" w:eastAsia="Arial" w:hAnsi="Arial"/>
                <w:sz w:val="18"/>
                <w:szCs w:val="18"/>
                <w:color w:val="auto"/>
              </w:rPr>
              <w:t>1/5/2018</w:t>
            </w:r>
            <w:r>
              <w:rPr>
                <w:rFonts w:ascii="Arial" w:cs="Arial" w:eastAsia="Arial" w:hAnsi="Arial"/>
                <w:sz w:val="29"/>
                <w:szCs w:val="29"/>
                <w:color w:val="auto"/>
                <w:vertAlign w:val="superscript"/>
              </w:rPr>
              <w:t>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9/22/2017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10/10/2017</w:t>
            </w:r>
          </w:p>
        </w:tc>
        <w:tc>
          <w:tcPr>
            <w:tcW w:w="1360" w:type="dxa"/>
            <w:vAlign w:val="bottom"/>
          </w:tcPr>
          <w:p>
            <w:pPr>
              <w:jc w:val="right"/>
              <w:spacing w:after="0"/>
              <w:rPr>
                <w:sz w:val="20"/>
                <w:szCs w:val="20"/>
                <w:color w:val="auto"/>
              </w:rPr>
            </w:pPr>
            <w:r>
              <w:rPr>
                <w:rFonts w:ascii="Arial" w:cs="Arial" w:eastAsia="Arial" w:hAnsi="Arial"/>
                <w:sz w:val="18"/>
                <w:szCs w:val="18"/>
                <w:color w:val="auto"/>
              </w:rPr>
              <w:t>10/26/2017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6/20/2017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3/21/2017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4/7/2017</w:t>
            </w:r>
          </w:p>
        </w:tc>
        <w:tc>
          <w:tcPr>
            <w:tcW w:w="1360" w:type="dxa"/>
            <w:vAlign w:val="bottom"/>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12/14/2016</w:t>
            </w:r>
          </w:p>
        </w:tc>
        <w:tc>
          <w:tcPr>
            <w:tcW w:w="148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1/6/2017</w:t>
            </w:r>
            <w:r>
              <w:rPr>
                <w:rFonts w:ascii="Arial" w:cs="Arial" w:eastAsia="Arial" w:hAnsi="Arial"/>
                <w:sz w:val="29"/>
                <w:szCs w:val="29"/>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9/20/2016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tcPr>
          <w:p>
            <w:pPr>
              <w:jc w:val="right"/>
              <w:ind w:right="100"/>
              <w:spacing w:after="0"/>
              <w:rPr>
                <w:sz w:val="20"/>
                <w:szCs w:val="20"/>
                <w:color w:val="auto"/>
              </w:rPr>
            </w:pPr>
            <w:r>
              <w:rPr>
                <w:rFonts w:ascii="Arial" w:cs="Arial" w:eastAsia="Arial" w:hAnsi="Arial"/>
                <w:sz w:val="18"/>
                <w:szCs w:val="18"/>
                <w:color w:val="auto"/>
              </w:rPr>
              <w:t>6/21/2016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7/7/2016</w:t>
            </w:r>
          </w:p>
        </w:tc>
        <w:tc>
          <w:tcPr>
            <w:tcW w:w="1360" w:type="dxa"/>
            <w:vAlign w:val="bottom"/>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0.15</w:t>
            </w:r>
          </w:p>
        </w:tc>
        <w:tc>
          <w:tcPr>
            <w:tcW w:w="1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 declared in 2016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30"/>
          <w:szCs w:val="30"/>
          <w:color w:val="auto"/>
          <w:vertAlign w:val="superscript"/>
        </w:rPr>
      </w:pPr>
      <w:r>
        <w:rPr>
          <w:rFonts w:ascii="Arial" w:cs="Arial" w:eastAsia="Arial" w:hAnsi="Arial"/>
          <w:sz w:val="18"/>
          <w:szCs w:val="18"/>
          <w:color w:val="auto"/>
        </w:rPr>
        <w:t>Since the record date of this distribution is subsequent to year-end, it is a subsequent year tax event.</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risks to be fluctuations in interest rates and the valuations of our investment portfolio.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Our investment income is affected by fluctuations in various interest rates, including LIBOR and prime rates. As of June 30, 2018, approximately 83% of our Debt Securities Portfolio were floating rate with a spread to an interest rate index such as LIBOR or the prime rate. Most of these floating rate loans contain LIBOR floors ranging between 1.00% and 3.00%. We generally expect that future portfolio investments will predominately be floating rate investments. As of June 30, 2018, we had $105.6 million (par value) of borrowings outstanding at a current weighted average rate of 6.1%.</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and 6.125% Notes Due 2022 would remain the same, given that this debt is at a fixed rate, while the interest rate on borrowings under the KCAP Funding I, LLC Revolving Credit Facility would fluctuate with changes in interest rates.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ind w:right="6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2018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6000" w:type="dxa"/>
            <w:vAlign w:val="bottom"/>
            <w:gridSpan w:val="10"/>
          </w:tcPr>
          <w:p>
            <w:pPr>
              <w:jc w:val="right"/>
              <w:ind w:right="480"/>
              <w:spacing w:after="0"/>
              <w:rPr>
                <w:sz w:val="20"/>
                <w:szCs w:val="20"/>
                <w:color w:val="auto"/>
              </w:rPr>
            </w:pPr>
            <w:r>
              <w:rPr>
                <w:rFonts w:ascii="Arial" w:cs="Arial" w:eastAsia="Arial" w:hAnsi="Arial"/>
                <w:sz w:val="18"/>
                <w:szCs w:val="18"/>
                <w:b w:val="1"/>
                <w:bCs w:val="1"/>
                <w:color w:val="auto"/>
                <w:w w:val="94"/>
              </w:rPr>
              <w:t>Impact on net investment income from a change in interest rates at: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7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1,110,194</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2,074,730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3,039,267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1040" w:type="dxa"/>
            <w:vAlign w:val="bottom"/>
            <w:shd w:val="clear" w:color="auto" w:fill="CCEEFF"/>
          </w:tcPr>
          <w:p>
            <w:pPr>
              <w:jc w:val="right"/>
              <w:ind w:right="87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(926,895)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(1,027,386)</w:t>
            </w:r>
          </w:p>
        </w:tc>
        <w:tc>
          <w:tcPr>
            <w:tcW w:w="52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(977,231)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$1.1 million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$2.1 million and $3.0 million, respectively.</w:t>
      </w:r>
    </w:p>
    <w:p>
      <w:pPr>
        <w:spacing w:after="0" w:line="171" w:lineRule="exact"/>
        <w:rPr>
          <w:sz w:val="20"/>
          <w:szCs w:val="20"/>
          <w:color w:val="auto"/>
        </w:rPr>
      </w:pPr>
    </w:p>
    <w:p>
      <w:pPr>
        <w:jc w:val="both"/>
        <w:ind w:right="220" w:firstLine="324"/>
        <w:spacing w:after="0" w:line="312" w:lineRule="auto"/>
        <w:rPr>
          <w:sz w:val="20"/>
          <w:szCs w:val="20"/>
          <w:color w:val="auto"/>
        </w:rPr>
      </w:pPr>
      <w:r>
        <w:rPr>
          <w:rFonts w:ascii="Arial" w:cs="Arial" w:eastAsia="Arial" w:hAnsi="Arial"/>
          <w:sz w:val="16"/>
          <w:szCs w:val="16"/>
          <w:color w:val="auto"/>
        </w:rPr>
        <w:t>On an annualized basis, a decrease in interest rates of 1%, 2% and 3% would result in a decrease in net investment income of approximately $927,000, $1,027,000 and $977,000, respectively. The negative impact of a 3% decline in interest rates is less severe than the impact of a 2% decline in interest rates due to the impact of interest rate floors on certain of our floating rate investments, as there is no floor on our floating rate debt facility.</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June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178"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since our last Annual Report filed on Form 10-K for the period ended December 31, 2017 that have materially affected, or are reasonably likely to materially affect, our internal control over financial reporting.</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Since May 2015, the staff of the Division of Enforcement of the U.S. Securities and Exchange Commission (the “Staff”) has been conducting an informal investigation primarily concerning the restatement disclosed by the Company in its Form 10-K for the year ended December 31, 2014. The Company has cooperated with the Staff’s investigation and recently has engaged in discussions with the Staff about a potential resolution of the investigation. Based on these discussions, the Company does not expect that any settlement would have a material adverse impact on the Company’s financial condition or results of operations.</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2017,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 has approved our ability to incur additional leverage as permitted by recent legislation.</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1940 Act generally prohibits us from incurring indebtedness unless immediately after such borrowing we have an asset coverage for total borrowings of at least 200% (i.e., the amount of debt may not exceed 50% of the value of our assets). However, the recently enacted SBCA, discussed above, has modified the 1940 Act by allowing a BDC to increase the maximum amount of leverage it may incur from an asset coverage ratio of 200% to an asset coverage ratio of 150%, if certain requirements are met. In other words, prior to the enactment of the SBCA, a BDC could borrow $1 for investment purposes for every $1 of investor equity. Now, for those BDCs that satisfy the SBCA’s approval and disclosure requirements, the BDC can borrow $2 for investment purposes for every $1 of investor equity. Under the SBCA, we are allowed to increase our leverage capacity if shareholders representing at least a majority of the votes cast, when quorum is met, approve a proposal to do so. If we receive shareholder approval, we would be allowed to increase our leverage capacity on the first day after such approval. Alternatively, the SBCA allows the “required majority” of our independent directors, as defined in Section 57(o) of the 1940 Act, to approve an increase in our leverage capacity, and such approval would become effective after one year. In either case, we would be required to make certain disclosures on our website and in SEC filings regarding, among other things, the receipt of approval to increase our leverage, our leverage capacity and usage, and risks related to leverage.</w:t>
      </w:r>
    </w:p>
    <w:p>
      <w:pPr>
        <w:spacing w:after="0" w:line="18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accordance with the SBCA, on March 29, 2018, our board of directors, including a “required majority” approved the modified asset coverage requirements set forth in Section 61(a)(2) of the 1940 Act. As a result, our asset coverage requirements for senior securities will change from 200% to 150%, effective March 29, 2019. However, despite the SBCA, we will continue to be prohibited by the indentures governing our 7.375% Notes and 6.125% Notes from making distributions on our common stock if our asset coverage, as defined in the 1940 Act, falls below 200%. In any such event, we would be prohibited from making distributions required in order to maintain our status as a RIC.</w:t>
      </w:r>
    </w:p>
    <w:p>
      <w:pPr>
        <w:spacing w:after="0" w:line="18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application of the risk retention rules under Section 941 of the Dodd-Frank Act to CLOs may have broader effects on the CLO and loan markets in general, potentially resulting in fewer or less desirable investment opportunities for 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ind w:firstLine="324"/>
        <w:spacing w:after="0" w:line="273" w:lineRule="auto"/>
        <w:rPr>
          <w:sz w:val="20"/>
          <w:szCs w:val="20"/>
          <w:color w:val="auto"/>
        </w:rPr>
      </w:pPr>
      <w:r>
        <w:rPr>
          <w:rFonts w:ascii="Arial" w:cs="Arial" w:eastAsia="Arial" w:hAnsi="Arial"/>
          <w:sz w:val="17"/>
          <w:szCs w:val="17"/>
          <w:color w:val="auto"/>
        </w:rPr>
        <w:t>Section 941 of the Dodd-Frank Act added a provision to the Exchange Act requiring the seller, sponsor or securitizer of a securitization vehicle to retain no less than five percent of the credit risk in assets it sells into a securitization and prohibiting such securitizer from directly or indirectly hedging or otherwise transferring the retained credit risk. The responsible federal agencies adopted final rules implementing these restrictions on October 22, 2014. The U.S. risk retention rules became effective with respect to CLOs two years after publication in the Federal Register. Under the final rules, the asset manager of a CLO is considered the sponsor of a securitization vehicle and is required to retain five percent of the credit risk in the CLO, which may be retained horizontally in the equity tranche of the CLO or vertically as a five percent interest in each tranche of the securities issued by the CLO.</w:t>
      </w:r>
    </w:p>
    <w:p>
      <w:pPr>
        <w:spacing w:after="0" w:line="17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February 9, 2018, the United States Court of Appeals for the District of Columbia (the “D.C. Circuit Court”) ruled in favor of an appeal brought by the Loan Syndications and Trading Association (the “LSTA”) against the SEC and the Board of Governors of the Federal Reserve System (the “Applicable Governmental Agencies”) that managers of so-called “open market CLOs” are not “securitizers” under Section 941 of the Dodd-Frank Act and, therefore, are not subject to the requirements of the U.S. risk retention rules (the "Appellate Court Ruling"). The LSTA was appealing from a judgment entered by the United States District Court for the District of Columbia (the "D.C. District Court"), which granted summary judgment in favor of the SEC and Federal Reserve and against the LSTA with respect to its challenges.</w:t>
      </w:r>
    </w:p>
    <w:p>
      <w:pPr>
        <w:spacing w:after="0" w:line="193"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April 5, 2018, the D.C. District Court entered an order implementing the Appellate Court Ruling and thereby vacated the U.S. risk retention rules insofar as they apply to CLO managers of “open market CLOs.” In addition, the Applicable Governmental Agencies did not request that the case be heard by the United States Supreme Court. Since the Applicable Governmental Agencies have not successfully challenged the Appellate Court Ruling and the D.C. District Court has issued the above described order implementing the Appellate Court Ruling, collateral managers of open market CLOs are no longer required to comply with the U.S. risk retention rules at this time. As such, it is possible that some collateral managers of open market CLOs will decide to dispose of the notes constituting the “eligible vertical interest” or “eligible horizontal interest” they were previously required to retain, or decide to take other action with respect to such notes that is not otherwise permitted by the U.S. risk retention rules. As a result of this decision, certain CLO managers of "open market CLOs" will no longer be required to comply with the U.S. risk retention rules solely because of their roles as managers of "open market CLOs", and there may be no "sponsor" of such securitization transactions and no party may be required to acquire and retain an economic interest in the credit risk of the securitized assets of such transactions.</w:t>
      </w:r>
    </w:p>
    <w:p>
      <w:pPr>
        <w:spacing w:after="0" w:line="178"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six months ended June 30, 2018, we issued a total of 31,048 shares of common stock under our dividend reinvestment plan (“DRIP”). This issuance was not subject to the registration requirements of the Securities Act of 1933. For the six months ended June 30, 2018, the aggregate value of the shares of our common stock issued under our DRIP was approximately $102,000.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905" w:right="7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KCAP FINANCIAL,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1, 2018</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Edward U. Gilpin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4"/>
              </w:rPr>
              <w:t>Edward U. Gilpin</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bl>
    <w:p>
      <w:pPr>
        <w:ind w:left="72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8" w:name="page89"/>
    <w:bookmarkEnd w:id="88"/>
    <w:p>
      <w:pPr>
        <w:spacing w:after="0" w:line="200" w:lineRule="exact"/>
        <w:rPr>
          <w:sz w:val="20"/>
          <w:szCs w:val="20"/>
          <w:color w:val="auto"/>
        </w:rPr>
      </w:pPr>
    </w:p>
    <w:p>
      <w:pPr>
        <w:spacing w:after="0" w:line="23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89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2.1</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3.1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3.2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4.1</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4.2</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4.3</w:t>
        </w:r>
      </w:hyperlink>
    </w:p>
    <w:p>
      <w:pPr>
        <w:spacing w:after="0" w:line="200" w:lineRule="exact"/>
        <w:rPr>
          <w:sz w:val="20"/>
          <w:szCs w:val="20"/>
          <w:color w:val="auto"/>
        </w:rPr>
      </w:pPr>
    </w:p>
    <w:p>
      <w:pPr>
        <w:spacing w:after="0" w:line="282"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4.4</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4.5</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4.6</w:t>
        </w:r>
      </w:hyperlink>
    </w:p>
    <w:p>
      <w:pPr>
        <w:spacing w:after="0" w:line="266"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11.1</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31.1**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31.2**</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32.1**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32.2**</w:t>
        </w:r>
      </w:hyperlink>
    </w:p>
    <w:p>
      <w:pPr>
        <w:spacing w:after="0" w:line="20" w:lineRule="exact"/>
        <w:rPr>
          <w:sz w:val="20"/>
          <w:szCs w:val="20"/>
          <w:color w:val="auto"/>
        </w:rPr>
      </w:pPr>
      <w:r>
        <w:rPr>
          <w:sz w:val="20"/>
          <w:szCs w:val="20"/>
          <w:color w:val="auto"/>
        </w:rPr>
        <w:br w:type="column"/>
      </w:r>
    </w:p>
    <w:p>
      <w:pPr>
        <w:ind w:left="39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64490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223" w:lineRule="exact"/>
        <w:rPr>
          <w:sz w:val="20"/>
          <w:szCs w:val="20"/>
          <w:color w:val="auto"/>
        </w:rPr>
      </w:pPr>
    </w:p>
    <w:p>
      <w:pPr>
        <w:ind w:right="360"/>
        <w:spacing w:after="0" w:line="269" w:lineRule="auto"/>
        <w:rPr>
          <w:rFonts w:ascii="Arial" w:cs="Arial" w:eastAsia="Arial" w:hAnsi="Arial"/>
          <w:sz w:val="18"/>
          <w:szCs w:val="18"/>
          <w:u w:val="single" w:color="auto"/>
          <w:color w:val="0000EE"/>
        </w:rPr>
      </w:pPr>
      <w:hyperlink r:id="rId112">
        <w:r>
          <w:rPr>
            <w:rFonts w:ascii="Arial" w:cs="Arial" w:eastAsia="Arial" w:hAnsi="Arial"/>
            <w:sz w:val="18"/>
            <w:szCs w:val="18"/>
            <w:u w:val="single" w:color="auto"/>
            <w:color w:val="0000EE"/>
          </w:rPr>
          <w:t>Purchase and Sale Agreement, dated February 29, 2012, by and among Kohlberg Capital Corporation (the “Company”), Commodore</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Holdings, L.L.C., Trimaran Advisors, L.L.C., HBK Caravelle, L.L.C., Trimaran Fund Management, L.L.C., Jay R. Bloom, and Dean C.</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Kehler.</w:t>
        </w:r>
        <w:r>
          <w:rPr>
            <w:rFonts w:ascii="Arial" w:cs="Arial" w:eastAsia="Arial" w:hAnsi="Arial"/>
            <w:sz w:val="30"/>
            <w:szCs w:val="30"/>
            <w:u w:val="single" w:color="auto"/>
            <w:color w:val="0000EE"/>
            <w:vertAlign w:val="superscript"/>
          </w:rPr>
          <w:t>(1)</w:t>
        </w:r>
      </w:hyperlink>
    </w:p>
    <w:p>
      <w:pPr>
        <w:spacing w:after="0" w:line="5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Form of Certificate of Incorporation of the Company.</w:t>
        </w:r>
      </w:hyperlink>
      <w:r>
        <w:rPr>
          <w:rFonts w:ascii="Arial" w:cs="Arial" w:eastAsia="Arial" w:hAnsi="Arial"/>
          <w:sz w:val="30"/>
          <w:szCs w:val="30"/>
          <w:u w:val="single" w:color="auto"/>
          <w:color w:val="0000EE"/>
          <w:vertAlign w:val="superscript"/>
        </w:rPr>
        <w:t>(2)</w:t>
      </w:r>
    </w:p>
    <w:p>
      <w:pPr>
        <w:spacing w:after="0" w:line="12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Form of Bylaws of the Company, as amended and restated effective February 29, 2012.</w:t>
        </w:r>
      </w:hyperlink>
      <w:r>
        <w:rPr>
          <w:rFonts w:ascii="Arial" w:cs="Arial" w:eastAsia="Arial" w:hAnsi="Arial"/>
          <w:sz w:val="30"/>
          <w:szCs w:val="30"/>
          <w:u w:val="single" w:color="auto"/>
          <w:color w:val="0000EE"/>
          <w:vertAlign w:val="superscript"/>
        </w:rPr>
        <w:t>(3)</w:t>
      </w:r>
    </w:p>
    <w:p>
      <w:pPr>
        <w:spacing w:after="0" w:line="12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Form of Dividend Reinvestment Plan.</w:t>
        </w:r>
      </w:hyperlink>
      <w:r>
        <w:rPr>
          <w:rFonts w:ascii="Arial" w:cs="Arial" w:eastAsia="Arial" w:hAnsi="Arial"/>
          <w:sz w:val="30"/>
          <w:szCs w:val="30"/>
          <w:u w:val="single" w:color="auto"/>
          <w:color w:val="0000EE"/>
          <w:vertAlign w:val="superscript"/>
        </w:rPr>
        <w:t>(4)</w:t>
      </w:r>
    </w:p>
    <w:p>
      <w:pPr>
        <w:spacing w:after="0" w:line="12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Base Indenture between the Company, as Issuer, and U.S. Bank National Association, as Trustee</w:t>
        </w:r>
      </w:hyperlink>
      <w:r>
        <w:rPr>
          <w:rFonts w:ascii="Arial" w:cs="Arial" w:eastAsia="Arial" w:hAnsi="Arial"/>
          <w:sz w:val="30"/>
          <w:szCs w:val="30"/>
          <w:u w:val="single" w:color="auto"/>
          <w:color w:val="0000EE"/>
          <w:vertAlign w:val="superscript"/>
        </w:rPr>
        <w:t>(5)</w:t>
      </w:r>
    </w:p>
    <w:p>
      <w:pPr>
        <w:spacing w:after="0" w:line="124" w:lineRule="exact"/>
        <w:rPr>
          <w:rFonts w:ascii="Arial" w:cs="Arial" w:eastAsia="Arial" w:hAnsi="Arial"/>
          <w:sz w:val="18"/>
          <w:szCs w:val="18"/>
          <w:u w:val="single" w:color="auto"/>
          <w:color w:val="0000EE"/>
        </w:rPr>
      </w:pPr>
    </w:p>
    <w:p>
      <w:pPr>
        <w:ind w:right="120"/>
        <w:spacing w:after="0" w:line="280" w:lineRule="auto"/>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Form of First Supplemental Indenture between the Company and U.S. Bank National Association relating to the 7.375% Senior Notes Due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2019</w:t>
        </w:r>
        <w:r>
          <w:rPr>
            <w:rFonts w:ascii="Arial" w:cs="Arial" w:eastAsia="Arial" w:hAnsi="Arial"/>
            <w:sz w:val="30"/>
            <w:szCs w:val="30"/>
            <w:u w:val="single" w:color="auto"/>
            <w:color w:val="0000EE"/>
            <w:vertAlign w:val="superscript"/>
          </w:rPr>
          <w:t>(5)</w:t>
        </w:r>
      </w:hyperlink>
    </w:p>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Form of Note relating to the 7.375% Senior Notes Due 2019 (included as part of Exhibit 4.3)</w:t>
        </w:r>
      </w:hyperlink>
      <w:r>
        <w:rPr>
          <w:rFonts w:ascii="Arial" w:cs="Arial" w:eastAsia="Arial" w:hAnsi="Arial"/>
          <w:sz w:val="30"/>
          <w:szCs w:val="30"/>
          <w:u w:val="single" w:color="auto"/>
          <w:color w:val="0000EE"/>
          <w:vertAlign w:val="superscript"/>
        </w:rPr>
        <w:t>(5)</w:t>
      </w:r>
    </w:p>
    <w:p>
      <w:pPr>
        <w:spacing w:after="0" w:line="128" w:lineRule="exact"/>
        <w:rPr>
          <w:sz w:val="20"/>
          <w:szCs w:val="20"/>
          <w:color w:val="auto"/>
        </w:rPr>
      </w:pPr>
    </w:p>
    <w:p>
      <w:pPr>
        <w:spacing w:after="0"/>
        <w:rPr>
          <w:rFonts w:ascii="Arial" w:cs="Arial" w:eastAsia="Arial" w:hAnsi="Arial"/>
          <w:sz w:val="17"/>
          <w:szCs w:val="17"/>
          <w:u w:val="single" w:color="auto"/>
          <w:color w:val="0000EE"/>
        </w:rPr>
      </w:pPr>
      <w:hyperlink r:id="rId118">
        <w:r>
          <w:rPr>
            <w:rFonts w:ascii="Arial" w:cs="Arial" w:eastAsia="Arial" w:hAnsi="Arial"/>
            <w:sz w:val="17"/>
            <w:szCs w:val="17"/>
            <w:u w:val="single" w:color="auto"/>
            <w:color w:val="0000EE"/>
          </w:rPr>
          <w:t>Second Supplemental Indenture between the Company and U.S. Bank National Association relating to the 6.125% Notes Due 2022</w:t>
        </w:r>
      </w:hyperlink>
      <w:r>
        <w:rPr>
          <w:rFonts w:ascii="Arial" w:cs="Arial" w:eastAsia="Arial" w:hAnsi="Arial"/>
          <w:sz w:val="28"/>
          <w:szCs w:val="28"/>
          <w:u w:val="single" w:color="auto"/>
          <w:color w:val="0000EE"/>
          <w:vertAlign w:val="superscript"/>
        </w:rPr>
        <w:t>(6)</w:t>
      </w:r>
    </w:p>
    <w:p>
      <w:pPr>
        <w:spacing w:after="0" w:line="151" w:lineRule="exact"/>
        <w:rPr>
          <w:sz w:val="20"/>
          <w:szCs w:val="20"/>
          <w:color w:val="auto"/>
        </w:rPr>
      </w:pPr>
    </w:p>
    <w:p>
      <w:pPr>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Form of 6.125% Notes Due 2022 (included as part of Exhibit 4.5).</w:t>
        </w:r>
      </w:hyperlink>
      <w:r>
        <w:rPr>
          <w:rFonts w:ascii="Arial" w:cs="Arial" w:eastAsia="Arial" w:hAnsi="Arial"/>
          <w:sz w:val="30"/>
          <w:szCs w:val="30"/>
          <w:u w:val="single" w:color="auto"/>
          <w:color w:val="0000EE"/>
          <w:vertAlign w:val="superscript"/>
        </w:rPr>
        <w:t>(6)</w:t>
      </w:r>
    </w:p>
    <w:p>
      <w:pPr>
        <w:spacing w:after="0" w:line="124"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Computation of Per Share Earnings (included in the notes to the unaudited financial statements contained in this report).</w:t>
        </w:r>
      </w:hyperlink>
    </w:p>
    <w:p>
      <w:pPr>
        <w:spacing w:after="0" w:line="225" w:lineRule="exact"/>
        <w:rPr>
          <w:sz w:val="20"/>
          <w:szCs w:val="20"/>
          <w:color w:val="auto"/>
        </w:rPr>
      </w:pPr>
    </w:p>
    <w:p>
      <w:pPr>
        <w:ind w:right="440"/>
        <w:spacing w:after="0" w:line="277" w:lineRule="auto"/>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Certification of Chief Executive Officer Pursuant to Rule 13a-14(a) under the Securities Exchange Act of 1934, as adopted pursuant to</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Section 302 of the Sarbanes-Oxley Act of 2002.</w:t>
        </w:r>
      </w:hyperlink>
    </w:p>
    <w:p>
      <w:pPr>
        <w:spacing w:after="0" w:line="170" w:lineRule="exact"/>
        <w:rPr>
          <w:sz w:val="20"/>
          <w:szCs w:val="20"/>
          <w:color w:val="auto"/>
        </w:rPr>
      </w:pPr>
    </w:p>
    <w:p>
      <w:pPr>
        <w:ind w:right="480"/>
        <w:spacing w:after="0" w:line="277" w:lineRule="auto"/>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Certification of Chief Financial Officer Pursuant to Rule 13a-14(a) under the Securities Exchange Act of 1934, as adopted pursuant to</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Section 302 of the Sarbanes-Oxley Act of 2002.</w:t>
        </w:r>
      </w:hyperlink>
    </w:p>
    <w:p>
      <w:pPr>
        <w:spacing w:after="0" w:line="170" w:lineRule="exact"/>
        <w:rPr>
          <w:sz w:val="20"/>
          <w:szCs w:val="20"/>
          <w:color w:val="auto"/>
        </w:rPr>
      </w:pPr>
    </w:p>
    <w:p>
      <w:pPr>
        <w:ind w:right="400"/>
        <w:spacing w:after="0" w:line="277" w:lineRule="auto"/>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Certification of Chief Executive Officer Pursuant to 18 U. S. C. 1350, as adopted pursuant to Section 906 of the Sarbanes-Oxley Act of</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2002.</w:t>
        </w:r>
      </w:hyperlink>
    </w:p>
    <w:p>
      <w:pPr>
        <w:spacing w:after="0" w:line="170" w:lineRule="exact"/>
        <w:rPr>
          <w:sz w:val="20"/>
          <w:szCs w:val="20"/>
          <w:color w:val="auto"/>
        </w:rPr>
      </w:pPr>
    </w:p>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Certification of Chief Financial Officer Pursuant to 18 U. S. C. 1350, as adopted pursuant to Section 906 of the Sarbanes-Oxley Act of 2002.</w:t>
        </w:r>
      </w:hyperlink>
    </w:p>
    <w:p>
      <w:pPr>
        <w:spacing w:after="0" w:line="200" w:lineRule="exact"/>
        <w:rPr>
          <w:sz w:val="20"/>
          <w:szCs w:val="20"/>
          <w:color w:val="auto"/>
        </w:rPr>
      </w:pPr>
    </w:p>
    <w:p>
      <w:pPr>
        <w:spacing w:after="0" w:line="26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640" w:space="620"/>
            <w:col w:w="10140"/>
          </w:cols>
          <w:pgMar w:left="240" w:top="904" w:right="25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520" w:hanging="188"/>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520" w:hanging="188"/>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2018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60" w:firstLine="332"/>
        <w:spacing w:after="0" w:line="264" w:lineRule="auto"/>
        <w:tabs>
          <w:tab w:leader="none" w:pos="504"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80" w:firstLine="332"/>
        <w:spacing w:after="0" w:line="264" w:lineRule="auto"/>
        <w:tabs>
          <w:tab w:leader="none" w:pos="5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4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2018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2018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84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x"/>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bullet"/>
      <w:start w:val="1"/>
    </w:lvl>
  </w:abstractNum>
  <w:abstractNum w:abstractNumId="3">
    <w:nsid w:val="5E884ADC"/>
    <w:multiLevelType w:val="hybridMultilevel"/>
    <w:lvl w:ilvl="0">
      <w:lvlJc w:val="left"/>
      <w:lvlText w:val="2"/>
      <w:numFmt w:val="bullet"/>
      <w:start w:val="1"/>
    </w:lvl>
  </w:abstractNum>
  <w:abstractNum w:abstractNumId="4">
    <w:nsid w:val="51EAD36B"/>
    <w:multiLevelType w:val="hybridMultilevel"/>
    <w:lvl w:ilvl="0">
      <w:lvlJc w:val="left"/>
      <w:lvlText w:val="3"/>
      <w:numFmt w:val="bullet"/>
      <w:start w:val="1"/>
    </w:lvl>
  </w:abstractNum>
  <w:abstractNum w:abstractNumId="5">
    <w:nsid w:val="2D517796"/>
    <w:multiLevelType w:val="hybridMultilevel"/>
    <w:lvl w:ilvl="0">
      <w:lvlJc w:val="left"/>
      <w:lvlText w:val="4"/>
      <w:numFmt w:val="bullet"/>
      <w:start w:val="1"/>
    </w:lvl>
  </w:abstractNum>
  <w:abstractNum w:abstractNumId="6">
    <w:nsid w:val="580BD78F"/>
    <w:multiLevelType w:val="hybridMultilevel"/>
    <w:lvl w:ilvl="0">
      <w:lvlJc w:val="left"/>
      <w:lvlText w:val="5"/>
      <w:numFmt w:val="bullet"/>
      <w:start w:val="1"/>
    </w:lvl>
  </w:abstractNum>
  <w:abstractNum w:abstractNumId="7">
    <w:nsid w:val="153EA438"/>
    <w:multiLevelType w:val="hybridMultilevel"/>
    <w:lvl w:ilvl="0">
      <w:lvlJc w:val="left"/>
      <w:lvlText w:val="6"/>
      <w:numFmt w:val="bullet"/>
      <w:start w:val="1"/>
    </w:lvl>
  </w:abstractNum>
  <w:abstractNum w:abstractNumId="8">
    <w:nsid w:val="3855585C"/>
    <w:multiLevelType w:val="hybridMultilevel"/>
    <w:lvl w:ilvl="0">
      <w:lvlJc w:val="left"/>
      <w:lvlText w:val="7"/>
      <w:numFmt w:val="bullet"/>
      <w:start w:val="1"/>
    </w:lvl>
  </w:abstractNum>
  <w:abstractNum w:abstractNumId="9">
    <w:nsid w:val="70A64E2A"/>
    <w:multiLevelType w:val="hybridMultilevel"/>
    <w:lvl w:ilvl="0">
      <w:lvlJc w:val="left"/>
      <w:lvlText w:val="8"/>
      <w:numFmt w:val="bullet"/>
      <w:start w:val="1"/>
    </w:lvl>
  </w:abstractNum>
  <w:abstractNum w:abstractNumId="10">
    <w:nsid w:val="6A2342EC"/>
    <w:multiLevelType w:val="hybridMultilevel"/>
    <w:lvl w:ilvl="0">
      <w:lvlJc w:val="left"/>
      <w:lvlText w:val="9"/>
      <w:numFmt w:val="bullet"/>
      <w:start w:val="1"/>
    </w:lvl>
  </w:abstractNum>
  <w:abstractNum w:abstractNumId="11">
    <w:nsid w:val="2A487CB0"/>
    <w:multiLevelType w:val="hybridMultilevel"/>
    <w:lvl w:ilvl="0">
      <w:lvlJc w:val="left"/>
      <w:lvlText w:val="%1"/>
      <w:numFmt w:val="decimal"/>
      <w:start w:val="10"/>
    </w:lvl>
  </w:abstractNum>
  <w:abstractNum w:abstractNumId="12">
    <w:nsid w:val="1D4ED43B"/>
    <w:multiLevelType w:val="hybridMultilevel"/>
    <w:lvl w:ilvl="0">
      <w:lvlJc w:val="left"/>
      <w:lvlText w:val="1"/>
      <w:numFmt w:val="bullet"/>
      <w:start w:val="1"/>
    </w:lvl>
  </w:abstractNum>
  <w:abstractNum w:abstractNumId="13">
    <w:nsid w:val="725A06FB"/>
    <w:multiLevelType w:val="hybridMultilevel"/>
    <w:lvl w:ilvl="0">
      <w:lvlJc w:val="left"/>
      <w:lvlText w:val="2"/>
      <w:numFmt w:val="bullet"/>
      <w:start w:val="1"/>
    </w:lvl>
  </w:abstractNum>
  <w:abstractNum w:abstractNumId="14">
    <w:nsid w:val="2CD89A32"/>
    <w:multiLevelType w:val="hybridMultilevel"/>
    <w:lvl w:ilvl="0">
      <w:lvlJc w:val="left"/>
      <w:lvlText w:val="3"/>
      <w:numFmt w:val="bullet"/>
      <w:start w:val="1"/>
    </w:lvl>
  </w:abstractNum>
  <w:abstractNum w:abstractNumId="15">
    <w:nsid w:val="57E4CCAF"/>
    <w:multiLevelType w:val="hybridMultilevel"/>
    <w:lvl w:ilvl="0">
      <w:lvlJc w:val="left"/>
      <w:lvlText w:val="4"/>
      <w:numFmt w:val="bullet"/>
      <w:start w:val="1"/>
    </w:lvl>
  </w:abstractNum>
  <w:abstractNum w:abstractNumId="16">
    <w:nsid w:val="7A6D8D3C"/>
    <w:multiLevelType w:val="hybridMultilevel"/>
    <w:lvl w:ilvl="0">
      <w:lvlJc w:val="left"/>
      <w:lvlText w:val="5"/>
      <w:numFmt w:val="bullet"/>
      <w:start w:val="1"/>
    </w:lvl>
  </w:abstractNum>
  <w:abstractNum w:abstractNumId="17">
    <w:nsid w:val="4B588F54"/>
    <w:multiLevelType w:val="hybridMultilevel"/>
    <w:lvl w:ilvl="0">
      <w:lvlJc w:val="left"/>
      <w:lvlText w:val="6"/>
      <w:numFmt w:val="bullet"/>
      <w:start w:val="1"/>
    </w:lvl>
  </w:abstractNum>
  <w:abstractNum w:abstractNumId="18">
    <w:nsid w:val="542289EC"/>
    <w:multiLevelType w:val="hybridMultilevel"/>
    <w:lvl w:ilvl="0">
      <w:lvlJc w:val="left"/>
      <w:lvlText w:val="7"/>
      <w:numFmt w:val="bullet"/>
      <w:start w:val="1"/>
    </w:lvl>
  </w:abstractNum>
  <w:abstractNum w:abstractNumId="19">
    <w:nsid w:val="6DE91B18"/>
    <w:multiLevelType w:val="hybridMultilevel"/>
    <w:lvl w:ilvl="0">
      <w:lvlJc w:val="left"/>
      <w:lvlText w:val="8"/>
      <w:numFmt w:val="bullet"/>
      <w:start w:val="1"/>
    </w:lvl>
  </w:abstractNum>
  <w:abstractNum w:abstractNumId="20">
    <w:nsid w:val="38437FDB"/>
    <w:multiLevelType w:val="hybridMultilevel"/>
    <w:lvl w:ilvl="0">
      <w:lvlJc w:val="left"/>
      <w:lvlText w:val="9"/>
      <w:numFmt w:val="bullet"/>
      <w:start w:val="1"/>
    </w:lvl>
  </w:abstractNum>
  <w:abstractNum w:abstractNumId="21">
    <w:nsid w:val="7644A45C"/>
    <w:multiLevelType w:val="hybridMultilevel"/>
    <w:lvl w:ilvl="0">
      <w:lvlJc w:val="left"/>
      <w:lvlText w:val="%1"/>
      <w:numFmt w:val="decimal"/>
      <w:start w:val="10"/>
    </w:lvl>
  </w:abstractNum>
  <w:abstractNum w:abstractNumId="22">
    <w:nsid w:val="32FFF902"/>
    <w:multiLevelType w:val="hybridMultilevel"/>
    <w:lvl w:ilvl="0">
      <w:lvlJc w:val="left"/>
      <w:lvlText w:val="1"/>
      <w:numFmt w:val="bullet"/>
      <w:start w:val="1"/>
    </w:lvl>
  </w:abstractNum>
  <w:abstractNum w:abstractNumId="23">
    <w:nsid w:val="684A481A"/>
    <w:multiLevelType w:val="hybridMultilevel"/>
    <w:lvl w:ilvl="0">
      <w:lvlJc w:val="left"/>
      <w:lvlText w:val="2"/>
      <w:numFmt w:val="bullet"/>
      <w:start w:val="1"/>
    </w:lvl>
  </w:abstractNum>
  <w:abstractNum w:abstractNumId="24">
    <w:nsid w:val="579478FE"/>
    <w:multiLevelType w:val="hybridMultilevel"/>
    <w:lvl w:ilvl="0">
      <w:lvlJc w:val="left"/>
      <w:lvlText w:val="3"/>
      <w:numFmt w:val="bullet"/>
      <w:start w:val="1"/>
    </w:lvl>
  </w:abstractNum>
  <w:abstractNum w:abstractNumId="25">
    <w:nsid w:val="749ABB43"/>
    <w:multiLevelType w:val="hybridMultilevel"/>
    <w:lvl w:ilvl="0">
      <w:lvlJc w:val="left"/>
      <w:lvlText w:val="4"/>
      <w:numFmt w:val="bullet"/>
      <w:start w:val="1"/>
    </w:lvl>
  </w:abstractNum>
  <w:abstractNum w:abstractNumId="26">
    <w:nsid w:val="3DC240FB"/>
    <w:multiLevelType w:val="hybridMultilevel"/>
    <w:lvl w:ilvl="0">
      <w:lvlJc w:val="left"/>
      <w:lvlText w:val="5"/>
      <w:numFmt w:val="bullet"/>
      <w:start w:val="1"/>
    </w:lvl>
  </w:abstractNum>
  <w:abstractNum w:abstractNumId="27">
    <w:nsid w:val="1BA026FA"/>
    <w:multiLevelType w:val="hybridMultilevel"/>
    <w:lvl w:ilvl="0">
      <w:lvlJc w:val="left"/>
      <w:lvlText w:val="6"/>
      <w:numFmt w:val="bullet"/>
      <w:start w:val="1"/>
    </w:lvl>
  </w:abstractNum>
  <w:abstractNum w:abstractNumId="28">
    <w:nsid w:val="79A1DEAA"/>
    <w:multiLevelType w:val="hybridMultilevel"/>
    <w:lvl w:ilvl="0">
      <w:lvlJc w:val="left"/>
      <w:lvlText w:val="%1."/>
      <w:numFmt w:val="decimal"/>
      <w:start w:val="2"/>
    </w:lvl>
  </w:abstractNum>
  <w:abstractNum w:abstractNumId="29">
    <w:nsid w:val="75C6C33A"/>
    <w:multiLevelType w:val="hybridMultilevel"/>
    <w:lvl w:ilvl="0">
      <w:lvlJc w:val="left"/>
      <w:lvlText w:val="1"/>
      <w:numFmt w:val="bullet"/>
      <w:start w:val="1"/>
    </w:lvl>
  </w:abstractNum>
  <w:abstractNum w:abstractNumId="30">
    <w:nsid w:val="12E685FB"/>
    <w:multiLevelType w:val="hybridMultilevel"/>
    <w:lvl w:ilvl="0">
      <w:lvlJc w:val="left"/>
      <w:lvlText w:val="2"/>
      <w:numFmt w:val="bullet"/>
      <w:start w:val="1"/>
    </w:lvl>
  </w:abstractNum>
  <w:abstractNum w:abstractNumId="31">
    <w:nsid w:val="70C6A529"/>
    <w:multiLevelType w:val="hybridMultilevel"/>
    <w:lvl w:ilvl="0">
      <w:lvlJc w:val="left"/>
      <w:lvlText w:val="3"/>
      <w:numFmt w:val="bullet"/>
      <w:start w:val="1"/>
    </w:lvl>
  </w:abstractNum>
  <w:abstractNum w:abstractNumId="32">
    <w:nsid w:val="520EEDD1"/>
    <w:multiLevelType w:val="hybridMultilevel"/>
    <w:lvl w:ilvl="0">
      <w:lvlJc w:val="left"/>
      <w:lvlText w:val="1"/>
      <w:numFmt w:val="bullet"/>
      <w:start w:val="1"/>
    </w:lvl>
  </w:abstractNum>
  <w:abstractNum w:abstractNumId="33">
    <w:nsid w:val="374A3FE6"/>
    <w:multiLevelType w:val="hybridMultilevel"/>
    <w:lvl w:ilvl="0">
      <w:lvlJc w:val="left"/>
      <w:lvlText w:val="2"/>
      <w:numFmt w:val="bullet"/>
      <w:start w:val="1"/>
    </w:lvl>
  </w:abstractNum>
  <w:abstractNum w:abstractNumId="34">
    <w:nsid w:val="4F4EF005"/>
    <w:multiLevelType w:val="hybridMultilevel"/>
    <w:lvl w:ilvl="0">
      <w:lvlJc w:val="left"/>
      <w:lvlText w:val="1"/>
      <w:numFmt w:val="bullet"/>
      <w:start w:val="1"/>
    </w:lvl>
  </w:abstractNum>
  <w:abstractNum w:abstractNumId="35">
    <w:nsid w:val="23F9C13C"/>
    <w:multiLevelType w:val="hybridMultilevel"/>
    <w:lvl w:ilvl="0">
      <w:lvlJc w:val="left"/>
      <w:lvlText w:val="2"/>
      <w:numFmt w:val="bullet"/>
      <w:start w:val="1"/>
    </w:lvl>
  </w:abstractNum>
  <w:abstractNum w:abstractNumId="36">
    <w:nsid w:val="649BB77C"/>
    <w:multiLevelType w:val="hybridMultilevel"/>
    <w:lvl w:ilvl="0">
      <w:lvlJc w:val="left"/>
      <w:lvlText w:val="3"/>
      <w:numFmt w:val="bullet"/>
      <w:start w:val="1"/>
    </w:lvl>
  </w:abstractNum>
  <w:abstractNum w:abstractNumId="37">
    <w:nsid w:val="275AC794"/>
    <w:multiLevelType w:val="hybridMultilevel"/>
    <w:lvl w:ilvl="0">
      <w:lvlJc w:val="left"/>
      <w:lvlText w:val="4"/>
      <w:numFmt w:val="bullet"/>
      <w:start w:val="1"/>
    </w:lvl>
  </w:abstractNum>
  <w:abstractNum w:abstractNumId="38">
    <w:nsid w:val="39386575"/>
    <w:multiLevelType w:val="hybridMultilevel"/>
    <w:lvl w:ilvl="0">
      <w:lvlJc w:val="left"/>
      <w:lvlText w:val="5"/>
      <w:numFmt w:val="bullet"/>
      <w:start w:val="1"/>
    </w:lvl>
  </w:abstractNum>
  <w:abstractNum w:abstractNumId="39">
    <w:nsid w:val="1CF10FD8"/>
    <w:multiLevelType w:val="hybridMultilevel"/>
    <w:lvl w:ilvl="0">
      <w:lvlJc w:val="left"/>
      <w:lvlText w:val="6"/>
      <w:numFmt w:val="bullet"/>
      <w:start w:val="1"/>
    </w:lvl>
  </w:abstractNum>
  <w:abstractNum w:abstractNumId="40">
    <w:nsid w:val="180115BE"/>
    <w:multiLevelType w:val="hybridMultilevel"/>
    <w:lvl w:ilvl="0">
      <w:lvlJc w:val="left"/>
      <w:lvlText w:val="7"/>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decimal"/>
      <w:start w:val="1"/>
    </w:lvl>
  </w:abstractNum>
  <w:abstractNum w:abstractNumId="43">
    <w:nsid w:val="354FE9F9"/>
    <w:multiLevelType w:val="hybridMultilevel"/>
    <w:lvl w:ilvl="0">
      <w:lvlJc w:val="left"/>
      <w:lvlText w:val="1"/>
      <w:numFmt w:val="bullet"/>
      <w:start w:val="1"/>
    </w:lvl>
  </w:abstractNum>
  <w:abstractNum w:abstractNumId="44">
    <w:nsid w:val="15B5AF5C"/>
    <w:multiLevelType w:val="hybridMultilevel"/>
    <w:lvl w:ilvl="0">
      <w:lvlJc w:val="left"/>
      <w:lvlText w:val="1"/>
      <w:numFmt w:val="bullet"/>
      <w:start w:val="1"/>
    </w:lvl>
  </w:abstractNum>
  <w:abstractNum w:abstractNumId="45">
    <w:nsid w:val="741226BB"/>
    <w:multiLevelType w:val="hybridMultilevel"/>
    <w:lvl w:ilvl="0">
      <w:lvlJc w:val="left"/>
      <w:lvlText w:val="1"/>
      <w:numFmt w:val="bullet"/>
      <w:start w:val="1"/>
    </w:lvl>
  </w:abstractNum>
  <w:abstractNum w:abstractNumId="46">
    <w:nsid w:val="D34B6A8"/>
    <w:multiLevelType w:val="hybridMultilevel"/>
    <w:lvl w:ilvl="0">
      <w:lvlJc w:val="left"/>
      <w:lvlText w:val="(%1)"/>
      <w:numFmt w:val="lowerRoman"/>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1"/>
      <w:numFmt w:val="bullet"/>
      <w:start w:val="1"/>
    </w:lvl>
  </w:abstractNum>
  <w:abstractNum w:abstractNumId="49">
    <w:nsid w:val="61574095"/>
    <w:multiLevelType w:val="hybridMultilevel"/>
    <w:lvl w:ilvl="0">
      <w:lvlJc w:val="left"/>
      <w:lvlText w:val="2"/>
      <w:numFmt w:val="bullet"/>
      <w:start w:val="1"/>
    </w:lvl>
  </w:abstractNum>
  <w:abstractNum w:abstractNumId="50">
    <w:nsid w:val="7E0C57B1"/>
    <w:multiLevelType w:val="hybridMultilevel"/>
    <w:lvl w:ilvl="0">
      <w:lvlJc w:val="left"/>
      <w:lvlText w:val="3"/>
      <w:numFmt w:val="bullet"/>
      <w:start w:val="1"/>
    </w:lvl>
  </w:abstractNum>
  <w:abstractNum w:abstractNumId="51">
    <w:nsid w:val="77AE35EB"/>
    <w:multiLevelType w:val="hybridMultilevel"/>
    <w:lvl w:ilvl="0">
      <w:lvlJc w:val="left"/>
      <w:lvlText w:val="1"/>
      <w:numFmt w:val="bullet"/>
      <w:start w:val="1"/>
    </w:lvl>
  </w:abstractNum>
  <w:abstractNum w:abstractNumId="52">
    <w:nsid w:val="579BE4F1"/>
    <w:multiLevelType w:val="hybridMultilevel"/>
    <w:lvl w:ilvl="0">
      <w:lvlJc w:val="left"/>
      <w:lvlText w:val="2"/>
      <w:numFmt w:val="bullet"/>
      <w:start w:val="1"/>
    </w:lvl>
  </w:abstractNum>
  <w:abstractNum w:abstractNumId="53">
    <w:nsid w:val="310C50B3"/>
    <w:multiLevelType w:val="hybridMultilevel"/>
    <w:lvl w:ilvl="0">
      <w:lvlJc w:val="left"/>
      <w:lvlText w:val="\emdash "/>
      <w:numFmt w:val="bullet"/>
      <w:start w:val="1"/>
    </w:lvl>
  </w:abstractNum>
  <w:abstractNum w:abstractNumId="54">
    <w:nsid w:val="5FF87E05"/>
    <w:multiLevelType w:val="hybridMultilevel"/>
    <w:lvl w:ilvl="0">
      <w:lvlJc w:val="left"/>
      <w:lvlText w:val="1"/>
      <w:numFmt w:val="bullet"/>
      <w:start w:val="1"/>
    </w:lvl>
  </w:abstractNum>
  <w:abstractNum w:abstractNumId="55">
    <w:nsid w:val="2F305DEF"/>
    <w:multiLevelType w:val="hybridMultilevel"/>
    <w:lvl w:ilvl="0">
      <w:lvlJc w:val="left"/>
      <w:lvlText w:val="2"/>
      <w:numFmt w:val="bullet"/>
      <w:start w:val="1"/>
    </w:lvl>
  </w:abstractNum>
  <w:abstractNum w:abstractNumId="56">
    <w:nsid w:val="25A70BF7"/>
    <w:multiLevelType w:val="hybridMultilevel"/>
    <w:lvl w:ilvl="0">
      <w:lvlJc w:val="left"/>
      <w:lvlText w:val="3"/>
      <w:numFmt w:val="bullet"/>
      <w:start w:val="1"/>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1"/>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1"/>
      <w:numFmt w:val="bullet"/>
      <w:start w:val="1"/>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5"/>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decimal"/>
      <w:start w:val="1"/>
    </w:lvl>
  </w:abstractNum>
  <w:abstractNum w:abstractNumId="69">
    <w:nsid w:val="42C296BD"/>
    <w:multiLevelType w:val="hybridMultilevel"/>
    <w:lvl w:ilvl="0">
      <w:lvlJc w:val="left"/>
      <w:lvlText w:val="(%1)"/>
      <w:numFmt w:val="lowerLetter"/>
      <w:start w:val="1"/>
    </w:lvl>
  </w:abstractNum>
  <w:abstractNum w:abstractNumId="70">
    <w:nsid w:val="168E121F"/>
    <w:multiLevelType w:val="hybridMultilevel"/>
    <w:lvl w:ilvl="0">
      <w:lvlJc w:val="left"/>
      <w:lvlText w:val="%1."/>
      <w:numFmt w:val="decimal"/>
      <w:start w:val="5"/>
    </w:lvl>
  </w:abstractNum>
  <w:abstractNum w:abstractNumId="71">
    <w:nsid w:val="1EBA5D23"/>
    <w:multiLevelType w:val="hybridMultilevel"/>
    <w:lvl w:ilvl="0">
      <w:lvlJc w:val="left"/>
      <w:lvlText w:val="(%1)"/>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12" Type="http://schemas.openxmlformats.org/officeDocument/2006/relationships/hyperlink" Target="http://www.sec.gov/Archives/edgar/data/1372807/000114420412012240/v304412_ex2-1.htm" TargetMode="External"/><Relationship Id="rId113" Type="http://schemas.openxmlformats.org/officeDocument/2006/relationships/hyperlink" Target="http://www.sec.gov/Archives/edgar/data/1372807/000119312506204545/dex99a.htm" TargetMode="External"/><Relationship Id="rId114" Type="http://schemas.openxmlformats.org/officeDocument/2006/relationships/hyperlink" Target="http://www.sec.gov/Archives/edgar/data/1372807/000114420412012240/v304412_ex3-1.htm" TargetMode="External"/><Relationship Id="rId115" Type="http://schemas.openxmlformats.org/officeDocument/2006/relationships/hyperlink" Target="http://www.sec.gov/Archives/edgar/data/1372807/000119312506238694/dex99e.htm" TargetMode="External"/><Relationship Id="rId116" Type="http://schemas.openxmlformats.org/officeDocument/2006/relationships/hyperlink" Target="http://www.sec.gov/Archives/edgar/data/1372807/000114420412054349/v323537_ex99d3.htm" TargetMode="External"/><Relationship Id="rId117" Type="http://schemas.openxmlformats.org/officeDocument/2006/relationships/hyperlink" Target="http://www.sec.gov/Archives/edgar/data/1372807/000114420412054349/v323537_ex99d5.htm" TargetMode="External"/><Relationship Id="rId118" Type="http://schemas.openxmlformats.org/officeDocument/2006/relationships/hyperlink" Target="http://www.sec.gov/Archives/edgar/data/1372807/000114420417042730/v473026_ex99-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2019-12-28T21:06:45Z</dcterms:created>
  <dcterms:modified xsi:type="dcterms:W3CDTF">2019-12-28T21:06:45Z</dcterms:modified>
</cp:coreProperties>
</file>