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214630</wp:posOffset>
            </wp:positionV>
            <wp:extent cx="618299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274955</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480"/>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4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39370</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14" w:lineRule="exact"/>
        <w:rPr>
          <w:sz w:val="24"/>
          <w:szCs w:val="24"/>
          <w:color w:val="auto"/>
        </w:rPr>
      </w:pPr>
    </w:p>
    <w:p>
      <w:pPr>
        <w:ind w:left="2660" w:right="2119" w:hanging="365"/>
        <w:spacing w:after="0" w:line="274" w:lineRule="auto"/>
        <w:tabs>
          <w:tab w:leader="none" w:pos="2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ind w:left="36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fiscal year ended December 31, 2018</w:t>
      </w:r>
    </w:p>
    <w:p>
      <w:pPr>
        <w:spacing w:after="0" w:line="63" w:lineRule="exact"/>
        <w:rPr>
          <w:sz w:val="24"/>
          <w:szCs w:val="24"/>
          <w:color w:val="auto"/>
        </w:rPr>
      </w:pPr>
    </w:p>
    <w:p>
      <w:pPr>
        <w:ind w:left="2660" w:right="1739" w:hanging="365"/>
        <w:spacing w:after="0" w:line="274" w:lineRule="auto"/>
        <w:tabs>
          <w:tab w:leader="none" w:pos="2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ectPr>
          <w:pgSz w:w="11900" w:h="16838" w:orient="portrait"/>
          <w:cols w:equalWidth="0" w:num="1">
            <w:col w:w="10219"/>
          </w:cols>
          <w:pgMar w:left="240" w:top="221" w:right="1440" w:bottom="1440" w:gutter="0" w:footer="0" w:header="0"/>
        </w:sect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6" w:lineRule="exact"/>
        <w:rPr>
          <w:sz w:val="24"/>
          <w:szCs w:val="24"/>
          <w:color w:val="auto"/>
        </w:rPr>
      </w:pPr>
    </w:p>
    <w:p>
      <w:pPr>
        <w:sectPr>
          <w:pgSz w:w="11900" w:h="16838" w:orient="portrait"/>
          <w:cols w:equalWidth="0" w:num="2">
            <w:col w:w="5660" w:space="720"/>
            <w:col w:w="3839"/>
          </w:cols>
          <w:pgMar w:left="240" w:top="221" w:right="1440" w:bottom="1440" w:gutter="0" w:footer="0" w:header="0"/>
          <w:type w:val="continuous"/>
        </w:sectPr>
      </w:pPr>
    </w:p>
    <w:p>
      <w:pPr>
        <w:ind w:left="4160"/>
        <w:spacing w:after="0"/>
        <w:rPr>
          <w:sz w:val="20"/>
          <w:szCs w:val="20"/>
          <w:color w:val="auto"/>
        </w:rPr>
      </w:pPr>
      <w:r>
        <w:rPr>
          <w:rFonts w:ascii="Times New Roman" w:cs="Times New Roman" w:eastAsia="Times New Roman" w:hAnsi="Times New Roman"/>
          <w:sz w:val="17"/>
          <w:szCs w:val="17"/>
          <w:b w:val="1"/>
          <w:bCs w:val="1"/>
          <w:color w:val="auto"/>
        </w:rPr>
        <w:t>Commission File No. 814-00735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86995</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ectPr>
          <w:pgSz w:w="11900" w:h="16838" w:orient="portrait"/>
          <w:cols w:equalWidth="0" w:num="1">
            <w:col w:w="10219"/>
          </w:cols>
          <w:pgMar w:left="240" w:top="221" w:right="1440" w:bottom="1440" w:gutter="0" w:footer="0" w:header="0"/>
          <w:type w:val="continuous"/>
        </w:sectPr>
      </w:pPr>
    </w:p>
    <w:p>
      <w:pPr>
        <w:spacing w:after="0" w:line="234"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29"/>
          <w:szCs w:val="29"/>
          <w:b w:val="1"/>
          <w:bCs w:val="1"/>
          <w:color w:val="auto"/>
        </w:rPr>
        <w:t>KCAP Financial, Inc.</w:t>
      </w:r>
    </w:p>
    <w:p>
      <w:pPr>
        <w:spacing w:after="0" w:line="4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81915</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8" w:lineRule="exact"/>
        <w:rPr>
          <w:sz w:val="24"/>
          <w:szCs w:val="24"/>
          <w:color w:val="auto"/>
        </w:rPr>
      </w:pPr>
    </w:p>
    <w:tbl>
      <w:tblPr>
        <w:tblLayout w:type="fixed"/>
        <w:tblInd w:w="160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880" w:type="dxa"/>
            <w:vAlign w:val="bottom"/>
            <w:gridSpan w:val="4"/>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60" w:type="dxa"/>
            <w:vAlign w:val="bottom"/>
            <w:gridSpan w:val="2"/>
          </w:tcPr>
          <w:p>
            <w:pPr>
              <w:jc w:val="center"/>
              <w:ind w:left="316"/>
              <w:spacing w:after="0"/>
              <w:rPr>
                <w:sz w:val="20"/>
                <w:szCs w:val="20"/>
                <w:color w:val="auto"/>
              </w:rPr>
            </w:pPr>
            <w:r>
              <w:rPr>
                <w:rFonts w:ascii="Times New Roman" w:cs="Times New Roman" w:eastAsia="Times New Roman" w:hAnsi="Times New Roman"/>
                <w:sz w:val="18"/>
                <w:szCs w:val="18"/>
                <w:b w:val="1"/>
                <w:bCs w:val="1"/>
                <w:color w:val="auto"/>
                <w:w w:val="98"/>
              </w:rPr>
              <w:t>20-5951150</w:t>
            </w:r>
          </w:p>
        </w:tc>
        <w:tc>
          <w:tcPr>
            <w:tcW w:w="80" w:type="dxa"/>
            <w:vAlign w:val="bottom"/>
          </w:tcPr>
          <w:p>
            <w:pPr>
              <w:spacing w:after="0"/>
              <w:rPr>
                <w:sz w:val="17"/>
                <w:szCs w:val="17"/>
                <w:color w:val="auto"/>
              </w:rPr>
            </w:pPr>
          </w:p>
        </w:tc>
      </w:tr>
      <w:tr>
        <w:trPr>
          <w:trHeight w:val="146"/>
        </w:trPr>
        <w:tc>
          <w:tcPr>
            <w:tcW w:w="4800" w:type="dxa"/>
            <w:vAlign w:val="bottom"/>
            <w:gridSpan w:val="5"/>
          </w:tcPr>
          <w:p>
            <w:pPr>
              <w:jc w:val="center"/>
              <w:ind w:right="224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2"/>
                <w:szCs w:val="12"/>
                <w:color w:val="auto"/>
              </w:rPr>
            </w:pPr>
          </w:p>
        </w:tc>
        <w:tc>
          <w:tcPr>
            <w:tcW w:w="2440" w:type="dxa"/>
            <w:vAlign w:val="bottom"/>
            <w:gridSpan w:val="2"/>
          </w:tcPr>
          <w:p>
            <w:pPr>
              <w:jc w:val="center"/>
              <w:ind w:left="128"/>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gridSpan w:val="5"/>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24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01"/>
        </w:trPr>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4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295 Madison Avenue, 6th Floor</w:t>
            </w:r>
          </w:p>
        </w:tc>
      </w:tr>
      <w:tr>
        <w:trPr>
          <w:trHeight w:val="214"/>
        </w:trPr>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3"/>
          </w:tcPr>
          <w:p>
            <w:pPr>
              <w:jc w:val="center"/>
              <w:ind w:left="599"/>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340" w:type="dxa"/>
            <w:vAlign w:val="bottom"/>
            <w:gridSpan w:val="6"/>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242"/>
        </w:trPr>
        <w:tc>
          <w:tcPr>
            <w:tcW w:w="4740" w:type="dxa"/>
            <w:vAlign w:val="bottom"/>
            <w:gridSpan w:val="4"/>
          </w:tcPr>
          <w:p>
            <w:pPr>
              <w:jc w:val="center"/>
              <w:ind w:left="2661"/>
              <w:spacing w:after="0"/>
              <w:rPr>
                <w:sz w:val="20"/>
                <w:szCs w:val="20"/>
                <w:color w:val="auto"/>
              </w:rPr>
            </w:pPr>
            <w:r>
              <w:rPr>
                <w:rFonts w:ascii="Times New Roman" w:cs="Times New Roman" w:eastAsia="Times New Roman" w:hAnsi="Times New Roman"/>
                <w:sz w:val="18"/>
                <w:szCs w:val="18"/>
                <w:b w:val="1"/>
                <w:bCs w:val="1"/>
                <w:color w:val="auto"/>
                <w:w w:val="99"/>
              </w:rPr>
              <w:t>(212) 455-8300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0"/>
        </w:trPr>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340" w:type="dxa"/>
            <w:vAlign w:val="bottom"/>
            <w:gridSpan w:val="6"/>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18"/>
        </w:trPr>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60" w:type="dxa"/>
            <w:vAlign w:val="bottom"/>
            <w:gridSpan w:val="2"/>
          </w:tcPr>
          <w:p>
            <w:pPr>
              <w:spacing w:after="0"/>
              <w:rPr>
                <w:sz w:val="10"/>
                <w:szCs w:val="10"/>
                <w:color w:val="auto"/>
              </w:rPr>
            </w:pPr>
          </w:p>
        </w:tc>
        <w:tc>
          <w:tcPr>
            <w:tcW w:w="2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91"/>
        </w:trPr>
        <w:tc>
          <w:tcPr>
            <w:tcW w:w="920" w:type="dxa"/>
            <w:vAlign w:val="bottom"/>
          </w:tcPr>
          <w:p>
            <w:pPr>
              <w:spacing w:after="0"/>
              <w:rPr>
                <w:sz w:val="24"/>
                <w:szCs w:val="24"/>
                <w:color w:val="auto"/>
              </w:rPr>
            </w:pPr>
          </w:p>
        </w:tc>
        <w:tc>
          <w:tcPr>
            <w:tcW w:w="6420" w:type="dxa"/>
            <w:vAlign w:val="bottom"/>
            <w:gridSpan w:val="7"/>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16"/>
        </w:trPr>
        <w:tc>
          <w:tcPr>
            <w:tcW w:w="9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80" w:type="dxa"/>
            <w:vAlign w:val="bottom"/>
          </w:tcPr>
          <w:p>
            <w:pPr>
              <w:spacing w:after="0"/>
              <w:rPr>
                <w:sz w:val="18"/>
                <w:szCs w:val="18"/>
                <w:color w:val="auto"/>
              </w:rPr>
            </w:pPr>
          </w:p>
        </w:tc>
      </w:tr>
      <w:tr>
        <w:trPr>
          <w:trHeight w:val="142"/>
        </w:trPr>
        <w:tc>
          <w:tcPr>
            <w:tcW w:w="200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Common Stock, par value $</w:t>
            </w:r>
          </w:p>
        </w:tc>
        <w:tc>
          <w:tcPr>
            <w:tcW w:w="2800" w:type="dxa"/>
            <w:vAlign w:val="bottom"/>
            <w:gridSpan w:val="3"/>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0.01 per share</w:t>
            </w:r>
          </w:p>
        </w:tc>
        <w:tc>
          <w:tcPr>
            <w:tcW w:w="25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The NASDAQ Global Select Market</w:t>
            </w:r>
          </w:p>
        </w:tc>
      </w:tr>
      <w:tr>
        <w:trPr>
          <w:trHeight w:val="212"/>
        </w:trPr>
        <w:tc>
          <w:tcPr>
            <w:tcW w:w="4800" w:type="dxa"/>
            <w:vAlign w:val="bottom"/>
            <w:gridSpan w:val="5"/>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6.125% Notes Due 2022</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6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80010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1" w:lineRule="exact"/>
        <w:rPr>
          <w:sz w:val="24"/>
          <w:szCs w:val="24"/>
          <w:color w:val="auto"/>
        </w:rPr>
      </w:pPr>
    </w:p>
    <w:p>
      <w:pPr>
        <w:ind w:left="860" w:right="799"/>
        <w:spacing w:after="0" w:line="24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left="500" w:right="59" w:firstLine="36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139" w:firstLine="36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left="500" w:right="299" w:firstLine="36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79" w:firstLine="36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 (Check one):</w:t>
      </w:r>
    </w:p>
    <w:p>
      <w:pPr>
        <w:spacing w:after="0" w:line="58" w:lineRule="exact"/>
        <w:rPr>
          <w:sz w:val="24"/>
          <w:szCs w:val="24"/>
          <w:color w:val="auto"/>
        </w:rPr>
      </w:pPr>
    </w:p>
    <w:p>
      <w:pPr>
        <w:ind w:left="880" w:right="519"/>
        <w:spacing w:after="0" w:line="242"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6" w:lineRule="exact"/>
        <w:rPr>
          <w:sz w:val="24"/>
          <w:szCs w:val="24"/>
          <w:color w:val="auto"/>
        </w:rPr>
      </w:pPr>
    </w:p>
    <w:p>
      <w:pPr>
        <w:ind w:left="500" w:right="299" w:firstLine="36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ind w:left="8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left="500" w:right="119" w:firstLine="360"/>
        <w:spacing w:after="0" w:line="25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stock held by non-affiliates of the registrant as of June 29, 2018 was approximately $111,573,936 based upon a closing price of $3.25 reported for such date by The NASDAQ Global Select Market. Common shares held by each executive officer and director and by each person who owns 5% or more of the outstanding common shares have been excluded in that such persons may be deemed to be affiliates. This determination of affiliate status is not necessarily a conclusive determination for other purposes.</w:t>
      </w:r>
    </w:p>
    <w:p>
      <w:pPr>
        <w:spacing w:after="0" w:line="1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The number of outstanding shares of common stock of the registrant as of February 22, 2019 was 37,340,843.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114935</wp:posOffset>
            </wp:positionV>
            <wp:extent cx="6182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158115</wp:posOffset>
            </wp:positionV>
            <wp:extent cx="618299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419735</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221"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0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2019 annual meeting of stockholders to be filed with the Securities and Exchange Commission within 120 days following the end of the registrant’s fiscal year-end are incorporated by reference into Part III of this report.</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ABOUT REFERENCES TO KCAP FINANCIAL, INC.</w:t>
      </w:r>
    </w:p>
    <w:p>
      <w:pPr>
        <w:spacing w:after="0" w:line="10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In this Annual Report on Form 10-K (this “Annual Report”), the “Company”, “KCAP”, “we”, “us” and “our” refer to KCAP Financial, Inc. and its wholly-owned subsidiaries, KCAP Funding I LLC, Kohlberg Capital Funding I LLC, KCAP Senior Funding I, LLC and KCAP Senior Funding I Holdings, LLC, unless the context otherwise requires.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ABOUT TRADEMARKS</w:t>
      </w:r>
    </w:p>
    <w:p>
      <w:pPr>
        <w:spacing w:after="0" w:line="108" w:lineRule="exact"/>
        <w:rPr>
          <w:sz w:val="20"/>
          <w:szCs w:val="20"/>
          <w:color w:val="auto"/>
        </w:rPr>
      </w:pPr>
    </w:p>
    <w:p>
      <w:pPr>
        <w:jc w:val="both"/>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KCAP Financial, Inc., our logo and other trademarks of KCAP Financial, Inc. are the property of KCAP Financial, Inc. All other trademarks or trade names referred to in this Annual Report are the property of their respective owners.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108" w:lineRule="exact"/>
        <w:rPr>
          <w:sz w:val="20"/>
          <w:szCs w:val="20"/>
          <w:color w:val="auto"/>
        </w:rPr>
      </w:pPr>
    </w:p>
    <w:p>
      <w:pPr>
        <w:ind w:left="1260" w:right="819" w:firstLine="360"/>
        <w:spacing w:after="0" w:line="269" w:lineRule="auto"/>
        <w:rPr>
          <w:sz w:val="20"/>
          <w:szCs w:val="20"/>
          <w:color w:val="auto"/>
        </w:rPr>
      </w:pPr>
      <w:r>
        <w:rPr>
          <w:rFonts w:ascii="Times New Roman" w:cs="Times New Roman" w:eastAsia="Times New Roman" w:hAnsi="Times New Roman"/>
          <w:sz w:val="17"/>
          <w:szCs w:val="17"/>
          <w:color w:val="auto"/>
        </w:rPr>
        <w:t>This Annual Report includes forward-looking statements. The matters discussed in this Annual Report, as well as in future oral and written statements by management of KCAP Financial, Inc.,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“contemplates,” “believes,” “estimates,” “predicts,”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Annual Report should not be regarded as a representation by us that our plans or objectives will be achieved. The forward-looking statements contained in this Annual Report include statements as to:</w:t>
      </w:r>
    </w:p>
    <w:p>
      <w:pPr>
        <w:spacing w:after="0" w:line="82" w:lineRule="exact"/>
        <w:rPr>
          <w:sz w:val="20"/>
          <w:szCs w:val="20"/>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existing and prospective portfolio companies;</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or impact of current and future investments;</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other relationships with third parties;</w:t>
      </w:r>
    </w:p>
    <w:p>
      <w:pPr>
        <w:spacing w:after="0" w:line="130" w:lineRule="exact"/>
        <w:rPr>
          <w:rFonts w:ascii="Times New Roman" w:cs="Times New Roman" w:eastAsia="Times New Roman" w:hAnsi="Times New Roman"/>
          <w:sz w:val="18"/>
          <w:szCs w:val="18"/>
          <w:color w:val="auto"/>
        </w:rPr>
      </w:pPr>
    </w:p>
    <w:p>
      <w:pPr>
        <w:ind w:left="1980" w:right="839" w:hanging="352"/>
        <w:spacing w:after="0" w:line="282"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67" w:lineRule="exact"/>
        <w:rPr>
          <w:rFonts w:ascii="Times New Roman" w:cs="Times New Roman" w:eastAsia="Times New Roman" w:hAnsi="Times New Roman"/>
          <w:sz w:val="18"/>
          <w:szCs w:val="18"/>
          <w:color w:val="auto"/>
        </w:rPr>
      </w:pPr>
    </w:p>
    <w:p>
      <w:pPr>
        <w:ind w:left="1980" w:right="879" w:hanging="352"/>
        <w:spacing w:after="0" w:line="282"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and ability of our existing and prospective portfolio companies to achieve their objectives;</w:t>
      </w:r>
    </w:p>
    <w:p>
      <w:pPr>
        <w:spacing w:after="0" w:line="6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w:t>
      </w:r>
    </w:p>
    <w:p>
      <w:pPr>
        <w:spacing w:after="0" w:line="130" w:lineRule="exact"/>
        <w:rPr>
          <w:rFonts w:ascii="Times New Roman" w:cs="Times New Roman" w:eastAsia="Times New Roman" w:hAnsi="Times New Roman"/>
          <w:sz w:val="18"/>
          <w:szCs w:val="18"/>
          <w:color w:val="auto"/>
        </w:rPr>
      </w:pPr>
    </w:p>
    <w:p>
      <w:pPr>
        <w:ind w:left="1980" w:right="1019" w:hanging="352"/>
        <w:spacing w:after="0" w:line="266"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business development company and a regulated investment company, including the impact of changes in laws or regulations governing our operations or the operations of our portfolio companies;</w:t>
      </w:r>
    </w:p>
    <w:p>
      <w:pPr>
        <w:spacing w:after="0" w:line="8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68345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980" w:hanging="352"/>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on our business;</w:t>
      </w:r>
    </w:p>
    <w:p>
      <w:pPr>
        <w:spacing w:after="0" w:line="198" w:lineRule="exact"/>
        <w:rPr>
          <w:rFonts w:ascii="Times New Roman" w:cs="Times New Roman" w:eastAsia="Times New Roman" w:hAnsi="Times New Roman"/>
          <w:sz w:val="18"/>
          <w:szCs w:val="18"/>
          <w:color w:val="auto"/>
        </w:rPr>
      </w:pPr>
    </w:p>
    <w:p>
      <w:pPr>
        <w:ind w:left="1980" w:right="1119" w:hanging="352"/>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unrealized losses;</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our ability to access additional capital; and</w:t>
      </w:r>
    </w:p>
    <w:p>
      <w:pPr>
        <w:spacing w:after="0" w:line="198"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dividend distributions.</w:t>
      </w:r>
    </w:p>
    <w:p>
      <w:pPr>
        <w:spacing w:after="0" w:line="117"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For a discussion of factors that could cause our actual results to differ from forward-looking statements contained in this Annual Report, please see the discussion under “Risk Factors” in Item 1A.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5340985</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8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01"/>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77"/>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580" w:type="dxa"/>
            <w:vAlign w:val="bottom"/>
            <w:gridSpan w:val="11"/>
            <w:shd w:val="clear" w:color="auto" w:fill="CCEEFF"/>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840" w:type="dxa"/>
            <w:vAlign w:val="bottom"/>
            <w:gridSpan w:val="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6840" w:type="dxa"/>
            <w:vAlign w:val="bottom"/>
            <w:gridSpan w:val="24"/>
          </w:tcPr>
          <w:p>
            <w:pPr>
              <w:ind w:left="6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540" w:type="dxa"/>
            <w:vAlign w:val="bottom"/>
            <w:gridSpan w:val="5"/>
          </w:tcPr>
          <w:p>
            <w:pPr>
              <w:jc w:val="right"/>
              <w:ind w:right="14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84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1A.</w:t>
              </w:r>
            </w:hyperlink>
          </w:p>
        </w:tc>
        <w:tc>
          <w:tcPr>
            <w:tcW w:w="6840" w:type="dxa"/>
            <w:vAlign w:val="bottom"/>
            <w:gridSpan w:val="24"/>
            <w:shd w:val="clear" w:color="auto" w:fill="CCEEFF"/>
          </w:tcPr>
          <w:p>
            <w:pPr>
              <w:ind w:left="6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19</w:t>
              </w:r>
            </w:hyperlink>
          </w:p>
        </w:tc>
        <w:tc>
          <w:tcPr>
            <w:tcW w:w="140" w:type="dxa"/>
            <w:vAlign w:val="bottom"/>
            <w:shd w:val="clear" w:color="auto" w:fill="CCEEFF"/>
          </w:tcPr>
          <w:p>
            <w:pPr>
              <w:spacing w:after="0"/>
              <w:rPr>
                <w:sz w:val="21"/>
                <w:szCs w:val="2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640" w:type="dxa"/>
            <w:vAlign w:val="bottom"/>
            <w:gridSpan w:val="3"/>
          </w:tcPr>
          <w:p>
            <w:pPr>
              <w:spacing w:after="0"/>
              <w:rPr>
                <w:rFonts w:ascii="Times New Roman" w:cs="Times New Roman" w:eastAsia="Times New Roman" w:hAnsi="Times New Roman"/>
                <w:sz w:val="18"/>
                <w:szCs w:val="18"/>
                <w:color w:val="0000EE"/>
                <w:w w:val="98"/>
              </w:rPr>
            </w:pPr>
            <w:hyperlink w:anchor="page48">
              <w:r>
                <w:rPr>
                  <w:rFonts w:ascii="Times New Roman" w:cs="Times New Roman" w:eastAsia="Times New Roman" w:hAnsi="Times New Roman"/>
                  <w:sz w:val="18"/>
                  <w:szCs w:val="18"/>
                  <w:color w:val="0000EE"/>
                  <w:w w:val="98"/>
                </w:rPr>
                <w:t>Item 1B.</w:t>
              </w:r>
            </w:hyperlink>
          </w:p>
        </w:tc>
        <w:tc>
          <w:tcPr>
            <w:tcW w:w="2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6780" w:type="dxa"/>
            <w:vAlign w:val="bottom"/>
            <w:gridSpan w:val="23"/>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Unresolved Staff Comments</w:t>
              </w:r>
            </w:hyperlink>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c>
          <w:tcPr>
            <w:tcW w:w="140" w:type="dxa"/>
            <w:vAlign w:val="bottom"/>
          </w:tcPr>
          <w:p>
            <w:pPr>
              <w:spacing w:after="0"/>
              <w:rPr>
                <w:sz w:val="21"/>
                <w:szCs w:val="2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520" w:type="dxa"/>
            <w:vAlign w:val="bottom"/>
            <w:shd w:val="clear" w:color="auto" w:fill="CCEEFF"/>
          </w:tcPr>
          <w:p>
            <w:pPr>
              <w:spacing w:after="0"/>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Item 2.</w:t>
              </w:r>
            </w:hyperlink>
          </w:p>
        </w:tc>
        <w:tc>
          <w:tcPr>
            <w:tcW w:w="320" w:type="dxa"/>
            <w:vAlign w:val="bottom"/>
            <w:gridSpan w:val="4"/>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spacing w:after="0"/>
              <w:rPr>
                <w:rFonts w:ascii="Times New Roman" w:cs="Times New Roman" w:eastAsia="Times New Roman" w:hAnsi="Times New Roman"/>
                <w:sz w:val="18"/>
                <w:szCs w:val="18"/>
                <w:color w:val="0000EE"/>
                <w:w w:val="98"/>
              </w:rPr>
            </w:pPr>
            <w:hyperlink w:anchor="page48">
              <w:r>
                <w:rPr>
                  <w:rFonts w:ascii="Times New Roman" w:cs="Times New Roman" w:eastAsia="Times New Roman" w:hAnsi="Times New Roman"/>
                  <w:sz w:val="18"/>
                  <w:szCs w:val="18"/>
                  <w:color w:val="0000EE"/>
                  <w:w w:val="98"/>
                </w:rPr>
                <w:t>Properties</w:t>
              </w:r>
            </w:hyperlink>
          </w:p>
        </w:tc>
        <w:tc>
          <w:tcPr>
            <w:tcW w:w="6040" w:type="dxa"/>
            <w:vAlign w:val="bottom"/>
            <w:gridSpan w:val="20"/>
            <w:shd w:val="clear" w:color="auto" w:fill="CCEEFF"/>
          </w:tcPr>
          <w:p>
            <w:pPr>
              <w:spacing w:after="0"/>
              <w:rPr>
                <w:sz w:val="21"/>
                <w:szCs w:val="21"/>
                <w:color w:val="auto"/>
              </w:rPr>
            </w:pPr>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c>
          <w:tcPr>
            <w:tcW w:w="140" w:type="dxa"/>
            <w:vAlign w:val="bottom"/>
            <w:shd w:val="clear" w:color="auto" w:fill="CCEEFF"/>
          </w:tcPr>
          <w:p>
            <w:pPr>
              <w:spacing w:after="0"/>
              <w:rPr>
                <w:sz w:val="21"/>
                <w:szCs w:val="2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520" w:type="dxa"/>
            <w:vAlign w:val="bottom"/>
          </w:tcPr>
          <w:p>
            <w:pPr>
              <w:spacing w:after="0"/>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Item 3.</w:t>
              </w:r>
            </w:hyperlink>
          </w:p>
        </w:tc>
        <w:tc>
          <w:tcPr>
            <w:tcW w:w="320" w:type="dxa"/>
            <w:vAlign w:val="bottom"/>
            <w:gridSpan w:val="4"/>
          </w:tcPr>
          <w:p>
            <w:pPr>
              <w:spacing w:after="0"/>
              <w:rPr>
                <w:sz w:val="21"/>
                <w:szCs w:val="21"/>
                <w:color w:val="auto"/>
              </w:rPr>
            </w:pPr>
          </w:p>
        </w:tc>
        <w:tc>
          <w:tcPr>
            <w:tcW w:w="60" w:type="dxa"/>
            <w:vAlign w:val="bottom"/>
          </w:tcPr>
          <w:p>
            <w:pPr>
              <w:spacing w:after="0"/>
              <w:rPr>
                <w:sz w:val="21"/>
                <w:szCs w:val="21"/>
                <w:color w:val="auto"/>
              </w:rPr>
            </w:pPr>
          </w:p>
        </w:tc>
        <w:tc>
          <w:tcPr>
            <w:tcW w:w="6780" w:type="dxa"/>
            <w:vAlign w:val="bottom"/>
            <w:gridSpan w:val="23"/>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Legal Proceedings</w:t>
              </w:r>
            </w:hyperlink>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c>
          <w:tcPr>
            <w:tcW w:w="140" w:type="dxa"/>
            <w:vAlign w:val="bottom"/>
          </w:tcPr>
          <w:p>
            <w:pPr>
              <w:spacing w:after="0"/>
              <w:rPr>
                <w:sz w:val="21"/>
                <w:szCs w:val="2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84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4.</w:t>
              </w:r>
            </w:hyperlink>
          </w:p>
        </w:tc>
        <w:tc>
          <w:tcPr>
            <w:tcW w:w="6840" w:type="dxa"/>
            <w:vAlign w:val="bottom"/>
            <w:gridSpan w:val="24"/>
            <w:shd w:val="clear" w:color="auto" w:fill="CCEEFF"/>
          </w:tcPr>
          <w:p>
            <w:pPr>
              <w:ind w:left="6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Mine Safety Disclosures</w:t>
              </w:r>
            </w:hyperlink>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44</w:t>
              </w:r>
            </w:hyperlink>
          </w:p>
        </w:tc>
        <w:tc>
          <w:tcPr>
            <w:tcW w:w="140" w:type="dxa"/>
            <w:vAlign w:val="bottom"/>
            <w:shd w:val="clear" w:color="auto" w:fill="CCEEFF"/>
          </w:tcPr>
          <w:p>
            <w:pPr>
              <w:spacing w:after="0"/>
              <w:rPr>
                <w:sz w:val="22"/>
                <w:szCs w:val="22"/>
                <w:color w:val="auto"/>
              </w:rPr>
            </w:pPr>
          </w:p>
        </w:tc>
      </w:tr>
      <w:tr>
        <w:trPr>
          <w:trHeight w:val="39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580" w:type="dxa"/>
            <w:vAlign w:val="bottom"/>
            <w:tcBorders>
              <w:top w:val="single" w:sz="8" w:color="CCEEFF"/>
            </w:tcBorders>
            <w:gridSpan w:val="11"/>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230"/>
        </w:trPr>
        <w:tc>
          <w:tcPr>
            <w:tcW w:w="520" w:type="dxa"/>
            <w:vAlign w:val="bottom"/>
            <w:shd w:val="clear" w:color="auto" w:fill="CCEEFF"/>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5.</w:t>
              </w:r>
            </w:hyperlink>
          </w:p>
        </w:tc>
        <w:tc>
          <w:tcPr>
            <w:tcW w:w="320" w:type="dxa"/>
            <w:vAlign w:val="bottom"/>
            <w:gridSpan w:val="4"/>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780" w:type="dxa"/>
            <w:vAlign w:val="bottom"/>
            <w:gridSpan w:val="23"/>
            <w:shd w:val="clear" w:color="auto" w:fill="CCEEFF"/>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Market for Registrant’s Common Equity, Related Stockholder Matters and Issuer</w:t>
              </w:r>
            </w:hyperlink>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196"/>
        </w:trPr>
        <w:tc>
          <w:tcPr>
            <w:tcW w:w="5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Purchases of Equity Securities</w:t>
              </w:r>
            </w:hyperlink>
          </w:p>
        </w:tc>
        <w:tc>
          <w:tcPr>
            <w:tcW w:w="940" w:type="dxa"/>
            <w:vAlign w:val="bottom"/>
            <w:tcBorders>
              <w:top w:val="single" w:sz="8" w:color="CCEEFF"/>
            </w:tcBorders>
            <w:gridSpan w:val="3"/>
            <w:shd w:val="clear" w:color="auto" w:fill="CCEEFF"/>
          </w:tcPr>
          <w:p>
            <w:pPr>
              <w:spacing w:after="0"/>
              <w:rPr>
                <w:sz w:val="17"/>
                <w:szCs w:val="17"/>
                <w:color w:val="auto"/>
              </w:rPr>
            </w:pPr>
          </w:p>
        </w:tc>
        <w:tc>
          <w:tcPr>
            <w:tcW w:w="400" w:type="dxa"/>
            <w:vAlign w:val="bottom"/>
            <w:tcBorders>
              <w:top w:val="single" w:sz="8" w:color="CCEEFF"/>
            </w:tcBorders>
            <w:gridSpan w:val="4"/>
            <w:shd w:val="clear" w:color="auto" w:fill="CCEEFF"/>
          </w:tcPr>
          <w:p>
            <w:pPr>
              <w:jc w:val="right"/>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45</w:t>
              </w:r>
            </w:hyperlink>
          </w:p>
        </w:tc>
        <w:tc>
          <w:tcPr>
            <w:tcW w:w="140" w:type="dxa"/>
            <w:vAlign w:val="bottom"/>
            <w:tcBorders>
              <w:top w:val="single" w:sz="8" w:color="CCEEFF"/>
            </w:tcBorders>
            <w:shd w:val="clear" w:color="auto" w:fill="CCEEFF"/>
          </w:tcPr>
          <w:p>
            <w:pPr>
              <w:spacing w:after="0"/>
              <w:rPr>
                <w:sz w:val="17"/>
                <w:szCs w:val="17"/>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43"/>
        </w:trPr>
        <w:tc>
          <w:tcPr>
            <w:tcW w:w="840" w:type="dxa"/>
            <w:vAlign w:val="bottom"/>
            <w:gridSpan w:val="5"/>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6.</w:t>
              </w:r>
            </w:hyperlink>
          </w:p>
        </w:tc>
        <w:tc>
          <w:tcPr>
            <w:tcW w:w="60" w:type="dxa"/>
            <w:vAlign w:val="bottom"/>
          </w:tcPr>
          <w:p>
            <w:pPr>
              <w:spacing w:after="0"/>
              <w:rPr>
                <w:sz w:val="21"/>
                <w:szCs w:val="21"/>
                <w:color w:val="auto"/>
              </w:rPr>
            </w:pPr>
          </w:p>
        </w:tc>
        <w:tc>
          <w:tcPr>
            <w:tcW w:w="2200" w:type="dxa"/>
            <w:vAlign w:val="bottom"/>
            <w:gridSpan w:val="12"/>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Selected Financial Data</w:t>
              </w:r>
            </w:hyperlink>
          </w:p>
        </w:tc>
        <w:tc>
          <w:tcPr>
            <w:tcW w:w="4580" w:type="dxa"/>
            <w:vAlign w:val="bottom"/>
            <w:gridSpan w:val="11"/>
          </w:tcPr>
          <w:p>
            <w:pPr>
              <w:spacing w:after="0"/>
              <w:rPr>
                <w:sz w:val="21"/>
                <w:szCs w:val="21"/>
                <w:color w:val="auto"/>
              </w:rPr>
            </w:pPr>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48</w:t>
              </w:r>
            </w:hyperlink>
          </w:p>
        </w:tc>
        <w:tc>
          <w:tcPr>
            <w:tcW w:w="140" w:type="dxa"/>
            <w:vAlign w:val="bottom"/>
          </w:tcPr>
          <w:p>
            <w:pPr>
              <w:spacing w:after="0"/>
              <w:rPr>
                <w:sz w:val="21"/>
                <w:szCs w:val="2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Item 7.</w:t>
              </w:r>
            </w:hyperlink>
          </w:p>
        </w:tc>
        <w:tc>
          <w:tcPr>
            <w:tcW w:w="320" w:type="dxa"/>
            <w:vAlign w:val="bottom"/>
            <w:gridSpan w:val="4"/>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780" w:type="dxa"/>
            <w:vAlign w:val="bottom"/>
            <w:gridSpan w:val="23"/>
            <w:shd w:val="clear" w:color="auto" w:fill="CCEEFF"/>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50</w:t>
              </w:r>
            </w:hyperlink>
          </w:p>
        </w:tc>
        <w:tc>
          <w:tcPr>
            <w:tcW w:w="140" w:type="dxa"/>
            <w:vAlign w:val="bottom"/>
            <w:shd w:val="clear" w:color="auto" w:fill="CCEEFF"/>
          </w:tcPr>
          <w:p>
            <w:pPr>
              <w:spacing w:after="0"/>
              <w:rPr>
                <w:sz w:val="19"/>
                <w:szCs w:val="19"/>
                <w:color w:val="auto"/>
              </w:rPr>
            </w:pPr>
          </w:p>
        </w:tc>
      </w:tr>
      <w:tr>
        <w:trPr>
          <w:trHeight w:val="34"/>
        </w:trPr>
        <w:tc>
          <w:tcPr>
            <w:tcW w:w="5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43"/>
        </w:trPr>
        <w:tc>
          <w:tcPr>
            <w:tcW w:w="840" w:type="dxa"/>
            <w:vAlign w:val="bottom"/>
            <w:gridSpan w:val="5"/>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7A.</w:t>
              </w:r>
            </w:hyperlink>
          </w:p>
        </w:tc>
        <w:tc>
          <w:tcPr>
            <w:tcW w:w="6840" w:type="dxa"/>
            <w:vAlign w:val="bottom"/>
            <w:gridSpan w:val="24"/>
          </w:tcPr>
          <w:p>
            <w:pPr>
              <w:ind w:left="60"/>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Quantitative and Qualitative Disclosures About Market Risk</w:t>
              </w:r>
            </w:hyperlink>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72</w:t>
              </w:r>
            </w:hyperlink>
          </w:p>
        </w:tc>
        <w:tc>
          <w:tcPr>
            <w:tcW w:w="140" w:type="dxa"/>
            <w:vAlign w:val="bottom"/>
          </w:tcPr>
          <w:p>
            <w:pPr>
              <w:spacing w:after="0"/>
              <w:rPr>
                <w:sz w:val="21"/>
                <w:szCs w:val="2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520" w:type="dxa"/>
            <w:vAlign w:val="bottom"/>
            <w:shd w:val="clear" w:color="auto" w:fill="CCEEFF"/>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Item 8.</w:t>
              </w:r>
            </w:hyperlink>
          </w:p>
        </w:tc>
        <w:tc>
          <w:tcPr>
            <w:tcW w:w="320" w:type="dxa"/>
            <w:vAlign w:val="bottom"/>
            <w:gridSpan w:val="4"/>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gridSpan w:val="15"/>
            <w:shd w:val="clear" w:color="auto" w:fill="CCEEFF"/>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Financial Statements and Supplementary Data</w:t>
              </w:r>
            </w:hyperlink>
          </w:p>
        </w:tc>
        <w:tc>
          <w:tcPr>
            <w:tcW w:w="3440" w:type="dxa"/>
            <w:vAlign w:val="bottom"/>
            <w:gridSpan w:val="8"/>
            <w:shd w:val="clear" w:color="auto" w:fill="CCEEFF"/>
          </w:tcPr>
          <w:p>
            <w:pPr>
              <w:spacing w:after="0"/>
              <w:rPr>
                <w:sz w:val="21"/>
                <w:szCs w:val="21"/>
                <w:color w:val="auto"/>
              </w:rPr>
            </w:pPr>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74</w:t>
              </w:r>
            </w:hyperlink>
          </w:p>
        </w:tc>
        <w:tc>
          <w:tcPr>
            <w:tcW w:w="140" w:type="dxa"/>
            <w:vAlign w:val="bottom"/>
            <w:shd w:val="clear" w:color="auto" w:fill="CCEEFF"/>
          </w:tcPr>
          <w:p>
            <w:pPr>
              <w:spacing w:after="0"/>
              <w:rPr>
                <w:sz w:val="21"/>
                <w:szCs w:val="2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20" w:type="dxa"/>
            <w:vAlign w:val="bottom"/>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Item 9.</w:t>
              </w:r>
            </w:hyperlink>
          </w:p>
        </w:tc>
        <w:tc>
          <w:tcPr>
            <w:tcW w:w="32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6780" w:type="dxa"/>
            <w:vAlign w:val="bottom"/>
            <w:gridSpan w:val="23"/>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74</w:t>
              </w:r>
            </w:hyperlink>
          </w:p>
        </w:tc>
        <w:tc>
          <w:tcPr>
            <w:tcW w:w="140" w:type="dxa"/>
            <w:vAlign w:val="bottom"/>
          </w:tcPr>
          <w:p>
            <w:pPr>
              <w:spacing w:after="0"/>
              <w:rPr>
                <w:sz w:val="19"/>
                <w:szCs w:val="19"/>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84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9A.</w:t>
              </w:r>
            </w:hyperlink>
          </w:p>
        </w:tc>
        <w:tc>
          <w:tcPr>
            <w:tcW w:w="6840" w:type="dxa"/>
            <w:vAlign w:val="bottom"/>
            <w:gridSpan w:val="24"/>
            <w:shd w:val="clear" w:color="auto" w:fill="CCEEFF"/>
          </w:tcPr>
          <w:p>
            <w:pPr>
              <w:ind w:left="60"/>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Controls and Procedures</w:t>
              </w:r>
            </w:hyperlink>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74</w:t>
              </w:r>
            </w:hyperlink>
          </w:p>
        </w:tc>
        <w:tc>
          <w:tcPr>
            <w:tcW w:w="140" w:type="dxa"/>
            <w:vAlign w:val="bottom"/>
            <w:shd w:val="clear" w:color="auto" w:fill="CCEEFF"/>
          </w:tcPr>
          <w:p>
            <w:pPr>
              <w:spacing w:after="0"/>
              <w:rPr>
                <w:sz w:val="21"/>
                <w:szCs w:val="2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640" w:type="dxa"/>
            <w:vAlign w:val="bottom"/>
            <w:gridSpan w:val="3"/>
          </w:tcPr>
          <w:p>
            <w:pPr>
              <w:spacing w:after="0"/>
              <w:rPr>
                <w:rFonts w:ascii="Times New Roman" w:cs="Times New Roman" w:eastAsia="Times New Roman" w:hAnsi="Times New Roman"/>
                <w:sz w:val="18"/>
                <w:szCs w:val="18"/>
                <w:color w:val="0000EE"/>
                <w:w w:val="98"/>
              </w:rPr>
            </w:pPr>
            <w:hyperlink w:anchor="page79">
              <w:r>
                <w:rPr>
                  <w:rFonts w:ascii="Times New Roman" w:cs="Times New Roman" w:eastAsia="Times New Roman" w:hAnsi="Times New Roman"/>
                  <w:sz w:val="18"/>
                  <w:szCs w:val="18"/>
                  <w:color w:val="0000EE"/>
                  <w:w w:val="98"/>
                </w:rPr>
                <w:t>Item 9B.</w:t>
              </w:r>
            </w:hyperlink>
          </w:p>
        </w:tc>
        <w:tc>
          <w:tcPr>
            <w:tcW w:w="2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gridSpan w:val="9"/>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Other Information</w:t>
              </w:r>
            </w:hyperlink>
          </w:p>
        </w:tc>
        <w:tc>
          <w:tcPr>
            <w:tcW w:w="5000" w:type="dxa"/>
            <w:vAlign w:val="bottom"/>
            <w:gridSpan w:val="14"/>
          </w:tcPr>
          <w:p>
            <w:pPr>
              <w:spacing w:after="0"/>
              <w:rPr>
                <w:sz w:val="21"/>
                <w:szCs w:val="21"/>
                <w:color w:val="auto"/>
              </w:rPr>
            </w:pPr>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75</w:t>
              </w:r>
            </w:hyperlink>
          </w:p>
        </w:tc>
        <w:tc>
          <w:tcPr>
            <w:tcW w:w="140" w:type="dxa"/>
            <w:vAlign w:val="bottom"/>
          </w:tcPr>
          <w:p>
            <w:pPr>
              <w:spacing w:after="0"/>
              <w:rPr>
                <w:sz w:val="21"/>
                <w:szCs w:val="2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2"/>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580" w:type="dxa"/>
            <w:vAlign w:val="bottom"/>
            <w:gridSpan w:val="11"/>
            <w:shd w:val="clear" w:color="auto" w:fill="CCEEFF"/>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840" w:type="dxa"/>
            <w:vAlign w:val="bottom"/>
            <w:gridSpan w:val="5"/>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10.</w:t>
              </w:r>
            </w:hyperlink>
          </w:p>
        </w:tc>
        <w:tc>
          <w:tcPr>
            <w:tcW w:w="6840" w:type="dxa"/>
            <w:vAlign w:val="bottom"/>
            <w:gridSpan w:val="24"/>
          </w:tcPr>
          <w:p>
            <w:pPr>
              <w:ind w:left="6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Directors, Executive Officers and Corporate Governance</w:t>
              </w:r>
            </w:hyperlink>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76</w:t>
              </w:r>
            </w:hyperlink>
          </w:p>
        </w:tc>
        <w:tc>
          <w:tcPr>
            <w:tcW w:w="140" w:type="dxa"/>
            <w:vAlign w:val="bottom"/>
          </w:tcPr>
          <w:p>
            <w:pPr>
              <w:spacing w:after="0"/>
              <w:rPr>
                <w:sz w:val="21"/>
                <w:szCs w:val="2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84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11.</w:t>
              </w:r>
            </w:hyperlink>
          </w:p>
        </w:tc>
        <w:tc>
          <w:tcPr>
            <w:tcW w:w="6840" w:type="dxa"/>
            <w:vAlign w:val="bottom"/>
            <w:gridSpan w:val="24"/>
            <w:shd w:val="clear" w:color="auto" w:fill="CCEEFF"/>
          </w:tcPr>
          <w:p>
            <w:pPr>
              <w:ind w:left="6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Executive Compensation</w:t>
              </w:r>
            </w:hyperlink>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76</w:t>
              </w:r>
            </w:hyperlink>
          </w:p>
        </w:tc>
        <w:tc>
          <w:tcPr>
            <w:tcW w:w="140" w:type="dxa"/>
            <w:vAlign w:val="bottom"/>
            <w:shd w:val="clear" w:color="auto" w:fill="CCEEFF"/>
          </w:tcPr>
          <w:p>
            <w:pPr>
              <w:spacing w:after="0"/>
              <w:rPr>
                <w:sz w:val="21"/>
                <w:szCs w:val="2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40" w:type="dxa"/>
            <w:vAlign w:val="bottom"/>
            <w:gridSpan w:val="5"/>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12.</w:t>
              </w:r>
            </w:hyperlink>
          </w:p>
        </w:tc>
        <w:tc>
          <w:tcPr>
            <w:tcW w:w="6840" w:type="dxa"/>
            <w:vAlign w:val="bottom"/>
            <w:gridSpan w:val="24"/>
          </w:tcPr>
          <w:p>
            <w:pPr>
              <w:ind w:left="6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Security Ownership of Certain Beneficial Owners and Management and Related</w:t>
              </w:r>
            </w:hyperlink>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Stockholder Matters</w:t>
              </w:r>
            </w:hyperlink>
          </w:p>
        </w:tc>
        <w:tc>
          <w:tcPr>
            <w:tcW w:w="980" w:type="dxa"/>
            <w:vAlign w:val="bottom"/>
            <w:gridSpan w:val="4"/>
          </w:tcPr>
          <w:p>
            <w:pPr>
              <w:spacing w:after="0"/>
              <w:rPr>
                <w:sz w:val="17"/>
                <w:szCs w:val="17"/>
                <w:color w:val="auto"/>
              </w:rPr>
            </w:pPr>
          </w:p>
        </w:tc>
        <w:tc>
          <w:tcPr>
            <w:tcW w:w="40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76</w:t>
              </w:r>
            </w:hyperlink>
          </w:p>
        </w:tc>
        <w:tc>
          <w:tcPr>
            <w:tcW w:w="140" w:type="dxa"/>
            <w:vAlign w:val="bottom"/>
          </w:tcPr>
          <w:p>
            <w:pPr>
              <w:spacing w:after="0"/>
              <w:rPr>
                <w:sz w:val="17"/>
                <w:szCs w:val="17"/>
                <w:color w:val="auto"/>
              </w:rPr>
            </w:pPr>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84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13.</w:t>
              </w:r>
            </w:hyperlink>
          </w:p>
        </w:tc>
        <w:tc>
          <w:tcPr>
            <w:tcW w:w="6840" w:type="dxa"/>
            <w:vAlign w:val="bottom"/>
            <w:gridSpan w:val="24"/>
            <w:shd w:val="clear" w:color="auto" w:fill="CCEEFF"/>
          </w:tcPr>
          <w:p>
            <w:pPr>
              <w:ind w:left="6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Certain Relationships and Related Transactions, and Director Independence</w:t>
              </w:r>
            </w:hyperlink>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76</w:t>
              </w:r>
            </w:hyperlink>
          </w:p>
        </w:tc>
        <w:tc>
          <w:tcPr>
            <w:tcW w:w="140" w:type="dxa"/>
            <w:vAlign w:val="bottom"/>
            <w:shd w:val="clear" w:color="auto" w:fill="CCEEFF"/>
          </w:tcPr>
          <w:p>
            <w:pPr>
              <w:spacing w:after="0"/>
              <w:rPr>
                <w:sz w:val="21"/>
                <w:szCs w:val="2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840" w:type="dxa"/>
            <w:vAlign w:val="bottom"/>
            <w:gridSpan w:val="5"/>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14.</w:t>
              </w:r>
            </w:hyperlink>
          </w:p>
        </w:tc>
        <w:tc>
          <w:tcPr>
            <w:tcW w:w="6840" w:type="dxa"/>
            <w:vAlign w:val="bottom"/>
            <w:gridSpan w:val="24"/>
          </w:tcPr>
          <w:p>
            <w:pPr>
              <w:ind w:left="6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Principal Accountant Fees and Services</w:t>
              </w:r>
            </w:hyperlink>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76</w:t>
              </w:r>
            </w:hyperlink>
          </w:p>
        </w:tc>
        <w:tc>
          <w:tcPr>
            <w:tcW w:w="140" w:type="dxa"/>
            <w:vAlign w:val="bottom"/>
          </w:tcPr>
          <w:p>
            <w:pPr>
              <w:spacing w:after="0"/>
              <w:rPr>
                <w:sz w:val="21"/>
                <w:szCs w:val="2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2"/>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580" w:type="dxa"/>
            <w:vAlign w:val="bottom"/>
            <w:gridSpan w:val="11"/>
            <w:shd w:val="clear" w:color="auto" w:fill="CCEEFF"/>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840" w:type="dxa"/>
            <w:vAlign w:val="bottom"/>
            <w:gridSpan w:val="5"/>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15.</w:t>
              </w:r>
            </w:hyperlink>
          </w:p>
        </w:tc>
        <w:tc>
          <w:tcPr>
            <w:tcW w:w="6840" w:type="dxa"/>
            <w:vAlign w:val="bottom"/>
            <w:gridSpan w:val="24"/>
          </w:tcPr>
          <w:p>
            <w:pPr>
              <w:ind w:left="6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Exhibits and Financial Statement Schedules</w:t>
              </w:r>
            </w:hyperlink>
          </w:p>
        </w:tc>
        <w:tc>
          <w:tcPr>
            <w:tcW w:w="400" w:type="dxa"/>
            <w:vAlign w:val="bottom"/>
            <w:gridSpan w:val="4"/>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77</w:t>
              </w:r>
            </w:hyperlink>
          </w:p>
        </w:tc>
        <w:tc>
          <w:tcPr>
            <w:tcW w:w="140" w:type="dxa"/>
            <w:vAlign w:val="bottom"/>
          </w:tcPr>
          <w:p>
            <w:pPr>
              <w:spacing w:after="0"/>
              <w:rPr>
                <w:sz w:val="21"/>
                <w:szCs w:val="2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84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Signatures</w:t>
              </w:r>
            </w:hyperlink>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gridSpan w:val="4"/>
            <w:shd w:val="clear" w:color="auto" w:fill="CCEEFF"/>
          </w:tcPr>
          <w:p>
            <w:pPr>
              <w:jc w:val="right"/>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78</w:t>
              </w:r>
            </w:hyperlink>
          </w:p>
        </w:tc>
        <w:tc>
          <w:tcPr>
            <w:tcW w:w="140" w:type="dxa"/>
            <w:vAlign w:val="bottom"/>
            <w:shd w:val="clear" w:color="auto" w:fill="CCEEFF"/>
          </w:tcPr>
          <w:p>
            <w:pPr>
              <w:spacing w:after="0"/>
              <w:rPr>
                <w:sz w:val="21"/>
                <w:szCs w:val="2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1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Financial Statements</w:t>
              </w:r>
            </w:hyperlink>
          </w:p>
        </w:tc>
        <w:tc>
          <w:tcPr>
            <w:tcW w:w="6160" w:type="dxa"/>
            <w:vAlign w:val="bottom"/>
            <w:gridSpan w:val="22"/>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5"/>
              </w:rPr>
            </w:pPr>
            <w:hyperlink w:anchor="page83">
              <w:r>
                <w:rPr>
                  <w:rFonts w:ascii="Times New Roman" w:cs="Times New Roman" w:eastAsia="Times New Roman" w:hAnsi="Times New Roman"/>
                  <w:sz w:val="18"/>
                  <w:szCs w:val="18"/>
                  <w:color w:val="0000EE"/>
                  <w:w w:val="95"/>
                </w:rPr>
                <w:t>F-1</w:t>
              </w:r>
            </w:hyperlink>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-5161915</wp:posOffset>
            </wp:positionV>
            <wp:extent cx="48710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06"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regarding the plans and objectives of management for future operations. Any such forward-looking statements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“will,” “should,” “expect,” “anticipate,” “estimate,” “believe,” “intend” or “project” or the negative of these words or other variations on these words or comparable terminology. These forward-looking statements are based on assumptions that may be incorrect, and we cannot assure you that the projections included in these forward-looking statements will come to pass. Our actual results could differ materially from those expressed or implied by the forward-looking statements as a result of various factors, including the factors discussed in Item 1A entitled “Risk Factors” in Part I of this Annual Report on Form 10-K and elsewhere in this Annual Report on Form 10-K. Other factors that could cause actual results to differ materially include changes in the economy and future changes in laws or regulations and conditions in our operating areas.</w:t>
      </w:r>
    </w:p>
    <w:p>
      <w:pPr>
        <w:spacing w:after="0" w:line="78"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We have based the forward-looking statements included in this Annual Report on Form 10-K on information available to us on the date of this Annual Report on Form 10-K, and we assume no obligation to update any such forward-looking statements, unless we are required to do so by applicable law. However, you are advised to refer to any additional disclosures that we may make directly to you or through reports that we in the future may file with the Securities and Exchange Commission (“SEC”), including subsequent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0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terms “we,” “us,” “our,” the “Company” and “KCAP” refer to KCAP Financial, Inc.</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We are an internally managed, non-diversified closed-end investment company that is regulated as business development company (“BDC”), under the Investment Company Act of 1940, as amended (the “1940 Act”). The Company was formed in August 2006 under our former name, Kohlberg Capital Corporation, and completed our initial public offering in December 2006.</w:t>
      </w:r>
    </w:p>
    <w:p>
      <w:pPr>
        <w:spacing w:after="0" w:line="7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68"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On November 8, 2018, we entered into an agreement with LibreMax Intermediate Holdings, LP (“LibreMax”) under which our wholly-owned subsidiary Commodore Holdings, LLC (“Commodore”) agreed to sell Katonah Debt Advisors, L.L.C. (“Katonah Debt Advisors”), Trimaran Advisors, L.L.C. (“Trimaran Advisors”), and Trimaran Advisors Management, L.L.C. (“Trimaran Advisors Management” and, together with Katonah Debt Advisors and Trimaran Advisors, the “Disposed Manager Affiliates”) to LibreMax for a cash purchase price of approximately $37.9 million (the “LibreMax Transaction”). In connection with the closing of the LibreMax Transaction on December 31, 2018, Commodore sold the Disposed Manager Affiliates, which manage collateralized loan obligation funds (“CLO Funds”), to LibreMax for a cash purchase price of approximately $37.9 million.</w:t>
      </w:r>
    </w:p>
    <w:p>
      <w:pPr>
        <w:spacing w:after="0" w:line="81"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2018, our remaining asset management subsidiaries (the “Asset Manager Affiliates”) were comprised of Commodore, Katonah Management Holdings, LLC, Katonah X Management LLC (“Katonah X Management”), Katonah 2007-1 Management, LLC (“Katonah 2007-I Management”) and KCAP Management, LLC. Commodore, Katonah X Management and Katonah 2007-1 Management have no operations and are expected to be liquidated in the normal course.</w:t>
      </w:r>
    </w:p>
    <w:p>
      <w:pPr>
        <w:spacing w:after="0" w:line="76"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On December 14, 2018, we entered into a stock purchase and transaction agreement (the “Externalization Agreement”) with BC Partners Advisors L.P. (“BCP”), an affiliate of BC Partners LLP (“BC Partners”), pursuant to which our management function would be externalized (the “Externalization”) and Sierra Crest Investment Management LLC, an affiliate of BC Partners (the “Adviser”) would be appointed as our investment adviser, subject to our stockholders’ approval of the proposed investment advisory agreement between us and the Adviser (the “Advisory Agreement”). At a special meeting of our stockholders (the “Special Meeting”) held on February 19, 2019, our stockholders approved the Advisory Agreement. As described further below, under “The Externalization Agreement,” if the transactions contemplated by the Externalization Agreement are completed, upon closing of the Externalization (the “Closing”), we will commence operations as an externally managed BDC managed by the Adviser.</w:t>
      </w:r>
    </w:p>
    <w:p>
      <w:pPr>
        <w:spacing w:after="0" w:line="78"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Company has also invested in debt and subordinated securities issued by CLO Funds (the “CLO Fund Securities”). Our investments in CLO Fund Securities are primarily managed by our formerly wholly-owned asset management subsidiaries, Trimaran Advisors and Trimaran Advisors Management, but from time-to-time the Company has made investments in CLO Fund Securities managed by other asset managers. The CLO Funds typically invest in broadly syndicated loans, high-yield bonds and other credit instruments.</w:t>
      </w:r>
    </w:p>
    <w:p>
      <w:pPr>
        <w:spacing w:after="0" w:line="76" w:lineRule="exact"/>
        <w:rPr>
          <w:sz w:val="20"/>
          <w:szCs w:val="20"/>
          <w:color w:val="auto"/>
        </w:rPr>
      </w:pPr>
    </w:p>
    <w:p>
      <w:pPr>
        <w:jc w:val="both"/>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Our investments in CLO Fund Securities, which are primarily made up of minority investments in the subordinated securities or preferred stock of CLO Funds managed by the Disposed Manager Affiliates, are anticipated to provide the Company with recurring cash distributions.</w:t>
      </w:r>
    </w:p>
    <w:p>
      <w:pPr>
        <w:spacing w:after="0" w:line="6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Company may also invest in other investments such as loans to smaller private companies, publicly-traded companies, high-yield bonds, joint ventures, managed funds, partnerships, and distressed debt securities. The Company may also receive warrants or options to purchase common stock in connection with our debt investments.</w:t>
      </w:r>
    </w:p>
    <w:p>
      <w:pPr>
        <w:spacing w:after="0" w:line="24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979" w:firstLine="360"/>
        <w:spacing w:after="0" w:line="254" w:lineRule="auto"/>
        <w:rPr>
          <w:sz w:val="20"/>
          <w:szCs w:val="20"/>
          <w:color w:val="auto"/>
        </w:rPr>
      </w:pPr>
      <w:r>
        <w:rPr>
          <w:rFonts w:ascii="Times New Roman" w:cs="Times New Roman" w:eastAsia="Times New Roman" w:hAnsi="Times New Roman"/>
          <w:sz w:val="18"/>
          <w:szCs w:val="18"/>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78" w:lineRule="exact"/>
        <w:rPr>
          <w:sz w:val="20"/>
          <w:szCs w:val="20"/>
          <w:color w:val="auto"/>
        </w:rPr>
      </w:pPr>
    </w:p>
    <w:p>
      <w:pPr>
        <w:jc w:val="both"/>
        <w:ind w:left="1260" w:right="1419" w:firstLine="360"/>
        <w:spacing w:after="0" w:line="266" w:lineRule="auto"/>
        <w:rPr>
          <w:sz w:val="20"/>
          <w:szCs w:val="20"/>
          <w:color w:val="auto"/>
        </w:rPr>
      </w:pPr>
      <w:r>
        <w:rPr>
          <w:rFonts w:ascii="Times New Roman" w:cs="Times New Roman" w:eastAsia="Times New Roman" w:hAnsi="Times New Roman"/>
          <w:sz w:val="18"/>
          <w:szCs w:val="18"/>
          <w:color w:val="auto"/>
        </w:rPr>
        <w:t>Because we are internally managed by our executive officers under the supervision of our Board of Directors, we incur the operating costs associated with employing investment and portfolio management professionals.</w:t>
      </w:r>
    </w:p>
    <w:p>
      <w:pPr>
        <w:spacing w:after="0" w:line="68"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As a BDC, we are required to comply with regulatory requirements, including limitations on our use of debt. We are permitted to, and expect to continue to, finance our investments through borrowings. However, as a BDC, we are only generally allowed to borrow amounts such that our asset coverage, as defined in the 1940 Act, equals at least 200% (or the 150% asset coverage ratio effective as of March 29, 2019) after such borrowing. The 1940 Act also generally prohibits us from declaring any cash dividend or distribution on any class of our capital stock if our asset coverage is below 200% (or the 150% asset coverage ratio effective as of March 29, 2019) at the time of the declaration of the dividend or distribution.</w:t>
      </w:r>
    </w:p>
    <w:p>
      <w:pPr>
        <w:spacing w:after="0" w:line="81"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On March 29, 2018, the Company’s Board of Directors,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will be changed from 200% to 150%, effective as of March 29, 2019. However, despite the SBCA, we will continue to be prohibited by the indentures governing our 6.125% Notes (as defined and discussed in Note 6- “Borrowings” below) from making distributions on our common stock if our asset coverage, as defined in the 1940 Act, falls below 200%. In any such event, we would be prohibited from making distributions required in order to maintain our status as a regulated investment company (“RIC”).</w:t>
      </w:r>
    </w:p>
    <w:p>
      <w:pPr>
        <w:spacing w:after="0" w:line="81" w:lineRule="exact"/>
        <w:rPr>
          <w:sz w:val="20"/>
          <w:szCs w:val="20"/>
          <w:color w:val="auto"/>
        </w:rPr>
      </w:pPr>
    </w:p>
    <w:p>
      <w:pPr>
        <w:ind w:left="1260" w:right="879" w:firstLine="360"/>
        <w:spacing w:after="0" w:line="256" w:lineRule="auto"/>
        <w:rPr>
          <w:sz w:val="20"/>
          <w:szCs w:val="20"/>
          <w:color w:val="auto"/>
        </w:rPr>
      </w:pPr>
      <w:r>
        <w:rPr>
          <w:rFonts w:ascii="Times New Roman" w:cs="Times New Roman" w:eastAsia="Times New Roman" w:hAnsi="Times New Roman"/>
          <w:sz w:val="18"/>
          <w:szCs w:val="18"/>
          <w:color w:val="auto"/>
        </w:rPr>
        <w:t>Subject to market conditions, we intend to grow our portfolio of assets by raising additional capital, including through the prudent use of leverage available to us.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80"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We have elected to be treated for U.S. federal income tax purposes as a RIC under the Internal Revenue Code (the “Code”) and intend to operate in a manner to maintain our RIC status. Accordingly, we generally will not pay corporate-level U.S. federal income taxes on any net ordinary tax-basis taxable income or capital gains that we timely distribute to our shareholders as dividends. To maintain our RIC tax treatment, we must meet the specified source-of-income and asset diversification requirements and distribute to our stockholders annually at least 90% of our net ordinary tax-basis taxable income and realized net short-term capital gains in excess of realized net long-term capital losses, if any, for each year.</w:t>
      </w:r>
    </w:p>
    <w:p>
      <w:pPr>
        <w:spacing w:after="0" w:line="81"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employ an experienced team of seven investment professionals and 13 total staff members. Dayl W. Pearson, our President and Chief Executive Officer, and one of our directors, has been in the financial services industry for more than 40 years. During the past 27 years, Mr. Pearson has focused almost exclusively on the middle market and has originated, structured and underwritten over $7 billion of debt and equity securities. R. Jon Corless, our Chief Investment Officer with primary responsibility for the Debt Securities Portfolio, has managed investment portfolios in excess of $4 billion at several institutions and has been responsible for managing portfolios of leveraged loans, high-yield bonds, mezzanine securities and middle market loans. Edward U. Gilpin, our Chief Financial Officer, Secretary and Treasurer, has been in financial services for over 35 years, with significant experience in overseeing the financial operations and reporting for asset management businesses.</w:t>
      </w:r>
    </w:p>
    <w:p>
      <w:pPr>
        <w:spacing w:after="0" w:line="25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Under the investment company rules and regulations pursuant to Article 6 of Regulation S-X and the Financial Standards Board Accounting Standards Codification (“ASC”), Financial Services — Investment Companies (“ASC 946”), we are precluded from consolidating portfolio company investments, including those in which we have a controlling interest, unless the portfolio company is another investment company. An exception to this general principle in ASC 946 occurs if we own a controlled operating company that provides all or substantially all of its services directly to us, or to an investment company of ours. Other than KCAP Funding I LLC, Kohlberg Capital Funding I LLC, KCAP Senior Funding I Holdings LLC and KCAP Senior Funding I LLC, none of the investments made by us qualify for this exception. Therefore, our portfolio investments, including our investments in the Asset Manager Affiliates and the Joint Venture (as defined below), are carried on the balance sheet at fair value with any adjustments to fair value recognized as “Net Change in Unrealized Appreciation (Depreciation)” in our statement of operations until the investment is exited, at which point any gain or loss on exit is reclassified and recognized as a “Net Realized Gain (Loss) from Investments.”</w:t>
      </w:r>
    </w:p>
    <w:p>
      <w:pPr>
        <w:spacing w:after="0" w:line="83"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“KCAP.” The net asset value per share of our common stock at December 31, 2018 was $4.23. On December 31, 2018, the last reported sale price of a share of our common stock on The NASDAQ Global Select Market was $3.46. In addition, our 6.125% notes due 2022 (“6.125% Notes Due 2022”) are traded on the NASDAQ Global Select Market under the symbol “KCAPL.” As of December 31, 2018, the last reported price of our 6.125% Notes Due 2022, which have a par value of $25.00, was $24.74.</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295 Madison Avenue, 6th Floor, New York, New York 10017, and our telephone number is (212) 455-8300. We maintain a website on the Internet at </w:t>
      </w:r>
      <w:r>
        <w:rPr>
          <w:rFonts w:ascii="Times New Roman" w:cs="Times New Roman" w:eastAsia="Times New Roman" w:hAnsi="Times New Roman"/>
          <w:sz w:val="18"/>
          <w:szCs w:val="18"/>
          <w:i w:val="1"/>
          <w:iCs w:val="1"/>
          <w:color w:val="auto"/>
        </w:rPr>
        <w:t>http://www.kcapfinancial.com</w:t>
      </w:r>
      <w:r>
        <w:rPr>
          <w:rFonts w:ascii="Times New Roman" w:cs="Times New Roman" w:eastAsia="Times New Roman" w:hAnsi="Times New Roman"/>
          <w:sz w:val="18"/>
          <w:szCs w:val="18"/>
          <w:color w:val="auto"/>
        </w:rPr>
        <w:t>. The information contained in our website is not incorporated by reference into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We file with or submit to the SEC periodic and current reports, proxy statements and other information meeting the informational requirements of the Securities Exchange Act of 1934 (the “Exchange Act”). We make copies of these filings available on the Investor Relations-SEC Filings section of our website free of charge as soon as reasonably practicable after we electronically file the information with, or furnish it to, the SEC. The SEC maintains an Internet site at http://www.sec.gov that contains reports, proxy and information statements and other information filed electronically by us with the SEC. Copies of these reports, proxy and information statements and other information may also be obtained by electronic request at the following e-mail address: publicinfo@sec.gov</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0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Our investment portfolio generates investment income, which is generally used to pay principal and interest on our borrowings, operating expenses, and to fund our distributions to our stockholders. Our investment portfolio consists primarily of our Debt Securities Portfolio and investments in CLO Fund Securities.</w:t>
      </w:r>
    </w:p>
    <w:p>
      <w:pPr>
        <w:spacing w:after="0" w:line="66" w:lineRule="exact"/>
        <w:rPr>
          <w:sz w:val="20"/>
          <w:szCs w:val="20"/>
          <w:color w:val="auto"/>
        </w:rPr>
      </w:pPr>
    </w:p>
    <w:p>
      <w:pPr>
        <w:ind w:left="1260" w:right="9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Securities Portfolio. </w:t>
      </w:r>
      <w:r>
        <w:rPr>
          <w:rFonts w:ascii="Times New Roman" w:cs="Times New Roman" w:eastAsia="Times New Roman" w:hAnsi="Times New Roman"/>
          <w:sz w:val="18"/>
          <w:szCs w:val="18"/>
          <w:color w:val="auto"/>
        </w:rPr>
        <w:t>We target privately-held middle market companies that have strong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experienced management teams and identifiable and defendable market positions in industries with positive dynamics. We generally target companies that generate positive cash flows because we look to cash flows as the primary source for servicing debt.</w:t>
      </w:r>
    </w:p>
    <w:p>
      <w:pPr>
        <w:spacing w:after="0" w:line="74"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We employ a disciplined approach in the selection and monitoring of our investments. Generally, we target investments that will generate a current return through interest income to provide for stability in our shareholder distributions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by following our internal credit policies and procedures.</w:t>
      </w:r>
    </w:p>
    <w:p>
      <w:pPr>
        <w:spacing w:after="0" w:line="77" w:lineRule="exact"/>
        <w:rPr>
          <w:sz w:val="20"/>
          <w:szCs w:val="20"/>
          <w:color w:val="auto"/>
        </w:rPr>
      </w:pPr>
    </w:p>
    <w:p>
      <w:pPr>
        <w:ind w:left="1260" w:right="1239" w:firstLine="360"/>
        <w:spacing w:after="0" w:line="313" w:lineRule="auto"/>
        <w:rPr>
          <w:sz w:val="20"/>
          <w:szCs w:val="20"/>
          <w:color w:val="auto"/>
        </w:rPr>
      </w:pPr>
      <w:r>
        <w:rPr>
          <w:rFonts w:ascii="Times New Roman" w:cs="Times New Roman" w:eastAsia="Times New Roman" w:hAnsi="Times New Roman"/>
          <w:sz w:val="17"/>
          <w:szCs w:val="17"/>
          <w:color w:val="auto"/>
        </w:rPr>
        <w:t>When we extend senior and junior secured term loans, we will generally take a security interest in the available assets of the portfolio company, including the equity interests of its subsidiaries, which we expect</w:t>
      </w:r>
    </w:p>
    <w:p>
      <w:pPr>
        <w:spacing w:after="0" w:line="20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59"/>
        <w:spacing w:after="0" w:line="253" w:lineRule="auto"/>
        <w:rPr>
          <w:sz w:val="20"/>
          <w:szCs w:val="20"/>
          <w:color w:val="auto"/>
        </w:rPr>
      </w:pPr>
      <w:r>
        <w:rPr>
          <w:rFonts w:ascii="Times New Roman" w:cs="Times New Roman" w:eastAsia="Times New Roman" w:hAnsi="Times New Roman"/>
          <w:sz w:val="18"/>
          <w:szCs w:val="18"/>
          <w:color w:val="auto"/>
        </w:rPr>
        <w:t>to help mitigate the risk that we will not be repaid. Nonetheless, there is a possibility that our lien could be subordinated to claims of other creditors. Structurally, mezzanine debt ranks subordinate in priority of payment to senior term loans and is often unsecured. Relative to equity, mezzanine debt ranks senior to common and preferred equity in a borrower’s capital structure. Typically, mezzanine debt has elements of both debt and equity instruments, offering the fixed returns in the form of interest payments associated with a loan, while providing an opportunity to participate in the capital appreciation of a borrower, if any, through an equity interest that is typically in the form of equity purchased at the time the mezzanine loan is originated or warrants to purchase equity at a future date at a fixed cost. Mezzanine debt generally earns a higher return than senior secured debt due to its higher risk profile and usually less restrictive covenants. The warrants associated with mezzanine debt are typically detachable, which allows lenders to receive repayment of their principal on an agreed amortization schedule while retaining an equity interest in the borrower. Mezzanine debt also may include a “put” feature, which permits the holder to sell its equity interest back to the borrower at a price determined through an agreed formula.</w:t>
      </w:r>
    </w:p>
    <w:p>
      <w:pPr>
        <w:spacing w:after="0" w:line="8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Below are summary attributes for our Debt Securities Portfolio as of and for the year ended December 31, 2018:</w:t>
      </w:r>
    </w:p>
    <w:p>
      <w:pPr>
        <w:spacing w:after="0" w:line="94" w:lineRule="exact"/>
        <w:rPr>
          <w:sz w:val="20"/>
          <w:szCs w:val="20"/>
          <w:color w:val="auto"/>
        </w:rPr>
      </w:pPr>
    </w:p>
    <w:p>
      <w:pPr>
        <w:ind w:left="1980" w:hanging="352"/>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approximately 54% of total investment portfolio;</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credit instruments issued by corporate borrowers;</w:t>
      </w:r>
    </w:p>
    <w:p>
      <w:pPr>
        <w:spacing w:after="0" w:line="144" w:lineRule="exact"/>
        <w:rPr>
          <w:rFonts w:ascii="Times New Roman" w:cs="Times New Roman" w:eastAsia="Times New Roman" w:hAnsi="Times New Roman"/>
          <w:sz w:val="18"/>
          <w:szCs w:val="18"/>
          <w:color w:val="auto"/>
        </w:rPr>
      </w:pPr>
    </w:p>
    <w:p>
      <w:pPr>
        <w:ind w:left="1980" w:right="1239" w:hanging="352"/>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comprised of senior secured and junior secured loans (52% and 48% of Debt Securities Portfolio, respectively);</w:t>
      </w:r>
    </w:p>
    <w:p>
      <w:pPr>
        <w:spacing w:after="0" w:line="9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spread across 21 different industries and 51 different entities;</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par balance per investment of approximately $2.8 million;</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investments were on non-accrual status; and</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contractual interest rate on our loans and debt securities was approximately</w:t>
      </w:r>
    </w:p>
    <w:p>
      <w:pPr>
        <w:spacing w:after="0" w:line="27" w:lineRule="exact"/>
        <w:rPr>
          <w:rFonts w:ascii="Times New Roman" w:cs="Times New Roman" w:eastAsia="Times New Roman" w:hAnsi="Times New Roman"/>
          <w:sz w:val="18"/>
          <w:szCs w:val="18"/>
          <w:color w:val="auto"/>
        </w:rPr>
      </w:pPr>
    </w:p>
    <w:p>
      <w:pPr>
        <w:ind w:left="1980" w:right="8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and the weighted average contractual interest rate on our loans and debt securities, adjusted for non-accrual investments, was approximately 9.1%.</w:t>
      </w:r>
    </w:p>
    <w:p>
      <w:pPr>
        <w:spacing w:after="0" w:line="72" w:lineRule="exact"/>
        <w:rPr>
          <w:sz w:val="20"/>
          <w:szCs w:val="20"/>
          <w:color w:val="auto"/>
        </w:rPr>
      </w:pPr>
    </w:p>
    <w:p>
      <w:pPr>
        <w:ind w:left="1260" w:right="999" w:firstLine="360"/>
        <w:spacing w:after="0" w:line="261" w:lineRule="auto"/>
        <w:rPr>
          <w:sz w:val="20"/>
          <w:szCs w:val="20"/>
          <w:color w:val="auto"/>
        </w:rPr>
      </w:pPr>
      <w:r>
        <w:rPr>
          <w:rFonts w:ascii="Times New Roman" w:cs="Times New Roman" w:eastAsia="Times New Roman" w:hAnsi="Times New Roman"/>
          <w:sz w:val="18"/>
          <w:szCs w:val="18"/>
          <w:color w:val="auto"/>
        </w:rPr>
        <w:t>Our Debt Securities Portfolio investments generally average between $1 million to $20 million, although particular investments may be larger or smaller. The size of individual investments will vary according to their priority in a company’s capital structure, with larger investments in more secure positions in an effort to maximize capital preservation. The size of our investments and maturity dates may vary as follows:</w:t>
      </w:r>
    </w:p>
    <w:p>
      <w:pPr>
        <w:spacing w:after="0" w:line="113" w:lineRule="exact"/>
        <w:rPr>
          <w:sz w:val="20"/>
          <w:szCs w:val="20"/>
          <w:color w:val="auto"/>
        </w:rPr>
      </w:pPr>
    </w:p>
    <w:p>
      <w:pPr>
        <w:ind w:left="1980" w:hanging="352"/>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term loans from $2 to $20 million maturing in five to seven years;</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lien term loans from $5 to $15 million maturing in six to eight years;</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loans from $5 to $23 million maturing in six to eight years;</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mezzanine loans from $5 to $15 million maturing in seven to ten years; and</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from $1 to $5 million.</w:t>
      </w:r>
    </w:p>
    <w:p>
      <w:pPr>
        <w:spacing w:after="0" w:line="115"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in the Joint Venture. </w:t>
      </w:r>
      <w:r>
        <w:rPr>
          <w:rFonts w:ascii="Times New Roman" w:cs="Times New Roman" w:eastAsia="Times New Roman" w:hAnsi="Times New Roman"/>
          <w:sz w:val="18"/>
          <w:szCs w:val="18"/>
          <w:color w:val="auto"/>
        </w:rPr>
        <w:t>During the third quarter of 2017, the Company and Freedom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KCAP F3C Senior Funding, L.L.C.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59" w:firstLine="360"/>
        <w:spacing w:after="0" w:line="273" w:lineRule="auto"/>
        <w:rPr>
          <w:sz w:val="20"/>
          <w:szCs w:val="20"/>
          <w:color w:val="auto"/>
        </w:rPr>
      </w:pPr>
      <w:r>
        <w:rPr>
          <w:rFonts w:ascii="Times New Roman" w:cs="Times New Roman" w:eastAsia="Times New Roman" w:hAnsi="Times New Roman"/>
          <w:sz w:val="17"/>
          <w:szCs w:val="17"/>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Approximately $11.2 million of this distribution was a reduction in the cost basis of the Company’s investment in the Joint Venture.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64"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81"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Joint Venture is an investment company under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78" w:lineRule="exact"/>
        <w:rPr>
          <w:sz w:val="20"/>
          <w:szCs w:val="20"/>
          <w:color w:val="auto"/>
        </w:rPr>
      </w:pPr>
    </w:p>
    <w:p>
      <w:pPr>
        <w:ind w:left="1260" w:right="9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 Fund Securities. </w:t>
      </w:r>
      <w:r>
        <w:rPr>
          <w:rFonts w:ascii="Times New Roman" w:cs="Times New Roman" w:eastAsia="Times New Roman" w:hAnsi="Times New Roman"/>
          <w:sz w:val="18"/>
          <w:szCs w:val="18"/>
          <w:color w:val="auto"/>
        </w:rPr>
        <w:t>Our investments in CLO Fund Securities are primarily made up of minority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the subordinated securities or preferred stock of CLO Funds managed by the Disposed Manager Affiliates.</w:t>
      </w:r>
    </w:p>
    <w:p>
      <w:pPr>
        <w:spacing w:after="0" w:line="67"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Below are summary attributes for our CLO Fund Securities, as of and for the year-ended December 31, 2018, unless otherwise specified:</w:t>
      </w:r>
    </w:p>
    <w:p>
      <w:pPr>
        <w:spacing w:after="0" w:line="81" w:lineRule="exact"/>
        <w:rPr>
          <w:sz w:val="20"/>
          <w:szCs w:val="20"/>
          <w:color w:val="auto"/>
        </w:rPr>
      </w:pPr>
    </w:p>
    <w:p>
      <w:pPr>
        <w:ind w:left="1980" w:right="1059" w:hanging="352"/>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Fund Securities represented approximately 16% of total investment portfolio at December 31, 2018;</w:t>
      </w:r>
    </w:p>
    <w:p>
      <w:pPr>
        <w:spacing w:after="0" w:line="80" w:lineRule="exact"/>
        <w:rPr>
          <w:rFonts w:ascii="Times New Roman" w:cs="Times New Roman" w:eastAsia="Times New Roman" w:hAnsi="Times New Roman"/>
          <w:sz w:val="18"/>
          <w:szCs w:val="18"/>
          <w:color w:val="auto"/>
        </w:rPr>
      </w:pPr>
    </w:p>
    <w:p>
      <w:pPr>
        <w:ind w:left="1980" w:right="1099" w:hanging="352"/>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CLO Fund Securities Portfolio represented investments in subordinated securities or equity securities issued by CLO Funds and 10% of CLO Fund Securities Portfolio was a rated note;</w:t>
      </w:r>
    </w:p>
    <w:p>
      <w:pPr>
        <w:spacing w:after="0" w:line="6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CLO Funds invested primarily in credit instruments issued by corporate borrowers;</w:t>
      </w:r>
    </w:p>
    <w:p>
      <w:pPr>
        <w:spacing w:after="0" w:line="144" w:lineRule="exact"/>
        <w:rPr>
          <w:rFonts w:ascii="Times New Roman" w:cs="Times New Roman" w:eastAsia="Times New Roman" w:hAnsi="Times New Roman"/>
          <w:sz w:val="18"/>
          <w:szCs w:val="18"/>
          <w:color w:val="auto"/>
        </w:rPr>
      </w:pPr>
    </w:p>
    <w:p>
      <w:pPr>
        <w:ind w:left="1980" w:right="1099" w:hanging="352"/>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generally accepted accounting principles (“GAAP”) basis investment income of $6.4 million; cash distributions received of approximately $19.5 million (approximately $3.5 million taxable distributable income, $16.0 million tax return of capital to KCAP).</w:t>
      </w:r>
    </w:p>
    <w:p>
      <w:pPr>
        <w:spacing w:after="0" w:line="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Asset Manager Affiliates.  </w:t>
      </w:r>
      <w:r>
        <w:rPr>
          <w:rFonts w:ascii="Times New Roman" w:cs="Times New Roman" w:eastAsia="Times New Roman" w:hAnsi="Times New Roman"/>
          <w:sz w:val="18"/>
          <w:szCs w:val="18"/>
          <w:color w:val="auto"/>
        </w:rPr>
        <w:t>As of December 31, 2018, our Asset Manager Affiliates were valued at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$3.5 million. As discussed above, in connection with the LibreMax Transaction, on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2018, our wholly-owned subsidiary Commodore Holdings, LLC sold the Disposed Manager Affiliates, which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represented substantially all of our investment in the Asset Manager Affiliates, to LibreMax. Commodore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Holdings, LLC received cash proceeds of $37.9 million from the sale and distributed $33.8 million in cash to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All of this cash distribution was recorded as a return of capital, and no realized gain or loss was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recognized on this transaction. As of December 31, 2017, our Asset Manager Affiliates had approximately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$3.0 billion of par value of assets under management on which they earned management fees, and were valued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$38.8 million.</w:t>
      </w:r>
    </w:p>
    <w:p>
      <w:pPr>
        <w:spacing w:after="0" w:line="99" w:lineRule="exact"/>
        <w:rPr>
          <w:sz w:val="20"/>
          <w:szCs w:val="20"/>
          <w:color w:val="auto"/>
        </w:rPr>
      </w:pPr>
    </w:p>
    <w:p>
      <w:pPr>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The Disposed Manager Affiliates manage CLO Funds that invest in broadly syndicated loans, high yield bonds and other credit instruments. The CLO Funds managed by the Disposed Manager Affiliates consist primarily of credit instruments issued by corporations. Accordingly, certain CLO Fund investments were reclassified from CLO Funds managed by our affiliates to CLO Funds managed by unaffiliated third-parties on December 31, 2018.</w:t>
      </w:r>
    </w:p>
    <w:p>
      <w:pPr>
        <w:spacing w:after="0" w:line="23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Below are summary attributes for our Asset Manager Affiliates, as of and for the year ended December 31, 2018:</w:t>
      </w:r>
    </w:p>
    <w:p>
      <w:pPr>
        <w:spacing w:after="0" w:line="135" w:lineRule="exact"/>
        <w:rPr>
          <w:sz w:val="20"/>
          <w:szCs w:val="20"/>
          <w:color w:val="auto"/>
        </w:rPr>
      </w:pPr>
    </w:p>
    <w:p>
      <w:pPr>
        <w:ind w:left="1980" w:right="999" w:hanging="352"/>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at December 31, 2018 of approximately $3.5 million represented approximately 1% of total investment portfolio;</w:t>
      </w:r>
    </w:p>
    <w:p>
      <w:pPr>
        <w:spacing w:after="0" w:line="121" w:lineRule="exact"/>
        <w:rPr>
          <w:rFonts w:ascii="Times New Roman" w:cs="Times New Roman" w:eastAsia="Times New Roman" w:hAnsi="Times New Roman"/>
          <w:sz w:val="18"/>
          <w:szCs w:val="18"/>
          <w:color w:val="auto"/>
        </w:rPr>
      </w:pPr>
    </w:p>
    <w:p>
      <w:pPr>
        <w:ind w:left="1980" w:right="859" w:hanging="352"/>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2018, we received cash distributions of approximately $36.0 million, of which $34.8 million was a return of capital.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0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On March 1, 2018, KCAP Funding I, LLC (“Funding”), a wholly-owned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7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w:t>
      </w:r>
    </w:p>
    <w:p>
      <w:pPr>
        <w:spacing w:after="0" w:line="3" w:lineRule="exact"/>
        <w:rPr>
          <w:sz w:val="20"/>
          <w:szCs w:val="20"/>
          <w:color w:val="auto"/>
        </w:rPr>
      </w:pPr>
    </w:p>
    <w:p>
      <w:pPr>
        <w:ind w:left="1260" w:right="859"/>
        <w:spacing w:after="0" w:line="261" w:lineRule="auto"/>
        <w:rPr>
          <w:sz w:val="20"/>
          <w:szCs w:val="20"/>
          <w:color w:val="auto"/>
        </w:rPr>
      </w:pPr>
      <w:r>
        <w:rPr>
          <w:rFonts w:ascii="Times New Roman" w:cs="Times New Roman" w:eastAsia="Times New Roman" w:hAnsi="Times New Roman"/>
          <w:sz w:val="18"/>
          <w:szCs w:val="18"/>
          <w:color w:val="auto"/>
        </w:rPr>
        <w:t>0.375% per annum; provided that if 50% or less of the Revolving Credit Facility is drawn, the fee will be 0.50% per annum.</w:t>
      </w:r>
    </w:p>
    <w:p>
      <w:pPr>
        <w:spacing w:after="0" w:line="7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6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maturity date is the earlier of: (a) March 1, 2022 and (b) the date upon which all loans shall become due and payable in full, whether by acceleration or otherwise, as a result of a default by the Company, as defined in the Revolving Credit Facility.</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Borrowings under the Revolving Credit Facility are repayable by the Company at any time.</w:t>
      </w:r>
    </w:p>
    <w:p>
      <w:pPr>
        <w:spacing w:after="0" w:line="117"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December 31, 2018, Funding was in compliance with all of its debt covenants.</w:t>
      </w:r>
    </w:p>
    <w:p>
      <w:pPr>
        <w:spacing w:after="0" w:line="80"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2018, $26.4 million principal amount of borrowings was outstanding under the Revolving Credit Facility.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and Process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Structure</w:t>
      </w:r>
    </w:p>
    <w:p>
      <w:pPr>
        <w:spacing w:after="0" w:line="10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are an internally managed BDC with 13 full-time employees. The following are our key functional teams that execute our business strategy:</w:t>
      </w:r>
    </w:p>
    <w:p>
      <w:pPr>
        <w:spacing w:after="0" w:line="121" w:lineRule="exact"/>
        <w:rPr>
          <w:sz w:val="20"/>
          <w:szCs w:val="20"/>
          <w:color w:val="auto"/>
        </w:rPr>
      </w:pPr>
    </w:p>
    <w:p>
      <w:pPr>
        <w:ind w:left="1980" w:right="799" w:hanging="352"/>
        <w:spacing w:after="0" w:line="258"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BDC investment team consists of seven professionals who originate, structure, and invest in senior secured term loans, mezzanine debt and selected equity securities primarily in privately-held middle market companies as well as CLO Funds, joint ventures, managed funds, partnerships and distressed debt securities. The Company may also receive warrants or options to purchase common stock in connection with our debt investments.</w:t>
      </w:r>
    </w:p>
    <w:p>
      <w:pPr>
        <w:spacing w:after="0" w:line="156" w:lineRule="exact"/>
        <w:rPr>
          <w:rFonts w:ascii="Times New Roman" w:cs="Times New Roman" w:eastAsia="Times New Roman" w:hAnsi="Times New Roman"/>
          <w:sz w:val="18"/>
          <w:szCs w:val="18"/>
          <w:color w:val="auto"/>
        </w:rPr>
      </w:pPr>
    </w:p>
    <w:p>
      <w:pPr>
        <w:ind w:left="1980" w:right="1439" w:hanging="352"/>
        <w:spacing w:after="0" w:line="282"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the employees include senior management, operations, financial accounting, compliance and human resource personnel.</w:t>
      </w:r>
    </w:p>
    <w:p>
      <w:pPr>
        <w:spacing w:after="0" w:line="21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Process</w:t>
      </w:r>
    </w:p>
    <w:p>
      <w:pPr>
        <w:spacing w:after="0" w:line="10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Company will review potential investment opportunities and conduct due diligence that typically includes a review of historical and prospective financial information, participation in a presentation held by the prospective portfolio company’s management and/or the transaction sponsor, a review of the prospective portfolio company’s product or service, an analysis and understanding of the drivers of the particular industry in which the prospective portfolio company operates, and an assessment of the debt service capabilities of the prospective portfolio company under a variety of assumed forecast scenarios.</w:t>
      </w:r>
    </w:p>
    <w:p>
      <w:pPr>
        <w:spacing w:after="0" w:line="80" w:lineRule="exact"/>
        <w:rPr>
          <w:sz w:val="20"/>
          <w:szCs w:val="20"/>
          <w:color w:val="auto"/>
        </w:rPr>
      </w:pPr>
    </w:p>
    <w:p>
      <w:pPr>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Due to our ability to source transactions through multiple channels, we expect to continue to maintain a pipeline of opportunities to allow comparative risk return analysis and selectivity. By focusing on the drivers of revenue and cash flow, we develop our own underwriting cases, and multiple stress and event specific case scenarios for each company analyzed.</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focus on lending and investing opportunities in:</w:t>
      </w:r>
    </w:p>
    <w:p>
      <w:pPr>
        <w:spacing w:after="0" w:line="131" w:lineRule="exact"/>
        <w:rPr>
          <w:sz w:val="20"/>
          <w:szCs w:val="20"/>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EBITDA of $10 to $50 million;</w:t>
      </w:r>
    </w:p>
    <w:p>
      <w:pPr>
        <w:spacing w:after="0" w:line="11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financing needs of $25 to $150 million;</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purchased by well-regarded private equity sponsors;</w:t>
      </w:r>
    </w:p>
    <w:p>
      <w:pPr>
        <w:spacing w:after="0" w:line="11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non-sponsored companies with successful management and systems;</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high-yield bonds and broadly syndicated loans to larger companies on a selective basis; and</w:t>
      </w:r>
    </w:p>
    <w:p>
      <w:pPr>
        <w:spacing w:after="0" w:line="130" w:lineRule="exact"/>
        <w:rPr>
          <w:rFonts w:ascii="Times New Roman" w:cs="Times New Roman" w:eastAsia="Times New Roman" w:hAnsi="Times New Roman"/>
          <w:sz w:val="18"/>
          <w:szCs w:val="18"/>
          <w:color w:val="auto"/>
        </w:rPr>
      </w:pPr>
    </w:p>
    <w:p>
      <w:pPr>
        <w:ind w:left="1620" w:right="1239" w:firstLine="8"/>
        <w:spacing w:after="0" w:line="375"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co-investment in companies where we see substantial opportunity for capital appreciation. We source investment opportunities from:</w:t>
      </w:r>
    </w:p>
    <w:p>
      <w:pPr>
        <w:spacing w:after="0" w:line="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sponsors;</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investment banks for non-sponsored companies;</w:t>
      </w:r>
    </w:p>
    <w:p>
      <w:pPr>
        <w:spacing w:after="0" w:line="11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middle market lenders with whom we can participate in loans; and</w:t>
      </w:r>
    </w:p>
    <w:p>
      <w:pPr>
        <w:spacing w:after="0" w:line="117" w:lineRule="exact"/>
        <w:rPr>
          <w:sz w:val="20"/>
          <w:szCs w:val="20"/>
          <w:color w:val="auto"/>
        </w:rPr>
      </w:pPr>
    </w:p>
    <w:p>
      <w:pPr>
        <w:ind w:left="1260" w:right="879" w:firstLine="360"/>
        <w:spacing w:after="0" w:line="256" w:lineRule="auto"/>
        <w:rPr>
          <w:sz w:val="20"/>
          <w:szCs w:val="20"/>
          <w:color w:val="auto"/>
        </w:rPr>
      </w:pPr>
      <w:r>
        <w:rPr>
          <w:rFonts w:ascii="Times New Roman" w:cs="Times New Roman" w:eastAsia="Times New Roman" w:hAnsi="Times New Roman"/>
          <w:sz w:val="18"/>
          <w:szCs w:val="18"/>
          <w:color w:val="auto"/>
        </w:rPr>
        <w:t>In our experience, good credit judgment is based on a thorough understanding of both the qualitative and quantitative factors that determine a company’s performance. Our analysis begins with an understanding of the fundamentals of the industry in which a company operates, including the current economic environment and the outlook for the industry. We also focus on the company’s relative position within the industry and its historical ability to weather economic cycles. Other key qualitative factors include the experience and depth of the management team and the financial sponsor, if any.</w:t>
      </w:r>
    </w:p>
    <w:p>
      <w:pPr>
        <w:spacing w:after="0" w:line="80"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Only after we have a comprehensive understanding of the qualitative factors do we focus on quantitative metrics. We believe that with the context provided by the qualitative analysis, we can gain a better understanding of a company’s financial performance. We analyze a potential portfolio company’s sales growth and margins in the context of its competition as well as its ability to manage its working capital requirements and its ability to generate consistent cash flow. Based upon this historical analysis, we develop a set of projections which represents a reasonable underwriting case of most likely outcomes for the company over the period of our investment. We also look at potential downside cases to determine a company’s ability to service its debt in a stressed credit environment.</w:t>
      </w:r>
    </w:p>
    <w:p>
      <w:pPr>
        <w:spacing w:after="0" w:line="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Elements of the </w:t>
      </w:r>
      <w:r>
        <w:rPr>
          <w:rFonts w:ascii="Times New Roman" w:cs="Times New Roman" w:eastAsia="Times New Roman" w:hAnsi="Times New Roman"/>
          <w:sz w:val="18"/>
          <w:szCs w:val="18"/>
          <w:i w:val="1"/>
          <w:iCs w:val="1"/>
          <w:color w:val="auto"/>
        </w:rPr>
        <w:t>qualitative analysis</w:t>
      </w:r>
      <w:r>
        <w:rPr>
          <w:rFonts w:ascii="Times New Roman" w:cs="Times New Roman" w:eastAsia="Times New Roman" w:hAnsi="Times New Roman"/>
          <w:sz w:val="18"/>
          <w:szCs w:val="18"/>
          <w:color w:val="auto"/>
        </w:rPr>
        <w:t xml:space="preserve"> we use in evaluating investment opportunities include the following:</w:t>
      </w:r>
    </w:p>
    <w:p>
      <w:pPr>
        <w:spacing w:after="0" w:line="133" w:lineRule="exact"/>
        <w:rPr>
          <w:sz w:val="20"/>
          <w:szCs w:val="20"/>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fundamentals;</w:t>
      </w:r>
    </w:p>
    <w:p>
      <w:pPr>
        <w:spacing w:after="0" w:line="11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 and market share;</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ability to work through historical down-cycles;</w:t>
      </w:r>
    </w:p>
    <w:p>
      <w:pPr>
        <w:spacing w:after="0" w:line="11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financial and technology infrastructure;</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risks and opportunities;</w:t>
      </w:r>
    </w:p>
    <w:p>
      <w:pPr>
        <w:spacing w:after="0" w:line="11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union strategy;</w:t>
      </w:r>
    </w:p>
    <w:p>
      <w:pPr>
        <w:spacing w:after="0" w:line="2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980" w:hanging="352"/>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risk;</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customer base and product lines;</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financial sponsor (if applicable); and</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integration history.</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Elements of the </w:t>
      </w:r>
      <w:r>
        <w:rPr>
          <w:rFonts w:ascii="Times New Roman" w:cs="Times New Roman" w:eastAsia="Times New Roman" w:hAnsi="Times New Roman"/>
          <w:sz w:val="18"/>
          <w:szCs w:val="18"/>
          <w:i w:val="1"/>
          <w:iCs w:val="1"/>
          <w:color w:val="auto"/>
        </w:rPr>
        <w:t>quantitative analysis</w:t>
      </w:r>
      <w:r>
        <w:rPr>
          <w:rFonts w:ascii="Times New Roman" w:cs="Times New Roman" w:eastAsia="Times New Roman" w:hAnsi="Times New Roman"/>
          <w:sz w:val="18"/>
          <w:szCs w:val="18"/>
          <w:color w:val="auto"/>
        </w:rPr>
        <w:t xml:space="preserve"> we use in evaluating investment opportunities include the following:</w:t>
      </w:r>
    </w:p>
    <w:p>
      <w:pPr>
        <w:spacing w:after="0" w:line="187" w:lineRule="exact"/>
        <w:rPr>
          <w:sz w:val="20"/>
          <w:szCs w:val="20"/>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statement analysis of growth and margin trends;</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analysis of capital expenditures and free cash flow;</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ratio and market share standing among comparable companies;</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underwriting versus stress case;</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specific credit modeling;</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profile trend;</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expenditure needs and asset sale plans;</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downside protection to limit losses in an event of default;</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adjusted returns and relative value analysis; and</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and asset valuations.</w:t>
      </w:r>
    </w:p>
    <w:p>
      <w:pPr>
        <w:spacing w:after="0" w:line="117"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The origination, structuring and credit approval processes are fully integrated. Our credit team is directly involved in all due diligence and analysis prior to the formal credit approval process by the Investment Committee.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Investment Committee</w:t>
      </w:r>
    </w:p>
    <w:p>
      <w:pPr>
        <w:spacing w:after="0" w:line="108" w:lineRule="exact"/>
        <w:rPr>
          <w:sz w:val="20"/>
          <w:szCs w:val="20"/>
          <w:color w:val="auto"/>
        </w:rPr>
      </w:pPr>
    </w:p>
    <w:p>
      <w:pPr>
        <w:ind w:left="1260" w:right="819" w:firstLine="360"/>
        <w:spacing w:after="0" w:line="289" w:lineRule="auto"/>
        <w:rPr>
          <w:sz w:val="20"/>
          <w:szCs w:val="20"/>
          <w:color w:val="auto"/>
        </w:rPr>
      </w:pPr>
      <w:r>
        <w:rPr>
          <w:rFonts w:ascii="Times New Roman" w:cs="Times New Roman" w:eastAsia="Times New Roman" w:hAnsi="Times New Roman"/>
          <w:sz w:val="17"/>
          <w:szCs w:val="17"/>
          <w:color w:val="auto"/>
        </w:rPr>
        <w:t>The Investment Committee consists of the Chairman of the Board of Directors, the Chief Executive Officer, the Chief Investment Officer, and an additional member of the Board of Directors. The Investment Committee serves to provide investment consistency and adherence to our core investment philosophy and policies.</w:t>
      </w:r>
    </w:p>
    <w:p>
      <w:pPr>
        <w:spacing w:after="0" w:line="50" w:lineRule="exact"/>
        <w:rPr>
          <w:sz w:val="20"/>
          <w:szCs w:val="20"/>
          <w:color w:val="auto"/>
        </w:rPr>
      </w:pPr>
    </w:p>
    <w:p>
      <w:pPr>
        <w:ind w:left="1260" w:right="939" w:firstLine="360"/>
        <w:spacing w:after="0" w:line="256" w:lineRule="auto"/>
        <w:rPr>
          <w:sz w:val="20"/>
          <w:szCs w:val="20"/>
          <w:color w:val="auto"/>
        </w:rPr>
      </w:pPr>
      <w:r>
        <w:rPr>
          <w:rFonts w:ascii="Times New Roman" w:cs="Times New Roman" w:eastAsia="Times New Roman" w:hAnsi="Times New Roman"/>
          <w:sz w:val="18"/>
          <w:szCs w:val="18"/>
          <w:color w:val="auto"/>
        </w:rPr>
        <w:t>Upon completion of the due diligence investigation, the underwriting team of investment professionals/analysts will prepare a credit underwriting memorandum that will summarize the contemplated transaction, present the investment highlights, analyze the risk in the transaction and mitigating factors to those risks, analyze the prospective portfolio’s historical financial statements, financial projections, industry and management team, and will then present this memorandum with its recommendations to the Investment Committee for review and approval.</w:t>
      </w:r>
    </w:p>
    <w:p>
      <w:pPr>
        <w:spacing w:after="0" w:line="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approval of a majority of the Investment Committee is required for all investments of less than</w:t>
      </w:r>
    </w:p>
    <w:p>
      <w:pPr>
        <w:spacing w:after="0" w:line="27" w:lineRule="exact"/>
        <w:rPr>
          <w:sz w:val="20"/>
          <w:szCs w:val="20"/>
          <w:color w:val="auto"/>
        </w:rPr>
      </w:pPr>
    </w:p>
    <w:p>
      <w:pPr>
        <w:ind w:left="1260" w:right="799"/>
        <w:spacing w:after="0" w:line="261" w:lineRule="auto"/>
        <w:rPr>
          <w:sz w:val="20"/>
          <w:szCs w:val="20"/>
          <w:color w:val="auto"/>
        </w:rPr>
      </w:pPr>
      <w:r>
        <w:rPr>
          <w:rFonts w:ascii="Times New Roman" w:cs="Times New Roman" w:eastAsia="Times New Roman" w:hAnsi="Times New Roman"/>
          <w:sz w:val="18"/>
          <w:szCs w:val="18"/>
          <w:color w:val="auto"/>
        </w:rPr>
        <w:t>$15 million, and the unanimous approval of the Investment Committee is required for investments of $15 million or greater.</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Monitoring</w:t>
      </w:r>
    </w:p>
    <w:p>
      <w:pPr>
        <w:spacing w:after="0" w:line="108" w:lineRule="exact"/>
        <w:rPr>
          <w:sz w:val="20"/>
          <w:szCs w:val="20"/>
          <w:color w:val="auto"/>
        </w:rPr>
      </w:pPr>
    </w:p>
    <w:p>
      <w:pPr>
        <w:ind w:left="1260" w:right="939" w:firstLine="360"/>
        <w:spacing w:after="0" w:line="256" w:lineRule="auto"/>
        <w:rPr>
          <w:sz w:val="20"/>
          <w:szCs w:val="20"/>
          <w:color w:val="auto"/>
        </w:rPr>
      </w:pPr>
      <w:r>
        <w:rPr>
          <w:rFonts w:ascii="Times New Roman" w:cs="Times New Roman" w:eastAsia="Times New Roman" w:hAnsi="Times New Roman"/>
          <w:sz w:val="18"/>
          <w:szCs w:val="18"/>
          <w:color w:val="auto"/>
        </w:rPr>
        <w:t>Our management team has significant experience monitoring credit portfolios. Along with origination and credit analysis, portfolio management is one of the key elements of our business. Most of our investments will not be liquid and, therefore, we must prepare to act quickly if potential issues arise so that we can work closely with management and the private equity sponsor, if applicable, of the portfolio company to take any necessary remedial action. In addition, most of our senior management team, has substantial workout and restructuring experience.</w:t>
      </w:r>
    </w:p>
    <w:p>
      <w:pPr>
        <w:spacing w:after="0" w:line="25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In order to assist us in detecting issues with our Debt Securities Portfolio companies as early as possible, we perform a financial analysis at least quarterly on each portfolio company. This analysis typically includes:</w:t>
      </w:r>
    </w:p>
    <w:p>
      <w:pPr>
        <w:spacing w:after="0" w:line="81" w:lineRule="exact"/>
        <w:rPr>
          <w:sz w:val="20"/>
          <w:szCs w:val="20"/>
          <w:color w:val="auto"/>
        </w:rPr>
      </w:pPr>
    </w:p>
    <w:p>
      <w:pPr>
        <w:ind w:left="1980" w:right="759" w:hanging="352"/>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portfolio company’s current total credit exposure as well as the KCAP portion of this exposure.</w:t>
      </w:r>
    </w:p>
    <w:p>
      <w:pPr>
        <w:spacing w:after="0" w:line="94" w:lineRule="exact"/>
        <w:rPr>
          <w:rFonts w:ascii="Times New Roman" w:cs="Times New Roman" w:eastAsia="Times New Roman" w:hAnsi="Times New Roman"/>
          <w:sz w:val="18"/>
          <w:szCs w:val="18"/>
          <w:color w:val="auto"/>
        </w:rPr>
      </w:pPr>
    </w:p>
    <w:p>
      <w:pPr>
        <w:ind w:left="1980" w:right="899" w:hanging="352"/>
        <w:spacing w:after="0" w:line="266"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and update of the portfolio company’s financial condition and performance, including but not limited to, performance versus plan, deterioration/improvement in market position, or industry fundamentals, management changes or additions, and ongoing business strategy.</w:t>
      </w:r>
    </w:p>
    <w:p>
      <w:pPr>
        <w:spacing w:after="0" w:line="9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Reaffirmation of, or proposal to change, the risk rating of the underlying investment.</w:t>
      </w:r>
    </w:p>
    <w:p>
      <w:pPr>
        <w:spacing w:after="0" w:line="157" w:lineRule="exact"/>
        <w:rPr>
          <w:rFonts w:ascii="Times New Roman" w:cs="Times New Roman" w:eastAsia="Times New Roman" w:hAnsi="Times New Roman"/>
          <w:sz w:val="18"/>
          <w:szCs w:val="18"/>
          <w:color w:val="auto"/>
        </w:rPr>
      </w:pPr>
    </w:p>
    <w:p>
      <w:pPr>
        <w:ind w:left="1980" w:right="1079" w:hanging="352"/>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portfolio company’s financial covenant results vis a vis financial covenant levels established in the credit agreement.</w:t>
      </w:r>
    </w:p>
    <w:p>
      <w:pPr>
        <w:spacing w:after="0" w:line="54"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Watch list credits are followed closely and discussed periodically with the Chief Investment Officer, as appropriate.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Externalization Agreement</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At a meeting of our Board of Directors held on December 12, 2018, the Board, including all of its independent directors, unanimously voted to approve the Advisory Agreement, contingent upon entering into the Externalization Agreement, obtaining Company stockholder approval of the Advisory Agreement, and closing of the transactions contemplated by the Externalization Agreement, and determined that the Advisory Agreement is in the best interests of us and our stockholders. At the Special Meeting held on February 19, 2019, our stockholders approved the Advisory Agreement. If the transactions contemplated by the Externalization Agreement are completed, upon the Closing, we will commence operations as an externally managed BDC managed by the Adviser.</w:t>
      </w:r>
    </w:p>
    <w:p>
      <w:pPr>
        <w:spacing w:after="0" w:line="77"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Pursuant to the Externalization Agreement with BCP, the Adviser will become our investment adviser in exchange for a cash payment from BCP, or its affiliate, of $25 million, or approximately $0.67 per share of our common stock, directly to our stockholders. In addition, following the Closing, the Adviser (or its affiliate) will use up to $10 million of the incentive fee actually paid to the Adviser prior to the second anniversary of the Closing date to buy newly issued shares of our common stock at the most recently determined net asset value per share of our common stock at the time of such purchase. For the period of one year from the first day of the first quarter following the quarter in which the Advisory Agreement becomes effective,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 BCP and the Adviser’s total financial commitment to the transactions contemplated by the Externalization Agreement is $35.0 million.</w:t>
      </w:r>
    </w:p>
    <w:p>
      <w:pPr>
        <w:spacing w:after="0" w:line="83"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The Company anticipates that the Closing will occur at the end of the quarter ending March 31, 2019, but the Company will issue a press release announcing the record date and payment date of the stockholding payment.</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About the Adviser</w:t>
      </w:r>
    </w:p>
    <w:p>
      <w:pPr>
        <w:spacing w:after="0" w:line="108"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At the Closing, the Adviser, an affiliate of BC Partners, will become the investment adviser of the Company. LibreMax intends to own a portion of the Adviser. Subject to the overall supervision of the Board, the Adviser will be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80"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BC Partners is a leading buyout firm with a 30-year history investing across Europe and North America which had assets under management of over $24 billion as of December 19, 2018. The assets under management for BCP are based on actively managed commitments of its managed funds and</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39"/>
        <w:spacing w:after="0" w:line="254" w:lineRule="auto"/>
        <w:rPr>
          <w:sz w:val="20"/>
          <w:szCs w:val="20"/>
          <w:color w:val="auto"/>
        </w:rPr>
      </w:pPr>
      <w:r>
        <w:rPr>
          <w:rFonts w:ascii="Times New Roman" w:cs="Times New Roman" w:eastAsia="Times New Roman" w:hAnsi="Times New Roman"/>
          <w:sz w:val="18"/>
          <w:szCs w:val="18"/>
          <w:color w:val="auto"/>
        </w:rPr>
        <w:t>relevant vehicles formed for the purpose of co-investing alongside such funds. BCP operates a private equity investment platform (“BCP PE”) and a credit investment platform (“BCP Credit”) as fully integrated businesses. The investment activity of the Company will take place primarily within the BCP Credit platform. Integration with the broader BCP platform allows BCP Credit to leverage a team of approximately 60 investment professionals across its private equity platform including an eight-member operations team. The BCP Credit Investment Team (the “Investment Team”) is led by Ted Goldthorpe who sits on both the BCP Credit and BCP PE investment committees. An affiliate of the Adviser currently manages a private BDC, BC Partners Lending Corporation, and a private fund in the BCP Credit platform. BCP intends to offer employment to certain Company employees, including but not limited to, the Company’s executive officers.</w:t>
      </w:r>
    </w:p>
    <w:p>
      <w:pPr>
        <w:spacing w:after="0" w:line="81"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The Adviser will seek to invest on behalf of the Company in performing, well-established middle market businesses that operate across a wide range of industries (i.e., no concentration in any one industry). The Adviser will employ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will seek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Advisory Agreement</w:t>
      </w:r>
    </w:p>
    <w:p>
      <w:pPr>
        <w:spacing w:after="0" w:line="108"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Pursuant to the terms of the Advisory Agreement, the Company will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will consist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will be 17.50% of pre-incentive fee net investment income with a 7.00% hurdle rate. The Capital Gains Fee will be 17.50%. For more information regarding the terms of the fee structure under the Advisory Agreement, please see our definitive proxy statement filed with the SEC on January 15, 2019.</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10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We determine the net asset value per share of our common stock quarterly. The net asset value per share is equal to the value of our total assets minus liabilities and any preferred stock outstanding divided by the total number of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Our net asset value per share was $4.23 and $4.87 as of December 31, 2018 and December 31, 2017, respectively. Since we report our assets at fair value for each reporting period, net asset value also represents the amount of stockholders’ equity per share for the reporting period. Our net asset value is comprised mostly of investment assets less debt and other liabilities: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18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9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760" w:type="dxa"/>
            <w:vAlign w:val="bottom"/>
            <w:gridSpan w:val="4"/>
          </w:tcPr>
          <w:p>
            <w:pPr>
              <w:spacing w:after="0"/>
              <w:rPr>
                <w:sz w:val="2"/>
                <w:szCs w:val="2"/>
                <w:color w:val="auto"/>
              </w:rPr>
            </w:pPr>
          </w:p>
        </w:tc>
      </w:tr>
      <w:tr>
        <w:trPr>
          <w:trHeight w:val="237"/>
        </w:trPr>
        <w:tc>
          <w:tcPr>
            <w:tcW w:w="4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14"/>
                <w:szCs w:val="14"/>
                <w:b w:val="1"/>
                <w:bCs w:val="1"/>
                <w:color w:val="auto"/>
                <w:w w:val="94"/>
              </w:rPr>
              <w:t>Fair Value</w:t>
            </w:r>
            <w:r>
              <w:rPr>
                <w:rFonts w:ascii="Times New Roman" w:cs="Times New Roman" w:eastAsia="Times New Roman" w:hAnsi="Times New Roman"/>
                <w:sz w:val="21"/>
                <w:szCs w:val="21"/>
                <w:b w:val="1"/>
                <w:bCs w:val="1"/>
                <w:color w:val="auto"/>
                <w:w w:val="94"/>
                <w:vertAlign w:val="superscript"/>
              </w:rPr>
              <w:t>(1)</w:t>
            </w:r>
          </w:p>
        </w:tc>
        <w:tc>
          <w:tcPr>
            <w:tcW w:w="22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14"/>
                <w:szCs w:val="14"/>
                <w:b w:val="1"/>
                <w:bCs w:val="1"/>
                <w:color w:val="auto"/>
                <w:w w:val="93"/>
              </w:rPr>
              <w:t>per Share</w:t>
            </w:r>
            <w:r>
              <w:rPr>
                <w:rFonts w:ascii="Times New Roman" w:cs="Times New Roman" w:eastAsia="Times New Roman" w:hAnsi="Times New Roman"/>
                <w:sz w:val="21"/>
                <w:szCs w:val="21"/>
                <w:b w:val="1"/>
                <w:bCs w:val="1"/>
                <w:color w:val="auto"/>
                <w:w w:val="93"/>
                <w:vertAlign w:val="superscript"/>
              </w:rPr>
              <w:t>(1)</w:t>
            </w:r>
          </w:p>
        </w:tc>
        <w:tc>
          <w:tcPr>
            <w:tcW w:w="2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1"/>
                <w:szCs w:val="21"/>
                <w:b w:val="1"/>
                <w:bCs w:val="1"/>
                <w:color w:val="auto"/>
                <w:vertAlign w:val="superscript"/>
              </w:rPr>
              <w:t>(1)</w:t>
            </w:r>
          </w:p>
        </w:tc>
        <w:tc>
          <w:tcPr>
            <w:tcW w:w="22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gridSpan w:val="3"/>
          </w:tcPr>
          <w:p>
            <w:pPr>
              <w:ind w:left="20"/>
              <w:spacing w:after="0" w:line="237" w:lineRule="exact"/>
              <w:rPr>
                <w:sz w:val="20"/>
                <w:szCs w:val="20"/>
                <w:color w:val="auto"/>
              </w:rPr>
            </w:pPr>
            <w:r>
              <w:rPr>
                <w:rFonts w:ascii="Times New Roman" w:cs="Times New Roman" w:eastAsia="Times New Roman" w:hAnsi="Times New Roman"/>
                <w:sz w:val="14"/>
                <w:szCs w:val="14"/>
                <w:b w:val="1"/>
                <w:bCs w:val="1"/>
                <w:color w:val="auto"/>
                <w:w w:val="93"/>
              </w:rPr>
              <w:t>per Share</w:t>
            </w:r>
            <w:r>
              <w:rPr>
                <w:rFonts w:ascii="Times New Roman" w:cs="Times New Roman" w:eastAsia="Times New Roman" w:hAnsi="Times New Roman"/>
                <w:sz w:val="21"/>
                <w:szCs w:val="21"/>
                <w:b w:val="1"/>
                <w:bCs w:val="1"/>
                <w:color w:val="auto"/>
                <w:w w:val="93"/>
                <w:vertAlign w:val="superscript"/>
              </w:rPr>
              <w:t>(1)</w:t>
            </w:r>
          </w:p>
        </w:tc>
        <w:tc>
          <w:tcPr>
            <w:tcW w:w="20" w:type="dxa"/>
            <w:vAlign w:val="bottom"/>
          </w:tcPr>
          <w:p>
            <w:pPr>
              <w:spacing w:after="0"/>
              <w:rPr>
                <w:sz w:val="20"/>
                <w:szCs w:val="20"/>
                <w:color w:val="auto"/>
              </w:rPr>
            </w:pPr>
          </w:p>
        </w:tc>
      </w:tr>
      <w:tr>
        <w:trPr>
          <w:trHeight w:val="250"/>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1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Investments in short-term investments</w:t>
            </w:r>
            <w:r>
              <w:rPr>
                <w:rFonts w:ascii="Times New Roman" w:cs="Times New Roman" w:eastAsia="Times New Roman" w:hAnsi="Times New Roman"/>
                <w:sz w:val="27"/>
                <w:szCs w:val="27"/>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44,756,478</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77,300,320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debt securities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147,861,744</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118,197,479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CLO Fund Securities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44,325,000</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51,678,673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equity securities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14,504,687</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4,414,684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Asset Manager Affiliates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3,470,000</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38,849,000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18,390,440</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21,516,000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5,417,125</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2,034,095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4100" w:type="dxa"/>
            <w:vAlign w:val="bottom"/>
            <w:tcBorders>
              <w:right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7"/>
                <w:szCs w:val="27"/>
                <w:color w:val="auto"/>
                <w:vertAlign w:val="superscript"/>
              </w:rPr>
              <w:t>(3)</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3,907,341</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r>
      <w:tr>
        <w:trPr>
          <w:trHeight w:val="26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2,831,866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5,818,723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285,464,681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$7.64</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319,808,974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6.125% Notes Due 2022 (net of offering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75,199,858</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74,672,952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KCAP Funding I, LLC (net of offering costs)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25,200,331</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7.375% Notes Due 2019 (net of offering costs)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26,740,365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open trades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23,204,564</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0.62</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34,215,195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3,838,917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2,375,886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127,443,670</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138,004,398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158,021,011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4.23</w:t>
            </w:r>
          </w:p>
        </w:tc>
        <w:tc>
          <w:tcPr>
            <w:tcW w:w="2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181,804,576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4.87</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-393700</wp:posOffset>
            </wp:positionV>
            <wp:extent cx="102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-393700</wp:posOffset>
            </wp:positionV>
            <wp:extent cx="231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-393700</wp:posOffset>
            </wp:positionV>
            <wp:extent cx="2489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-393700</wp:posOffset>
            </wp:positionV>
            <wp:extent cx="34645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-1414145</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-1414145</wp:posOffset>
            </wp:positionV>
            <wp:extent cx="231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-1414145</wp:posOffset>
            </wp:positionV>
            <wp:extent cx="248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-1414145</wp:posOffset>
            </wp:positionV>
            <wp:extent cx="3464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-3077845</wp:posOffset>
            </wp:positionV>
            <wp:extent cx="137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-3077845</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-3077845</wp:posOffset>
            </wp:positionV>
            <wp:extent cx="3370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70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99" w:lineRule="exact"/>
        <w:rPr>
          <w:sz w:val="20"/>
          <w:szCs w:val="20"/>
          <w:color w:val="auto"/>
        </w:rPr>
      </w:pPr>
    </w:p>
    <w:p>
      <w:pPr>
        <w:ind w:left="1620" w:right="779" w:hanging="352"/>
        <w:spacing w:after="0" w:line="258"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balance sheet at fair value and resultant net asset value are calculated on a basis consistent with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w:t>
      </w:r>
    </w:p>
    <w:p>
      <w:pPr>
        <w:spacing w:after="0" w:line="2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money market accounts and U.S. Treasury Bills.</w:t>
      </w:r>
    </w:p>
    <w:p>
      <w:pPr>
        <w:spacing w:after="0" w:line="63"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cash held for interest and principal payments on the revolving credit facility of KCAP Funding I, LLC, our wholly owned subsidiary.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67" w:lineRule="exact"/>
        <w:rPr>
          <w:sz w:val="20"/>
          <w:szCs w:val="20"/>
          <w:color w:val="auto"/>
        </w:rPr>
      </w:pPr>
    </w:p>
    <w:p>
      <w:pPr>
        <w:ind w:left="1260" w:right="779" w:firstLine="360"/>
        <w:spacing w:after="0" w:line="253" w:lineRule="auto"/>
        <w:rPr>
          <w:sz w:val="20"/>
          <w:szCs w:val="20"/>
          <w:color w:val="auto"/>
        </w:rPr>
      </w:pPr>
      <w:r>
        <w:rPr>
          <w:rFonts w:ascii="Times New Roman" w:cs="Times New Roman" w:eastAsia="Times New Roman" w:hAnsi="Times New Roman"/>
          <w:sz w:val="18"/>
          <w:szCs w:val="18"/>
          <w:color w:val="auto"/>
        </w:rPr>
        <w:t>As a BDC, we invest primarily in illiquid securities, including loans to and warrants of private companies and interests in other illiquid securities, such as interests in CLO Fund Securities, joint ventures, partnerships and distressed debt securities. These portfolio investments may be subject to restrictions on resale and will generally have no established trading market. As a result, our Board of Directors determines in good faith the fair value of our portfolio investments pursuant to a valuation policy developed in accordance with the Financial Accounting Standards Board Accounting Standards Codification 820, Fair Value Measurements and Disclosures (“ASC 820: Fair Value”), and a valuation process approved by our Board of Directors and in accordance with the 1940 Act. Our valuation policy is intended to provide a consistent basis for determining the fair value of the portfolio. Our Board of Directors is ultimately and solely responsible for making a good faith determination of the fair value of portfolio investments on a quarterly basis. The Company uses an independent valuation firm to provide third party valuation consulting services to the Company and the Board of Directors. For additional information concerning valuation, see “Item 7: Management’s Discussion and Analysis of Financial Condition and Results of Operations – Valuation of Portfolio Investments”; and Notes 2 and 4 to the financial statements.</w:t>
      </w:r>
    </w:p>
    <w:p>
      <w:pPr>
        <w:spacing w:after="0" w:line="25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Our primary competitors also provide financing to prospective portfolio companies. These include commercial banks, specialty finance companies, hedge funds, structured investment funds, other BDCs and investment banks. Our competitors may have a lower cost of funds, and many have access to funding sources that are not available to us. Many of these entities have greater managerial resources than we have, and the 1940 Act imposes certain regulatory restrictions on us as a BDC to which many of our competitors are not subject. For additional information concerning the competitive risks we face, see “Item 1A. Risk Factors — Risks Related to Our Business and Structure — We operate in a highly competitive market for investment opportunities.”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08" w:lineRule="exact"/>
        <w:rPr>
          <w:sz w:val="20"/>
          <w:szCs w:val="20"/>
          <w:color w:val="auto"/>
        </w:rPr>
      </w:pPr>
    </w:p>
    <w:p>
      <w:pPr>
        <w:jc w:val="both"/>
        <w:ind w:left="1260" w:right="13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2018, we had 13 employees, including an experienced team of seven investment professionals.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jc w:val="both"/>
        <w:ind w:left="1260" w:right="1319" w:firstLine="360"/>
        <w:spacing w:after="0" w:line="266" w:lineRule="auto"/>
        <w:rPr>
          <w:sz w:val="20"/>
          <w:szCs w:val="20"/>
          <w:color w:val="auto"/>
        </w:rPr>
      </w:pPr>
      <w:r>
        <w:rPr>
          <w:rFonts w:ascii="Times New Roman" w:cs="Times New Roman" w:eastAsia="Times New Roman" w:hAnsi="Times New Roman"/>
          <w:sz w:val="18"/>
          <w:szCs w:val="18"/>
          <w:color w:val="auto"/>
        </w:rPr>
        <w:t>The following discussion is a general summary of some of the material prohibitions and restrictions governing BDCs generally. It does not purport to be a complete description of all the laws and regulations affecting BDCs.</w:t>
      </w:r>
    </w:p>
    <w:p>
      <w:pPr>
        <w:spacing w:after="0" w:line="68"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A BDC is a unique kind of investment company that primarily focuses on investing in or lending to private or relatively small publicly traded companies and making managerial assistance available to them. The 1940 Act contains prohibitions and restrictions relating to transactions between BDCs and their directors and officers and certain other related persons and requires that a majority of the directors be persons other than “interested persons,” as that term is defined in the 1940 Act. We have implemented certain procedures to ensure that we do not engage in any prohibited transactions with any persons affiliated with us.</w:t>
      </w:r>
    </w:p>
    <w:p>
      <w:pPr>
        <w:spacing w:after="0" w:line="80"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shares present at a meeting or represented by proxy if more than 50% of the outstanding shares of such company are present or represented by proxy or (ii) more than 50% of the outstanding shares of such company.</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Qualifying Assets</w:t>
      </w:r>
    </w:p>
    <w:p>
      <w:pPr>
        <w:spacing w:after="0" w:line="10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Under the 1940 Act, a BDC may not acquire any asset other than assets of the type listed in Section 55(a) of the 1940 Act, or “Qualifying Assets,” unless, at the time the acquisition is made, Qualifying Assets represent at least 70% of the company’s total assets. The principal categories of Qualifying Assets relevant to our business are the following:</w:t>
      </w:r>
    </w:p>
    <w:p>
      <w:pPr>
        <w:spacing w:after="0" w:line="153" w:lineRule="exact"/>
        <w:rPr>
          <w:sz w:val="20"/>
          <w:szCs w:val="20"/>
          <w:color w:val="auto"/>
        </w:rPr>
      </w:pPr>
    </w:p>
    <w:p>
      <w:pPr>
        <w:ind w:left="1980" w:right="1319" w:hanging="352"/>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in transactions not involving any public offering. An “eligible portfolio company” is defined in the 1940 Act as any issuer which:</w:t>
      </w:r>
    </w:p>
    <w:p>
      <w:pPr>
        <w:spacing w:after="0" w:line="53" w:lineRule="exact"/>
        <w:rPr>
          <w:rFonts w:ascii="Times New Roman" w:cs="Times New Roman" w:eastAsia="Times New Roman" w:hAnsi="Times New Roman"/>
          <w:sz w:val="18"/>
          <w:szCs w:val="18"/>
          <w:color w:val="auto"/>
        </w:rPr>
      </w:pPr>
    </w:p>
    <w:p>
      <w:pPr>
        <w:ind w:left="2340" w:hanging="351"/>
        <w:spacing w:after="0"/>
        <w:tabs>
          <w:tab w:leader="none" w:pos="2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30" w:lineRule="exact"/>
        <w:rPr>
          <w:rFonts w:ascii="Times New Roman" w:cs="Times New Roman" w:eastAsia="Times New Roman" w:hAnsi="Times New Roman"/>
          <w:sz w:val="18"/>
          <w:szCs w:val="18"/>
          <w:color w:val="auto"/>
        </w:rPr>
      </w:pPr>
    </w:p>
    <w:p>
      <w:pPr>
        <w:jc w:val="both"/>
        <w:ind w:left="2340" w:right="779" w:hanging="351"/>
        <w:spacing w:after="0" w:line="266" w:lineRule="auto"/>
        <w:tabs>
          <w:tab w:leader="none" w:pos="2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wholly-owned by the BDC) or a company that would be an investment company but for certain exclusions under the 1940 Act; and</w:t>
      </w:r>
    </w:p>
    <w:p>
      <w:pPr>
        <w:spacing w:after="0" w:line="68" w:lineRule="exact"/>
        <w:rPr>
          <w:rFonts w:ascii="Times New Roman" w:cs="Times New Roman" w:eastAsia="Times New Roman" w:hAnsi="Times New Roman"/>
          <w:sz w:val="18"/>
          <w:szCs w:val="18"/>
          <w:color w:val="auto"/>
        </w:rPr>
      </w:pPr>
    </w:p>
    <w:p>
      <w:pPr>
        <w:ind w:left="2340" w:hanging="351"/>
        <w:spacing w:after="0"/>
        <w:tabs>
          <w:tab w:leader="none" w:pos="2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30" w:lineRule="exact"/>
        <w:rPr>
          <w:rFonts w:ascii="Times New Roman" w:cs="Times New Roman" w:eastAsia="Times New Roman" w:hAnsi="Times New Roman"/>
          <w:sz w:val="18"/>
          <w:szCs w:val="18"/>
          <w:color w:val="auto"/>
        </w:rPr>
      </w:pPr>
    </w:p>
    <w:p>
      <w:pPr>
        <w:ind w:left="2700" w:right="919" w:hanging="351"/>
        <w:spacing w:after="0" w:line="266" w:lineRule="auto"/>
        <w:tabs>
          <w:tab w:leader="none" w:pos="27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listed on a national securities exchange (or, if it has a class of securities listed on a national securities exchange, has an aggregate market value of outstanding voting and non-voting common equity of less than $250 million);</w:t>
      </w:r>
    </w:p>
    <w:p>
      <w:pPr>
        <w:spacing w:after="0" w:line="81" w:lineRule="exact"/>
        <w:rPr>
          <w:rFonts w:ascii="Times New Roman" w:cs="Times New Roman" w:eastAsia="Times New Roman" w:hAnsi="Times New Roman"/>
          <w:sz w:val="18"/>
          <w:szCs w:val="18"/>
          <w:color w:val="auto"/>
        </w:rPr>
      </w:pPr>
    </w:p>
    <w:p>
      <w:pPr>
        <w:ind w:left="2700" w:right="1299" w:hanging="351"/>
        <w:spacing w:after="0" w:line="282" w:lineRule="auto"/>
        <w:tabs>
          <w:tab w:leader="none" w:pos="27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and the BDC has an affiliated person who is a director of the eligible portfolio company;</w:t>
      </w: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00" w:right="1039" w:hanging="351"/>
        <w:spacing w:after="0" w:line="282" w:lineRule="auto"/>
        <w:tabs>
          <w:tab w:leader="none" w:pos="2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 or</w:t>
      </w:r>
    </w:p>
    <w:p>
      <w:pPr>
        <w:spacing w:after="0" w:line="53" w:lineRule="exact"/>
        <w:rPr>
          <w:rFonts w:ascii="Times New Roman" w:cs="Times New Roman" w:eastAsia="Times New Roman" w:hAnsi="Times New Roman"/>
          <w:sz w:val="18"/>
          <w:szCs w:val="18"/>
          <w:color w:val="auto"/>
        </w:rPr>
      </w:pPr>
    </w:p>
    <w:p>
      <w:pPr>
        <w:ind w:left="2700" w:right="759" w:hanging="351"/>
        <w:spacing w:after="0" w:line="282" w:lineRule="auto"/>
        <w:tabs>
          <w:tab w:leader="none" w:pos="2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outstanding any class of securities with respect to which a broker or dealer may extend margin credit.</w:t>
      </w:r>
    </w:p>
    <w:p>
      <w:pPr>
        <w:spacing w:after="0" w:line="8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57" w:lineRule="exact"/>
        <w:rPr>
          <w:rFonts w:ascii="Times New Roman" w:cs="Times New Roman" w:eastAsia="Times New Roman" w:hAnsi="Times New Roman"/>
          <w:sz w:val="18"/>
          <w:szCs w:val="18"/>
          <w:color w:val="auto"/>
        </w:rPr>
      </w:pPr>
    </w:p>
    <w:p>
      <w:pPr>
        <w:ind w:left="1980" w:right="899" w:hanging="352"/>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and is in bankruptcy and subject to reorganization;</w:t>
      </w:r>
    </w:p>
    <w:p>
      <w:pPr>
        <w:spacing w:after="0" w:line="94" w:lineRule="exact"/>
        <w:rPr>
          <w:rFonts w:ascii="Times New Roman" w:cs="Times New Roman" w:eastAsia="Times New Roman" w:hAnsi="Times New Roman"/>
          <w:sz w:val="18"/>
          <w:szCs w:val="18"/>
          <w:color w:val="auto"/>
        </w:rPr>
      </w:pPr>
    </w:p>
    <w:p>
      <w:pPr>
        <w:ind w:left="1980" w:right="999" w:hanging="352"/>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conversion of warrants or rights relating to such securities; and</w:t>
      </w:r>
    </w:p>
    <w:p>
      <w:pPr>
        <w:spacing w:after="0" w:line="80" w:lineRule="exact"/>
        <w:rPr>
          <w:rFonts w:ascii="Times New Roman" w:cs="Times New Roman" w:eastAsia="Times New Roman" w:hAnsi="Times New Roman"/>
          <w:sz w:val="18"/>
          <w:szCs w:val="18"/>
          <w:color w:val="auto"/>
        </w:rPr>
      </w:pPr>
    </w:p>
    <w:p>
      <w:pPr>
        <w:ind w:left="1980" w:right="819" w:hanging="352"/>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Significant Managerial Assistance</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Times New Roman" w:cs="Times New Roman" w:eastAsia="Times New Roman" w:hAnsi="Times New Roman"/>
          <w:sz w:val="18"/>
          <w:szCs w:val="18"/>
          <w:color w:val="auto"/>
        </w:rPr>
        <w:t>A BDC must be organized and have its principal place of business in the United States and must be operated for the purpose of making investments in the types of securities described above. In addition, BDCs must generally offer to make available to such issuer of the securities (other than small and solvent companies described above) significant managerial assistance; except that, where we purchase such securities in conjunction with one or more other persons acting together, one of the other persons is the group may make available such managerial assistance. Making available significant managerial assistance means, among other things, any arrangement whereby the BDC, through its directors, officers or employees, offers to provide, and, if accepted, does so provide, guidance and counsel concerning the management, operations or business objectives and policies of a portfolio company through monitoring of portfolio company operations, selective participation in board and management meetings, consulting with and advising a portfolio company’s officers or other organizational or financial guidance.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Temporary Investments</w:t>
      </w:r>
    </w:p>
    <w:p>
      <w:pPr>
        <w:spacing w:after="0" w:line="108"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 quality debt securities maturing in one year or less from the time of investment, which we refer to, collectively, as temporary investments, so that at least 70% of our assets are “Qualifying Assets.” Typically, we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 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that are treated, under applicable tax rules, as being issued by a single counterparty, we would not meet the diversification tests imposed on us by the Code to qualify for tax treatment as a RIC for U.S. federal income tax purposes. Thus, we do not intend to enter into repurchase agreements treated as issued, under applicable tax rules, by a single counterparty in excess of this limit. We monitor the creditworthiness of the counterparties with which we enter into repurchase agreement transactions.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Indebtedness; Coverage Ratio</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stock senior to our common stock if our asset coverage, as defined in the 1940 Act, is at least equal to 200% (or 150% effective as of March 29, 2019) immediately after each such issuance. In addition,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As noted above, on March 29, 2018, our Board of Directors, including a “required majority” (as such term is defined in Section 57(o) of the 1940 Act) of the Board, approved the modified asset coverage requirements set forth in Section 61(a)(2) of the 1940 Act,</w:t>
      </w:r>
    </w:p>
    <w:p>
      <w:pPr>
        <w:spacing w:after="0" w:line="25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59"/>
        <w:spacing w:after="0" w:line="254" w:lineRule="auto"/>
        <w:rPr>
          <w:sz w:val="20"/>
          <w:szCs w:val="20"/>
          <w:color w:val="auto"/>
        </w:rPr>
      </w:pPr>
      <w:r>
        <w:rPr>
          <w:rFonts w:ascii="Times New Roman" w:cs="Times New Roman" w:eastAsia="Times New Roman" w:hAnsi="Times New Roman"/>
          <w:sz w:val="18"/>
          <w:szCs w:val="18"/>
          <w:color w:val="auto"/>
        </w:rPr>
        <w:t>as amended by the SBCA. As a result, our asset coverage requirement for senior securities will be changed from 200% to 150%, effective as of March 29, 2019. However, despite the SBCA, we will continue to be prohibited by the indentures governing our 6.125% Notes (as defined and discussed in Note 6 — “Borrowings” below) from making distributions on our common stock if our asset coverage, as defined in the 1940 Act, falls below 200%. We may also borrow amounts up to 5% of the value of our total assets for temporary purposes. For a discussion of the risks associated with the resulting leverage, see “Item 1A. Risk Factors — Risks Related to Our Business and Structure — We borrow money, which magnifies the potential for gain or loss on amounts invested and may increase the risk of investing in us.” As of December 31, 2018, our asset coverage ratio was 249%, above the minimum required asset coverage level of 200%.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08" w:lineRule="exact"/>
        <w:rPr>
          <w:sz w:val="20"/>
          <w:szCs w:val="20"/>
          <w:color w:val="auto"/>
        </w:rPr>
      </w:pPr>
    </w:p>
    <w:p>
      <w:pPr>
        <w:ind w:left="1260" w:right="879" w:firstLine="360"/>
        <w:spacing w:after="0" w:line="254" w:lineRule="auto"/>
        <w:rPr>
          <w:sz w:val="20"/>
          <w:szCs w:val="20"/>
          <w:color w:val="auto"/>
        </w:rPr>
      </w:pPr>
      <w:r>
        <w:rPr>
          <w:rFonts w:ascii="Times New Roman" w:cs="Times New Roman" w:eastAsia="Times New Roman" w:hAnsi="Times New Roman"/>
          <w:sz w:val="18"/>
          <w:szCs w:val="18"/>
          <w:color w:val="auto"/>
        </w:rPr>
        <w:t>We are not generally able to issue and sell our common stock at a price below net asset value per share. We may, however, sell our common stock, at a price below the current net asset value of the common stock if our Board of Directors determines that such sale is in our best interests and that of our stockholders, and our stockholders approve such sale. In any such case, the price at which our common stock is to be issued and sold may not be less than a price which, in the determination of our Board of Directors, closely approximates the market value of such common stock (less any distributing commission or discount). We may also make rights offerings to our stockholders at prices per share less than the net asset value per share, subject to applicable requirements of the 1940 Act. See “Item 1A. Risk Factors — Risks Relating to Our Business and Structure — Regulations governing our operation as a BDC affect our ability to, and the way in which we, raise additional capital.”</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adopted and maintain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A copy of the code of ethics is available on the Corporate Governance section of the Company’s website at </w:t>
      </w:r>
      <w:r>
        <w:rPr>
          <w:rFonts w:ascii="Times New Roman" w:cs="Times New Roman" w:eastAsia="Times New Roman" w:hAnsi="Times New Roman"/>
          <w:sz w:val="18"/>
          <w:szCs w:val="18"/>
          <w:i w:val="1"/>
          <w:iCs w:val="1"/>
          <w:color w:val="auto"/>
        </w:rPr>
        <w:t>http://www.kcapfinancial.com</w:t>
      </w:r>
      <w:r>
        <w:rPr>
          <w:rFonts w:ascii="Times New Roman" w:cs="Times New Roman" w:eastAsia="Times New Roman" w:hAnsi="Times New Roman"/>
          <w:sz w:val="18"/>
          <w:szCs w:val="18"/>
          <w:color w:val="auto"/>
        </w:rPr>
        <w:t>. Our code of ethics is available on the EDGAR Database on the SEC’s Internet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Copies may be obtained by electronic request to publicinfo@sec.gov</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10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6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Generally, we do not receive any non-public personal information relating to our stockholders, although some non-public personal information of our stockholders may become available to us. We do not disclose any non-public personal information about our stockholders or former stockholders to anyone, except as is necessary to service stockholder accounts, such as to a transfer agent, or as otherwise permitted by law.</w:t>
      </w:r>
    </w:p>
    <w:p>
      <w:pPr>
        <w:spacing w:after="0" w:line="7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restrict access to non-public personal information about our stockholders to our employees with a legitimate business need for the information. We maintain safeguards designed to protect the non-public personal information of our stockholders.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Voting Policy and Procedures</w:t>
      </w:r>
    </w:p>
    <w:p>
      <w:pPr>
        <w:spacing w:after="0" w:line="108"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Although the securities we hold are not typically voting securities, some of our investments could entitle us to voting rights. If this were to occur we would vote our portfolio securities in the best interest of our stockholders and we would review on a case-by-case basis each proposal submitted to a stockholder vote to determine its impact on the portfolio securities held by us. Although we would generally vote against proposals that we believe may have a negative impact on our portfolio securities, we may vote for such a proposal if we were to believe there exists a compelling long-term reason to do so.</w:t>
      </w:r>
    </w:p>
    <w:p>
      <w:pPr>
        <w:spacing w:after="0" w:line="25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Our voting decisions would be made by our Investment Committee. To ensure that our vote would not the product of a conflict of interest, we would require that (1) anyone involved in the decision making process disclose to our Chief Compliance Officer any potential conflict that he or she is aware of and any contact that he or she has had with any interested party regarding a vote; and (2) employees involved in the decision making process or vote administration are prohibited from revealing how we intend to vote on a proposal to reduce any attempted influence from interested parties.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subject to examination by the SEC for compliance with the 1940 Act.</w:t>
      </w:r>
    </w:p>
    <w:p>
      <w:pPr>
        <w:spacing w:after="0" w:line="117"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We are required to provide and maintain a bond issued by a reputable fidelity insurance company to protect us against larceny and embezzlement. Furthermore, as a BDC, we are prohibited from indemnifying any director or officer against any liability to our stockholders arising from willful misfeasance, bad faith, gross negligence or reckless disregard of the duties involved in the conduct of such person’s office.</w:t>
      </w:r>
    </w:p>
    <w:p>
      <w:pPr>
        <w:spacing w:after="0" w:line="7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are required to adopt and implement written policies and procedures reasonably designed to prevent violation of the federal securities laws and to review these policies and procedures annually for their adequacy and the effectiveness of their implementation. We have a designated Chief Compliance Officer who is responsible for administering these policies and procedures.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AS A REGULATED INVESTMENT COMPANY</w:t>
      </w:r>
    </w:p>
    <w:p>
      <w:pPr>
        <w:spacing w:after="0" w:line="108"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We have elected to be treated for U.S. federal income tax purposes as a Regulated Investment Company (“RIC”) under subchapter M of the Internal Revenue Code of 1986, as amended (the “Code”), and intend to operate in a manner to maintain our RIC tax treatment. As a RIC, we generally will not have to pay corporate-level U.S. federal income taxes on any ordinary income or capital gains that we timely distribute to our stockholders as dividends. To qualify as a RIC, we must, among other things, meet certain source-of-income and asset diversification requirements (as described below). In addition, we must distribute to our stockholders, for each taxable year, at least 90% of our “investment company taxable income,” which is generally our net ordinary taxable income plus the excess of our realized net short-term capital gains over our realized net long-term capital losses (the “Annual Distribution Requirement”).</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Taxation as a RIC</w:t>
      </w:r>
    </w:p>
    <w:p>
      <w:pPr>
        <w:spacing w:after="0" w:line="108"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For any taxable year in which we qualify as a RIC and satisfy the Annual Distribution Requirement, we generally will not be subject to U.S. federal income tax on the portion of our investment company taxable income and net capital gain, defined as net long-term capital gains in excess of net short-term capital losses, we distribute to stockholders. We will be subject to U.S. federal income tax at the regular corporate rates on any net ordinary income or net capital gain not distributed (or deemed distributed) to our stockholders.</w:t>
      </w:r>
    </w:p>
    <w:p>
      <w:pPr>
        <w:spacing w:after="0" w:line="76"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We will be subject to a 4% nondeductible U.S. federal excise tax on our undistributed income unless we distribute in a timely manner an amount at least equal to the sum of (a) 98% of our net ordinary income for each calendar year, (b) 98.2% of our capital gain net income for the one-year period ending October 31 in that calendar year and (c) any income or gains realized, but not distributed, in the preceding year and on which we paid no U.S. federal income tax (the “Excise Tax Avoidance Requirement”). For this purpose, however, any net ordinary income or capital gain net income retained by us that is subject to corporate-level U.S. federal income tax for the tax year ending in that calendar year will be considered to have been distributed by year end (or earlier if estimated taxes are paid). Although we generally endeavor to make sufficient distributions each taxable year to satisfy the Excise Tax Avoidance Requirement, we may incur a U.S. federal excise tax.</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 qualify as a RIC for U.S. federal income tax purposes, we must, among other things:</w:t>
      </w:r>
    </w:p>
    <w:p>
      <w:pPr>
        <w:spacing w:after="0" w:line="144" w:lineRule="exact"/>
        <w:rPr>
          <w:sz w:val="20"/>
          <w:szCs w:val="20"/>
          <w:color w:val="auto"/>
        </w:rPr>
      </w:pPr>
    </w:p>
    <w:p>
      <w:pPr>
        <w:ind w:left="1980" w:right="799" w:hanging="352"/>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to be regulated as a business development company under the 1940 Act at all times during each taxable year;</w:t>
      </w:r>
    </w:p>
    <w:p>
      <w:pPr>
        <w:spacing w:after="0" w:line="67" w:lineRule="exact"/>
        <w:rPr>
          <w:rFonts w:ascii="Times New Roman" w:cs="Times New Roman" w:eastAsia="Times New Roman" w:hAnsi="Times New Roman"/>
          <w:sz w:val="18"/>
          <w:szCs w:val="18"/>
          <w:color w:val="auto"/>
        </w:rPr>
      </w:pPr>
    </w:p>
    <w:p>
      <w:pPr>
        <w:ind w:left="1980" w:right="999" w:hanging="352"/>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or other</w:t>
      </w:r>
    </w:p>
    <w:p>
      <w:pPr>
        <w:spacing w:after="0" w:line="21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80" w:right="799"/>
        <w:spacing w:after="0" w:line="258" w:lineRule="auto"/>
        <w:rPr>
          <w:sz w:val="20"/>
          <w:szCs w:val="20"/>
          <w:color w:val="auto"/>
        </w:rPr>
      </w:pPr>
      <w:r>
        <w:rPr>
          <w:rFonts w:ascii="Times New Roman" w:cs="Times New Roman" w:eastAsia="Times New Roman" w:hAnsi="Times New Roman"/>
          <w:sz w:val="18"/>
          <w:szCs w:val="18"/>
          <w:color w:val="auto"/>
        </w:rPr>
        <w:t>income derived with respect to our business of investing in such stock or securities, and net income derived from interests in “qualified publicly traded partnerships” (which generally are partnerships that are traded on an established securities market or tradable on a secondary market, other than partnerships that derive 90% of their income from interest, dividends and other permitted RIC income) (the “90% Income Test”); and</w:t>
      </w:r>
    </w:p>
    <w:p>
      <w:pPr>
        <w:spacing w:after="0" w:line="103" w:lineRule="exact"/>
        <w:rPr>
          <w:sz w:val="20"/>
          <w:szCs w:val="20"/>
          <w:color w:val="auto"/>
        </w:rPr>
      </w:pPr>
    </w:p>
    <w:p>
      <w:pPr>
        <w:ind w:left="1980" w:hanging="352"/>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157" w:lineRule="exact"/>
        <w:rPr>
          <w:rFonts w:ascii="Times New Roman" w:cs="Times New Roman" w:eastAsia="Times New Roman" w:hAnsi="Times New Roman"/>
          <w:sz w:val="18"/>
          <w:szCs w:val="18"/>
          <w:color w:val="auto"/>
        </w:rPr>
      </w:pPr>
    </w:p>
    <w:p>
      <w:pPr>
        <w:ind w:left="2340" w:right="959" w:hanging="351"/>
        <w:spacing w:after="0" w:line="261" w:lineRule="auto"/>
        <w:tabs>
          <w:tab w:leader="none" w:pos="2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99" w:lineRule="exact"/>
        <w:rPr>
          <w:rFonts w:ascii="Times New Roman" w:cs="Times New Roman" w:eastAsia="Times New Roman" w:hAnsi="Times New Roman"/>
          <w:sz w:val="18"/>
          <w:szCs w:val="18"/>
          <w:color w:val="auto"/>
        </w:rPr>
      </w:pPr>
    </w:p>
    <w:p>
      <w:pPr>
        <w:ind w:left="2340" w:right="879" w:hanging="351"/>
        <w:spacing w:after="0" w:line="258" w:lineRule="auto"/>
        <w:tabs>
          <w:tab w:leader="none" w:pos="2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(the “Diversification Tests”).</w:t>
      </w:r>
    </w:p>
    <w:p>
      <w:pPr>
        <w:spacing w:after="0" w:line="76" w:lineRule="exact"/>
        <w:rPr>
          <w:sz w:val="20"/>
          <w:szCs w:val="20"/>
          <w:color w:val="auto"/>
        </w:rPr>
      </w:pPr>
    </w:p>
    <w:p>
      <w:pPr>
        <w:ind w:left="1260" w:right="999" w:firstLine="360"/>
        <w:spacing w:after="0" w:line="261" w:lineRule="auto"/>
        <w:rPr>
          <w:sz w:val="20"/>
          <w:szCs w:val="20"/>
          <w:color w:val="auto"/>
        </w:rPr>
      </w:pPr>
      <w:r>
        <w:rPr>
          <w:rFonts w:ascii="Times New Roman" w:cs="Times New Roman" w:eastAsia="Times New Roman" w:hAnsi="Times New Roman"/>
          <w:sz w:val="18"/>
          <w:szCs w:val="18"/>
          <w:color w:val="auto"/>
        </w:rPr>
        <w:t>If we do not satisfy the requirements of the Diversification Tests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2"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We may invest in partnerships, including qualified publicly traded partnerships, which may result in our being subject to state, local or foreign income, franchise or withholding liabilities.</w:t>
      </w:r>
    </w:p>
    <w:p>
      <w:pPr>
        <w:spacing w:after="0" w:line="54"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 If we are not able to obtain sufficient cash from other sources to satisfy the Annual Distribution Requirement, we may fail to qualify as a RIC and become subject to corporate-level U.S. federal income taxes on all of our taxable income without the benefit of the dividends-paid deduction.</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Although we do not presently expect to do so, we are authorized to borrow funds and to sell assets in order</w:t>
      </w:r>
    </w:p>
    <w:p>
      <w:pPr>
        <w:spacing w:after="0" w:line="27" w:lineRule="exact"/>
        <w:rPr>
          <w:sz w:val="20"/>
          <w:szCs w:val="20"/>
          <w:color w:val="auto"/>
        </w:rPr>
      </w:pPr>
    </w:p>
    <w:p>
      <w:pPr>
        <w:ind w:left="1260" w:right="779" w:firstLine="8"/>
        <w:spacing w:after="0" w:line="251" w:lineRule="auto"/>
        <w:tabs>
          <w:tab w:leader="none" w:pos="14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the Annual Distribution Requirement and to otherwise eliminate our liability for U.S. federal income and excise taxes and (ii) to satisfy the Diversification Tests. However, under the 1940 Act, we are not permitted to borrow additional funds or to make distributions to our stockholders while our debt obligations and other senior securities are outstanding unless a certain “asset coverage” test is met. See “Regulation — Indebtedness; Coverage Ratio.” Moreover, our ability to dispose of assets to meet the Annual Distribution Requirement, the Excise Tax Avoidance Requirement or the Diversification Tests may be limited by (a) the illiquid nature of our portfolio and/or (b) other requirements relating to our qualification as a RIC. If we dispose of assets in order to meet the Annual Distribution Requirement, the Excise Tax Avoidance Requirement, or the Diversification Tests, we may make such dispositions at times that, from an investment standpoint, are not advantageous.</w:t>
      </w:r>
    </w:p>
    <w:p>
      <w:pPr>
        <w:spacing w:after="0" w:line="86"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 (a) treat dividends that would otherwise constitute qualified dividend income as non-qualified dividend income, (b) treat dividends that would otherwise be eligible for the corporate dividends received deduction as ineligible for such treatment, (c) disallow, suspend or otherwise limit the allowance of certain losses or deductions, (d) convert lower-taxed long-term capital gain into higher-taxed short-term capital gain or ordinary income, (e) convert an ordinary loss or a deduction into a capital loss (the deductibility of which is more limited), (f) cause us to recognize income or gain</w:t>
      </w:r>
    </w:p>
    <w:p>
      <w:pPr>
        <w:spacing w:after="0" w:line="24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39"/>
        <w:spacing w:after="0" w:line="261" w:lineRule="auto"/>
        <w:rPr>
          <w:sz w:val="20"/>
          <w:szCs w:val="20"/>
          <w:color w:val="auto"/>
        </w:rPr>
      </w:pPr>
      <w:r>
        <w:rPr>
          <w:rFonts w:ascii="Times New Roman" w:cs="Times New Roman" w:eastAsia="Times New Roman" w:hAnsi="Times New Roman"/>
          <w:sz w:val="18"/>
          <w:szCs w:val="18"/>
          <w:color w:val="auto"/>
        </w:rPr>
        <w:t>without a corresponding receipt of cash, (g) adversely affect the time as to when a purchase or sale of stock or securities is deemed to occur, (h) adversely alter the characterization of certain complex financial transactions and</w:t>
      </w:r>
    </w:p>
    <w:p>
      <w:pPr>
        <w:ind w:left="1260" w:right="779" w:firstLine="8"/>
        <w:spacing w:after="0" w:line="255" w:lineRule="auto"/>
        <w:tabs>
          <w:tab w:leader="none" w:pos="14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income that will not be qualifying income for purposes of the 90% Income Test. We intend to monitor our transactions and may make certain tax elections to mitigate the effect of these provisions and prevent our disqualification as a RIC.</w:t>
      </w:r>
    </w:p>
    <w:p>
      <w:pPr>
        <w:spacing w:after="0" w:line="78"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Gain or loss realized by us from warrants acquired by us as well as any loss attributable to the lapse of such warrants generally will be treated as capital gain or loss. Such capital gain or loss generally will be long- term or short-term, depending on how long we held a particular warrant.</w:t>
      </w:r>
    </w:p>
    <w:p>
      <w:pPr>
        <w:spacing w:after="0" w:line="68"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Some of the income and fees that we may recognize will not satisfy the 90% Income Test. In order to ensure that such income and fees do not disqualify us as a RIC for a failure to satisfy the 90% Income Test, we may hold assets that generate such income and provide services that generate such fees indirectly through one or more entities treated as corporations for U.S. federal income tax purposes. Such corporations will be required to pay corporate-level U.S. federal income taxes on their earnings, which ultimately will reduce our return on such income and fees.</w:t>
      </w:r>
    </w:p>
    <w:p>
      <w:pPr>
        <w:spacing w:after="0" w:line="1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 as a Regulated Investment Company</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If we were unable to qualify for treatment as a RIC, we would be subject to tax on all of our taxable income at regular corporate rates, regardless of whether we make any distributions to our stockholders. Distributions would not be required, and any distributions made would be taxable to our stockholders as ordinary dividend income that, subject to certain limitations, may be eligible for the 20.0% maximum rate to the extent of our current and accumulated earnings and profits.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If we fail to qualify as a RIC for a period greater than two taxable years, to qualify as a RIC in a subsequent year we may be subject to regular corporate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08"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w:t>
      </w:r>
    </w:p>
    <w:p>
      <w:pPr>
        <w:spacing w:after="0" w:line="76" w:lineRule="exact"/>
        <w:rPr>
          <w:sz w:val="20"/>
          <w:szCs w:val="20"/>
          <w:color w:val="auto"/>
        </w:rPr>
      </w:pPr>
    </w:p>
    <w:p>
      <w:pPr>
        <w:ind w:left="1260" w:right="859" w:firstLine="360"/>
        <w:spacing w:after="0" w:line="254"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have such shareholder’s cash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ten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78" w:lineRule="exact"/>
        <w:rPr>
          <w:sz w:val="20"/>
          <w:szCs w:val="20"/>
          <w:color w:val="auto"/>
        </w:rPr>
      </w:pPr>
    </w:p>
    <w:p>
      <w:pPr>
        <w:ind w:left="1260" w:right="1539" w:firstLine="360"/>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54"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dividend payable to such stockholder</w:t>
      </w:r>
    </w:p>
    <w:p>
      <w:pPr>
        <w:spacing w:after="0" w:line="24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spacing w:after="0" w:line="256" w:lineRule="auto"/>
        <w:rPr>
          <w:sz w:val="20"/>
          <w:szCs w:val="20"/>
          <w:color w:val="auto"/>
        </w:rPr>
      </w:pPr>
      <w:r>
        <w:rPr>
          <w:rFonts w:ascii="Times New Roman" w:cs="Times New Roman" w:eastAsia="Times New Roman" w:hAnsi="Times New Roman"/>
          <w:sz w:val="18"/>
          <w:szCs w:val="18"/>
          <w:color w:val="auto"/>
        </w:rPr>
        <w:t>by the market price per share of our common stock at the close of regular trading on The NASDAQ Global Select Market on the dividend payment date. Market price per share on that date will be the closing price for such shares on The NASDAQ Global Select Market or, if no sale is reported for such day, at the average of their reported bid and asked prices. Shares purchased in open market transactions by the plan administrator of the dividend reinvestment plan will be allocated to a stockholder based upon the average purchase price, excluding any brokerage charges or other charges, of all shares of common stock purchased with respect to the distribution.</w:t>
      </w:r>
    </w:p>
    <w:p>
      <w:pPr>
        <w:spacing w:after="0" w:line="80" w:lineRule="exact"/>
        <w:rPr>
          <w:sz w:val="20"/>
          <w:szCs w:val="20"/>
          <w:color w:val="auto"/>
        </w:rPr>
      </w:pPr>
    </w:p>
    <w:p>
      <w:pPr>
        <w:ind w:left="1260" w:right="1039" w:firstLine="360"/>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stockholders who participate in the plan. The plan administrator’s fees under the plan are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76"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If your distributions are reinvested, you will be required to pay tax on the distributions in the same manner as if the distributions were received in cash. The taxation of distributions will not be affected by the form in which you receive them.</w:t>
      </w:r>
    </w:p>
    <w:p>
      <w:pPr>
        <w:spacing w:after="0" w:line="68" w:lineRule="exact"/>
        <w:rPr>
          <w:sz w:val="20"/>
          <w:szCs w:val="20"/>
          <w:color w:val="auto"/>
        </w:rPr>
      </w:pPr>
    </w:p>
    <w:p>
      <w:pPr>
        <w:jc w:val="both"/>
        <w:ind w:left="1260" w:right="859" w:firstLine="360"/>
        <w:spacing w:after="0" w:line="289" w:lineRule="auto"/>
        <w:rPr>
          <w:sz w:val="20"/>
          <w:szCs w:val="20"/>
          <w:color w:val="auto"/>
        </w:rPr>
      </w:pPr>
      <w:r>
        <w:rPr>
          <w:rFonts w:ascii="Times New Roman" w:cs="Times New Roman" w:eastAsia="Times New Roman" w:hAnsi="Times New Roman"/>
          <w:sz w:val="17"/>
          <w:szCs w:val="17"/>
          <w:color w:val="auto"/>
        </w:rPr>
        <w:t xml:space="preserve">Participants may terminate their accounts under the plan by notifying the plan administrator via its website at </w:t>
      </w:r>
      <w:r>
        <w:rPr>
          <w:rFonts w:ascii="Times New Roman" w:cs="Times New Roman" w:eastAsia="Times New Roman" w:hAnsi="Times New Roman"/>
          <w:sz w:val="17"/>
          <w:szCs w:val="17"/>
          <w:i w:val="1"/>
          <w:iCs w:val="1"/>
          <w:color w:val="auto"/>
        </w:rPr>
        <w:t>www.amstock.com</w:t>
      </w:r>
      <w:r>
        <w:rPr>
          <w:rFonts w:ascii="Times New Roman" w:cs="Times New Roman" w:eastAsia="Times New Roman" w:hAnsi="Times New Roman"/>
          <w:sz w:val="17"/>
          <w:szCs w:val="17"/>
          <w:color w:val="auto"/>
        </w:rPr>
        <w:t>, by filling out the transaction request form located at bottom of their statement and sending it to the plan administrator at the address set forth below or by calling the plan administrator at 1-866-668-8564.</w:t>
      </w:r>
    </w:p>
    <w:p>
      <w:pPr>
        <w:spacing w:after="0" w:line="50"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plan may be terminated by us upon notice in writing mailed to each participant at least 30 days prior to any record date for the payment of any dividend by us. All correspondence concerning the plan should be directed to, and additional information about the plan may be obtained from, the plan administrator by mail at American Stock Transfer &amp; Trust Company, Attn. Dividend Reinvestment Department, P.O. Box 922, Wall Street Station, New York, NY 10269-0560 or by telephone at 1-866-668-8564.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06"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In addition to the other information contained in this annual report on Form 10-K, the following information should be carefully considered before making an investment in our securities.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part or all of your investment.</w:t>
      </w:r>
    </w:p>
    <w:p>
      <w:pPr>
        <w:spacing w:after="0" w:line="1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98" w:lineRule="exact"/>
        <w:rPr>
          <w:sz w:val="20"/>
          <w:szCs w:val="20"/>
          <w:color w:val="auto"/>
        </w:rPr>
      </w:pPr>
    </w:p>
    <w:p>
      <w:pPr>
        <w:ind w:left="1260" w:right="10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may have a material adverse effect on our business, financial condition and results of operations, and could impair the ability of our portfolio companies to repay loans.</w:t>
      </w:r>
    </w:p>
    <w:p>
      <w:pPr>
        <w:spacing w:after="0" w:line="64"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76"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In the event of economic recessions and downturns, the financial results of middle-market companies, like those in which we invest, will likely experience deterioration, which could ultimately lead to difficulty in meeting debt service requirements and an increase in defaults. Additionally, the end markets for certain of our portfolio companies’ products and services would likely experience negative financial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 Further, adverse economic conditions may decrease the value of collateral securing some of our loans and the value of our equity investments. As a result, we may need to modify the payment terms of our investments, including changes in payment-in-kind interest provisions and/or cash interest rates. These factors may result in our receipt of a reduced level of interest income from our portfolio companies and/or losses or charge offs related to our investments, and, in turn, may adversely affect distributable income and have a material adverse effect on our results of operations.</w:t>
      </w:r>
    </w:p>
    <w:p>
      <w:pPr>
        <w:spacing w:after="0" w:line="171" w:lineRule="exact"/>
        <w:rPr>
          <w:sz w:val="20"/>
          <w:szCs w:val="20"/>
          <w:color w:val="auto"/>
        </w:rPr>
      </w:pPr>
    </w:p>
    <w:p>
      <w:pPr>
        <w:ind w:left="1260" w:right="1059"/>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Capital markets may experience periods of disruption and instability and we cannot predict when these conditions will occur. Such market conditions could materially and adversely affect debt and equity capital markets in the United States and abroad, which could have a negative impact on our business, financial condition and results of operations.</w:t>
      </w:r>
    </w:p>
    <w:p>
      <w:pPr>
        <w:spacing w:after="0" w:line="78"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From time-to-time, capital markets may experience periods of disruption and instability. For example, from 2008 to 2009, the global capital markets were unstable as evidenced by the lack of liquidity in the debt capital markets, significant write-offs in the financial services sector, the re-pricing of credit risk in the broadly syndicated credit market and the failure of major financial institutions. Despite actions of the U.S. federal government and various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There have been more recent periods of volatility and there can be no assurance that adverse market conditions will not repeat themselves in the future. If similar adverse and volatile market conditions repeat in the future, we and other companies in the financial services sector may have to access, if available, alternative markets for debt and equity capital in order to grow.</w:t>
      </w:r>
    </w:p>
    <w:p>
      <w:pPr>
        <w:spacing w:after="0" w:line="85"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Moreover, the re-appearance of market conditions similar to those experienced from 2008 through 2009 for any substantial length of time or worsened market conditions, including as a result of U.S. government shutdowns or the perceived creditworthiness of the United States, could make it difficult for us to borrow money or to extend the maturity of or refinance any indebtedness we may have under similar terms and any failure to do so could have a material adverse effect on our business. Unfavorable economic conditions, including future recessions, also could increase our funding costs, limit our access to the capital</w:t>
      </w:r>
    </w:p>
    <w:p>
      <w:pPr>
        <w:sectPr>
          <w:pgSz w:w="11900" w:h="16838" w:orient="portrait"/>
          <w:cols w:equalWidth="0" w:num="1">
            <w:col w:w="10219"/>
          </w:cols>
          <w:pgMar w:left="240" w:top="114" w:right="1440" w:bottom="1440" w:gutter="0" w:footer="0" w:header="0"/>
        </w:sectPr>
      </w:pPr>
    </w:p>
    <w:p>
      <w:pPr>
        <w:spacing w:after="0" w:line="25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79"/>
        <w:spacing w:after="0" w:line="258" w:lineRule="auto"/>
        <w:rPr>
          <w:sz w:val="20"/>
          <w:szCs w:val="20"/>
          <w:color w:val="auto"/>
        </w:rPr>
      </w:pPr>
      <w:r>
        <w:rPr>
          <w:rFonts w:ascii="Times New Roman" w:cs="Times New Roman" w:eastAsia="Times New Roman" w:hAnsi="Times New Roman"/>
          <w:sz w:val="18"/>
          <w:szCs w:val="18"/>
          <w:color w:val="auto"/>
        </w:rPr>
        <w:t>markets or result in a decision by lenders not to extend credit to us. We may in the future have difficulty accessing debt and equity capital on attractive terms, or at all, and a severe disruption and instability in the global financial markets or deteriorations in credit and financing conditions may cause us to reduce the volume of loans we originate and/or fund, adversely affect the value of our portfolio investments or otherwise have a material adverse effect on our business, financial condition, results of operations and cash flows.</w:t>
      </w:r>
    </w:p>
    <w:p>
      <w:pPr>
        <w:spacing w:after="0" w:line="166" w:lineRule="exact"/>
        <w:rPr>
          <w:sz w:val="20"/>
          <w:szCs w:val="20"/>
          <w:color w:val="auto"/>
        </w:rPr>
      </w:pPr>
    </w:p>
    <w:p>
      <w:pPr>
        <w:ind w:left="1260" w:right="12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United Kingdom referendum decision to leave the European Union may create significant risks and uncertainty for global markets and our investments.</w:t>
      </w:r>
    </w:p>
    <w:p>
      <w:pPr>
        <w:spacing w:after="0" w:line="64"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The decision made in the United Kingdom referendum in June 2016 to leave the European Union has led to volatility in global financial markets, and in particular in the markets of the United Kingdom and across Europe, and may also lead to weakening in consumer, corporate and financial confidence in the United Kingdom and Europe. As of February 2019, the process for the United Kingdom to exit the European Union, and the longer term economic, legal, political and social framework to be put in place between the United Kingdom and the European Union remain unclear and may to lead to ongoing political and economic uncertainty and periods of exacerbated volatility in both the United Kingdom and in wider European markets for some time. In particular, the decision made in the United Kingdom referendum may lead to a call for similar referenda in other European jurisdictions which may cause increased economic volatility and uncertainty in the European and global markets. This volatility and uncertainty may have an adverse effect on the economy generally and on the ability of us and our portfolio companies to execute our respective strategies and to receive attractive returns.</w:t>
      </w:r>
    </w:p>
    <w:p>
      <w:pPr>
        <w:spacing w:after="0" w:line="175" w:lineRule="exact"/>
        <w:rPr>
          <w:sz w:val="20"/>
          <w:szCs w:val="20"/>
          <w:color w:val="auto"/>
        </w:rPr>
      </w:pPr>
    </w:p>
    <w:p>
      <w:pPr>
        <w:ind w:left="1260" w:right="11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64" w:lineRule="exact"/>
        <w:rPr>
          <w:sz w:val="20"/>
          <w:szCs w:val="20"/>
          <w:color w:val="auto"/>
        </w:rPr>
      </w:pPr>
    </w:p>
    <w:p>
      <w:pPr>
        <w:ind w:left="1260" w:right="859" w:firstLine="360"/>
        <w:spacing w:after="0" w:line="255" w:lineRule="auto"/>
        <w:rPr>
          <w:sz w:val="20"/>
          <w:szCs w:val="20"/>
          <w:color w:val="auto"/>
        </w:rPr>
      </w:pPr>
      <w:r>
        <w:rPr>
          <w:rFonts w:ascii="Times New Roman" w:cs="Times New Roman" w:eastAsia="Times New Roman" w:hAnsi="Times New Roman"/>
          <w:sz w:val="18"/>
          <w:szCs w:val="18"/>
          <w:color w:val="auto"/>
        </w:rPr>
        <w:t>Terrorist attacks, acts of war or natural disasters may disrupt our operations, as well as the operations of the businesses in which we invest. Such acts have created, and continue to create, economic and political uncertainties and have contributed to global economic instability. Further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7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Ineffective internal controls could impact our business and operating results.</w:t>
      </w:r>
    </w:p>
    <w:p>
      <w:pPr>
        <w:spacing w:after="0" w:line="108"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70" w:lineRule="exact"/>
        <w:rPr>
          <w:sz w:val="20"/>
          <w:szCs w:val="20"/>
          <w:color w:val="auto"/>
        </w:rPr>
      </w:pPr>
    </w:p>
    <w:p>
      <w:pPr>
        <w:ind w:left="1260" w:right="77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senior management for our future success, and if we are unable to hire and retain qualified personnel or if we lose any member of our senior management team, our ability to achieve our investment objectives could be significantly harmed.</w:t>
      </w:r>
    </w:p>
    <w:p>
      <w:pPr>
        <w:spacing w:after="0" w:line="77"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We depend on the members of our senior management as well as other key personnel for the identification, final selection, structuring, closing and monitoring of our investments. These employees have critical industry experience and relationships that we rely on to implement our business plan. Our future success depends on the continued service of our senior management team. The departure of any of the members of our senior management or a significant number of our senior personnel could have a material adverse effect on our ability to achieve our investment objective. As a result, we may not be able to operate our business as we expect, and our ability to compete could be harmed, which could cause our operating results to suffer.</w:t>
      </w:r>
    </w:p>
    <w:p>
      <w:pPr>
        <w:spacing w:after="0" w:line="25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08"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A large number of entities compete with us to make the types of investments that we make. We compete with other BDCs, as well as a number of investment funds, investment banks and other sources of financing, including traditional financial services companies, such as commercial banks and finance companies. Many of our competitors are substantially larger and have considerably greater financial, marketing and other resources than we do. For example, some competitors may have a lower cost of funds and access to funding sources that are not available to us. This may enable some of our competitors to make commercial loans with interest rates that are lower than the rates we typically offer. We may lose prospective portfolio investments if we do not match our competitors’ pricing, terms and structure. If we do match our competitors’ pricing, terms or structure, we may experience decreased net interest income. In addition, some of our competitors may have higher risk tolerances or different risk assessments, which could allow them to consider a wider variety of investments, establish more relationships and build their market shares. Furthermore, many of our potential competitors are not subject to the regulatory restrictions that the 1940 Act imposes on us as a BDC. As a result of this competition, there can be no assurance that we will be able to identify and take advantage of attractive investment opportunities or that we will be able to fully invest our available capital. If we are not able to compete effectively, our business and financial condition and results of operations will be adversely affected.</w:t>
      </w:r>
    </w:p>
    <w:p>
      <w:pPr>
        <w:spacing w:after="0" w:line="180" w:lineRule="exact"/>
        <w:rPr>
          <w:sz w:val="20"/>
          <w:szCs w:val="20"/>
          <w:color w:val="auto"/>
        </w:rPr>
      </w:pPr>
    </w:p>
    <w:p>
      <w:pPr>
        <w:ind w:left="1260" w:right="8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effectively, we may be unable to achieve our investment objectives and provide returns to stockholders.</w:t>
      </w:r>
    </w:p>
    <w:p>
      <w:pPr>
        <w:spacing w:after="0" w:line="64"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senior management team’s ability to identify, evaluate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 addition to monitoring the performance of our existing investments, members of our management team may also be called upon to focus their attention on other aspects of our business, including strategic opportunities available to us from time-to-time. These demands on their time may distract them or slow the rate of investment.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source investments effectively could have a material adverse effect on our business, financial condition and results of operations.</w:t>
      </w:r>
    </w:p>
    <w:p>
      <w:pPr>
        <w:spacing w:after="0" w:line="173" w:lineRule="exact"/>
        <w:rPr>
          <w:sz w:val="20"/>
          <w:szCs w:val="20"/>
          <w:color w:val="auto"/>
        </w:rPr>
      </w:pPr>
    </w:p>
    <w:p>
      <w:pPr>
        <w:jc w:val="both"/>
        <w:ind w:left="1260" w:right="107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77"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We expect that members of our senior management team will maintain their relationships with intermediaries, financial institutions, investment bankers, commercial bankers, financial advisors, attorneys, accountants, consultants and other individuals within their networks, and we will rely to a significant extent upon these relationships to provide us with potential investment opportunities. If our senior management team fails to maintain its existing relationships or develop new relationships with sources of investment opportunities, we will not be able to grow our investment portfolio. In addition, individuals with whom members of our senior management team have relationships are not obligated to provide us with investment opportunities, and, therefore, there is no assurance that such relationships will generate investment opportunities for us.</w:t>
      </w:r>
    </w:p>
    <w:p>
      <w:pPr>
        <w:spacing w:after="0" w:line="168" w:lineRule="exact"/>
        <w:rPr>
          <w:sz w:val="20"/>
          <w:szCs w:val="20"/>
          <w:color w:val="auto"/>
        </w:rPr>
      </w:pPr>
    </w:p>
    <w:p>
      <w:pPr>
        <w:ind w:left="1260" w:right="7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paying distributions required to maintain our RIC status if we recognize income before or without receiving cash equal to such income.</w:t>
      </w:r>
    </w:p>
    <w:p>
      <w:pPr>
        <w:spacing w:after="0" w:line="64"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the Code, we include in income certain amounts that we have not yet received in cash, such as contracted non-cash PIK interest, which represents contractual interest added to the loan balance and due at the end of the loan term. The increases in loan balances as a result of contracted non-cash PIK arrangements are included in income for the period in which such non-cash PIK interest was received, which is often in advance of receiving cash payment, and are separately identified on our</w:t>
      </w:r>
    </w:p>
    <w:p>
      <w:pPr>
        <w:spacing w:after="0" w:line="25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59"/>
        <w:spacing w:after="0" w:line="254" w:lineRule="auto"/>
        <w:rPr>
          <w:sz w:val="20"/>
          <w:szCs w:val="20"/>
          <w:color w:val="auto"/>
        </w:rPr>
      </w:pPr>
      <w:r>
        <w:rPr>
          <w:rFonts w:ascii="Times New Roman" w:cs="Times New Roman" w:eastAsia="Times New Roman" w:hAnsi="Times New Roman"/>
          <w:sz w:val="18"/>
          <w:szCs w:val="18"/>
          <w:color w:val="auto"/>
        </w:rPr>
        <w:t>statements of cash flows. We also may be required to include in income certain other amounts that we will not receive in cash. Any warrants that we receive in connection with our debt investments generally are valued as part of the negotiation process with the particular portfolio company. As a result, a portion of the aggregate purchase price for the debt investments and warrants is allocated to the warrants that we receive. This generally results in the associated debt investment having “original issue discount” for tax purposes, which we must recognize as ordinary income as it accrues. This increases the amounts we are required to distribute to maintain our qualification for tax treatment as a RIC. Because such original issue discount income might exceed the amount of cash received in a given year with respect to such investment, we might need to obtain cash from other sources to satisfy such distribution requirements. Other features of the debt instruments that we hold may also cause such instruments to generate original issue discount.</w:t>
      </w:r>
    </w:p>
    <w:p>
      <w:pPr>
        <w:spacing w:after="0" w:line="78"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Since, in certain cases, we may recognize income before or without receiving cash representing such income, we may have difficulty meeting the annual distribution requirement necessary to maintain RIC tax treatment under the Code.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 For additional discussion regarding the tax implications of a RIC, see “Business — Regulation — Taxation as a Regulated Investment Company.”</w:t>
      </w:r>
    </w:p>
    <w:p>
      <w:pPr>
        <w:spacing w:after="0" w:line="172" w:lineRule="exact"/>
        <w:rPr>
          <w:sz w:val="20"/>
          <w:szCs w:val="20"/>
          <w:color w:val="auto"/>
        </w:rPr>
      </w:pPr>
    </w:p>
    <w:p>
      <w:pPr>
        <w:ind w:left="1260" w:right="12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Any unrealized losses we experience on our loan portfolio may be an indication of future realized losses, which could reduce our resources available to make distributions.</w:t>
      </w:r>
    </w:p>
    <w:p>
      <w:pPr>
        <w:spacing w:after="0" w:line="64" w:lineRule="exact"/>
        <w:rPr>
          <w:sz w:val="20"/>
          <w:szCs w:val="20"/>
          <w:color w:val="auto"/>
        </w:rPr>
      </w:pPr>
    </w:p>
    <w:p>
      <w:pPr>
        <w:ind w:left="1260" w:right="919" w:firstLine="360"/>
        <w:spacing w:after="0" w:line="273" w:lineRule="auto"/>
        <w:rPr>
          <w:sz w:val="20"/>
          <w:szCs w:val="20"/>
          <w:color w:val="auto"/>
        </w:rPr>
      </w:pPr>
      <w:r>
        <w:rPr>
          <w:rFonts w:ascii="Times New Roman" w:cs="Times New Roman" w:eastAsia="Times New Roman" w:hAnsi="Times New Roman"/>
          <w:sz w:val="17"/>
          <w:szCs w:val="17"/>
          <w:color w:val="auto"/>
        </w:rPr>
        <w:t>As a BDC, we are required to carry our investments at market value or, if no market value is ascertainable, at the fair value as determined in good faith by our Board of Directors pursuant to a valuation methodology approved by our Board of Directors. Decreases in the market values or fair values of our investments will be recorded as unrealized losses. An unrealized loss in our loan portfolio could be an indication of a portfolio company’s inability to meet its repayment obligations with respect to the affected loans. This could result in realized losses in the future and ultimately in reductions of our resources available to pay dividends or interest and principal on our securities and could cause you to lose all or part of your investment.</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and annual operating results and credit spreads.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the debt securities we acquire (which could stem from the general level of interest rates, credit spreads, or both), the default rate on such securities, prepayment upon the triggering of covenants in our middle market loans as well as our CLO Funds, our level of expenses, variations in and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 and spreads.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Changes in interest rates may have a substantial negative impact on our investments, the value of our securities and our rate of return on invested capital. A reduction in the interest spreads on new investments could also have an adverse impact on our net interest income. An increase in interest rates could decrease the value of any investments we hold which earn fixed interest rates, including mezzanine securities and high-yield bonds, and also could increase our interest expense, thereby decreasing our net income. An increase in interest rates due to an increase in credit spreads, regardless of general interest rate fluctuations, could also negatively impact the value of any investments we hold in our portfolio.</w:t>
      </w:r>
    </w:p>
    <w:p>
      <w:pPr>
        <w:spacing w:after="0" w:line="81"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In addition, an increase in interest rates available to investors could make an investment in our securities less attractive than alternative investments, a situation which could reduce the value of our securities. Conversely, a decrease in interest rates may have an adverse impact on our returns by requiring us</w:t>
      </w: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99"/>
        <w:spacing w:after="0" w:line="261" w:lineRule="auto"/>
        <w:rPr>
          <w:sz w:val="20"/>
          <w:szCs w:val="20"/>
          <w:color w:val="auto"/>
        </w:rPr>
      </w:pPr>
      <w:r>
        <w:rPr>
          <w:rFonts w:ascii="Times New Roman" w:cs="Times New Roman" w:eastAsia="Times New Roman" w:hAnsi="Times New Roman"/>
          <w:sz w:val="18"/>
          <w:szCs w:val="18"/>
          <w:color w:val="auto"/>
        </w:rPr>
        <w:t>to seek lower yields on our debt investments and by increasing the risk that our portfolio companies will prepay our debt investments, resulting in the need to redeploy capital at potentially lower rates. A decrease in market interest rates may also adversely impact our returns on idle funds, which would reduce our net investment income.</w:t>
      </w:r>
    </w:p>
    <w:p>
      <w:pPr>
        <w:spacing w:after="0" w:line="163" w:lineRule="exact"/>
        <w:rPr>
          <w:sz w:val="20"/>
          <w:szCs w:val="20"/>
          <w:color w:val="auto"/>
        </w:rPr>
      </w:pPr>
    </w:p>
    <w:p>
      <w:pPr>
        <w:ind w:left="1260" w:right="10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term loans to our portfolio companies that extend beyond 2021 might be subject to change based on recent regulatory changes.</w:t>
      </w:r>
    </w:p>
    <w:p>
      <w:pPr>
        <w:spacing w:after="0" w:line="50"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Some of our term loan agreements with partner companies contain a stated minimum value for LIBOR.</w:t>
      </w:r>
    </w:p>
    <w:p>
      <w:pPr>
        <w:spacing w:after="0" w:line="76"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which regulates LIBOR, announced the desire to phase out LIBOR by the end of 2021. The U.S. Federal Reserve, in conjunction with the Alternative Reference Rates Committee, a steering committee comprised of large U.S. financial institutions, is considering replacing U.S.-dollar LIBOR with the Secured Overnight Financing Rate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w:t>
      </w:r>
    </w:p>
    <w:p>
      <w:pPr>
        <w:spacing w:after="0" w:line="64"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If LIBOR ceases to exist, we may need to renegotiate any credit agreements extending beyond 2021 with our prospective portfolio companies that utilize LIBOR as a factor in determining the interest rate. There is currently no definitive information regarding the future utilization of LIBOR or of any particular replacement rate. As such, the potential effect of any such event on our cost of capital and net investment income cannot yet be determined.</w:t>
      </w:r>
    </w:p>
    <w:p>
      <w:pPr>
        <w:spacing w:after="0" w:line="166" w:lineRule="exact"/>
        <w:rPr>
          <w:sz w:val="20"/>
          <w:szCs w:val="20"/>
          <w:color w:val="auto"/>
        </w:rPr>
      </w:pPr>
    </w:p>
    <w:p>
      <w:pPr>
        <w:ind w:left="1260" w:right="9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on amounts invested and may increase the risk of investing in us.</w:t>
      </w:r>
    </w:p>
    <w:p>
      <w:pPr>
        <w:spacing w:after="0" w:line="50"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Borrowings, also known as leverage, magnify the potential for gain or loss on amounts invested and, therefore, increase the risks associated with investing in us. We have issued senior securities, and in the future may borrow from, or issue additional senior securities (such as preferred or convertible securities or debt securities) to, banks and other lenders and investors. Subject to prevailing market conditions, we intend to grow our portfolio of assets by raising additional capital, including through the prudent use of leverage available to us. Lenders and holders of such senior securities would have fixed dollar claims on our assets that are superior to the claims of our common stockholders.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distributions to our stockholders and service our debt obligations. In addition, our common stockholders will bear the burden of any increase in our expenses as a result of leverage. There can be no assurance that our leveraging strategy will be successful.</w:t>
      </w:r>
    </w:p>
    <w:p>
      <w:pPr>
        <w:spacing w:after="0" w:line="81"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170" w:lineRule="exact"/>
        <w:rPr>
          <w:sz w:val="20"/>
          <w:szCs w:val="20"/>
          <w:color w:val="auto"/>
        </w:rPr>
      </w:pPr>
    </w:p>
    <w:p>
      <w:pPr>
        <w:ind w:left="1260" w:right="11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our ability to respond to changes in our business.</w:t>
      </w:r>
    </w:p>
    <w:p>
      <w:pPr>
        <w:spacing w:after="0" w:line="37"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With certain limited exceptions, we are only allowed to borrow amounts or issue senior securities such that our asset coverage, as defined in the 1940 Act, is at least 200% immediately after such borrowing or</w:t>
      </w: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99"/>
        <w:spacing w:after="0" w:line="266" w:lineRule="auto"/>
        <w:rPr>
          <w:sz w:val="20"/>
          <w:szCs w:val="20"/>
          <w:color w:val="auto"/>
        </w:rPr>
      </w:pPr>
      <w:r>
        <w:rPr>
          <w:rFonts w:ascii="Times New Roman" w:cs="Times New Roman" w:eastAsia="Times New Roman" w:hAnsi="Times New Roman"/>
          <w:sz w:val="18"/>
          <w:szCs w:val="18"/>
          <w:color w:val="auto"/>
        </w:rPr>
        <w:t>issuance. The amount of leverage that we employ in the future will depend on our management’s and our Board of Directors’ assessment of market and other factors at the time of any proposed borrowing. There is no assurance that a leveraging strategy will be successful. As a result of the level of our leverage:</w:t>
      </w:r>
    </w:p>
    <w:p>
      <w:pPr>
        <w:spacing w:after="0" w:line="122" w:lineRule="exact"/>
        <w:rPr>
          <w:sz w:val="20"/>
          <w:szCs w:val="20"/>
          <w:color w:val="auto"/>
        </w:rPr>
      </w:pPr>
    </w:p>
    <w:p>
      <w:pPr>
        <w:jc w:val="both"/>
        <w:ind w:left="1980" w:right="899" w:hanging="352"/>
        <w:spacing w:after="0" w:line="266"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risk of loss is greater if we incur debt or issue senior securities to finance investments because a decrease in the value of our investments has a greater negative impact on our equity returns and, therefore, the value of our business if we did not use leverage;</w:t>
      </w:r>
    </w:p>
    <w:p>
      <w:pPr>
        <w:spacing w:after="0" w:line="108" w:lineRule="exact"/>
        <w:rPr>
          <w:rFonts w:ascii="Times New Roman" w:cs="Times New Roman" w:eastAsia="Times New Roman" w:hAnsi="Times New Roman"/>
          <w:sz w:val="18"/>
          <w:szCs w:val="18"/>
          <w:color w:val="auto"/>
        </w:rPr>
      </w:pPr>
    </w:p>
    <w:p>
      <w:pPr>
        <w:ind w:left="1980" w:right="879" w:hanging="352"/>
        <w:spacing w:after="0" w:line="258"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our asset coverage ratio resulting from increased leverage and the covenants contained in documents governing our indebtedness (which may impose asset coverage or investment portfolio composition requirements that are more stringent than those imposed by the 1940 Act) limit our flexibility in planning for, or reacting to, changes in our business and industry, as a result of which we could be required to liquidate investments at an inopportune time;</w:t>
      </w:r>
    </w:p>
    <w:p>
      <w:pPr>
        <w:spacing w:after="0" w:line="116" w:lineRule="exact"/>
        <w:rPr>
          <w:rFonts w:ascii="Times New Roman" w:cs="Times New Roman" w:eastAsia="Times New Roman" w:hAnsi="Times New Roman"/>
          <w:sz w:val="18"/>
          <w:szCs w:val="18"/>
          <w:color w:val="auto"/>
        </w:rPr>
      </w:pPr>
    </w:p>
    <w:p>
      <w:pPr>
        <w:ind w:left="1980" w:right="899" w:hanging="352"/>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dedicate a portion of our cash flow to interest payments, limiting the availability of cash for dividends and other purposes; and</w:t>
      </w:r>
    </w:p>
    <w:p>
      <w:pPr>
        <w:spacing w:after="0" w:line="10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 the future may be impaired.</w:t>
      </w:r>
    </w:p>
    <w:p>
      <w:pPr>
        <w:spacing w:after="0" w:line="117" w:lineRule="exact"/>
        <w:rPr>
          <w:sz w:val="20"/>
          <w:szCs w:val="20"/>
          <w:color w:val="auto"/>
        </w:rPr>
      </w:pPr>
    </w:p>
    <w:p>
      <w:pPr>
        <w:jc w:val="both"/>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We cannot be sure that our leverage will not have a material adverse effect on us. In addition, we cannot be sure that additional financing will be available when required or, if available, will be on terms satisfactory to us. Further, even if we are able to obtain additional financing, we may be required to use some or all of the proceeds thereof to repay our outstanding indebtedness.</w:t>
      </w:r>
    </w:p>
    <w:p>
      <w:pPr>
        <w:spacing w:after="0" w:line="163" w:lineRule="exact"/>
        <w:rPr>
          <w:sz w:val="20"/>
          <w:szCs w:val="20"/>
          <w:color w:val="auto"/>
        </w:rPr>
      </w:pPr>
    </w:p>
    <w:p>
      <w:pPr>
        <w:jc w:val="both"/>
        <w:ind w:left="1260" w:right="75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may default under the Revolving Credit Facility or any future borrowing facility we enter into or be unable to amend, repay or refinance any such facility on commercially reasonable terms, or at all, which could have a material adverse effect on our business, financial condition, results of operations and cash flows.</w:t>
      </w:r>
    </w:p>
    <w:p>
      <w:pPr>
        <w:spacing w:after="0" w:line="77"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In the event we default under the Revolving Credit Facility or any other future borrowing facility, our business could be adversely affected as we may be forced to sell a portion of our investments quickly and prematurely at prices that may be disadvantageous to us in order to meet our outstanding payment obligations and/or support working capital requirements under the Revolving Credit Facility or such future borrowing facility, any of which would have a material adverse effect on our business, financial condition, results of operations and cash flows. In addition, following any such default, the agent for the lenders under the Revolving Credit Facility or such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72" w:lineRule="exact"/>
        <w:rPr>
          <w:sz w:val="20"/>
          <w:szCs w:val="20"/>
          <w:color w:val="auto"/>
        </w:rPr>
      </w:pPr>
    </w:p>
    <w:p>
      <w:pPr>
        <w:ind w:left="1260" w:right="9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Provisions in the Revolving Credit Facility or any other future borrowing facility may limit our discretion in operating our business.</w:t>
      </w:r>
    </w:p>
    <w:p>
      <w:pPr>
        <w:spacing w:after="0" w:line="64"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The Revolving Credit Facility is, and any future borrowing facility may be, backed by all or a portion of our loans and securities on which the lenders will or, in the case of a future facility, may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83" w:lineRule="exact"/>
        <w:rPr>
          <w:sz w:val="20"/>
          <w:szCs w:val="20"/>
          <w:color w:val="auto"/>
        </w:rPr>
      </w:pPr>
    </w:p>
    <w:p>
      <w:pPr>
        <w:jc w:val="both"/>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In addition, any security interests as well as negative covenants under the Revolving Credit Facility or any other borrowing facility may limit our ability to create liens on assets to secure additional debt and may make it difficult for us to restructure or refinance indebtedness at or prior to maturity or obtain additional debt or equity financing. In addition, if our borrowing base under the Revolving Credit Facility or any</w:t>
      </w:r>
    </w:p>
    <w:p>
      <w:pPr>
        <w:spacing w:after="0" w:line="23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99"/>
        <w:spacing w:after="0" w:line="258" w:lineRule="auto"/>
        <w:rPr>
          <w:sz w:val="20"/>
          <w:szCs w:val="20"/>
          <w:color w:val="auto"/>
        </w:rPr>
      </w:pPr>
      <w:r>
        <w:rPr>
          <w:rFonts w:ascii="Times New Roman" w:cs="Times New Roman" w:eastAsia="Times New Roman" w:hAnsi="Times New Roman"/>
          <w:sz w:val="18"/>
          <w:szCs w:val="18"/>
          <w:color w:val="auto"/>
        </w:rPr>
        <w:t>other borrowing facility were to decrease, we would be required to secure additional assets in an amount equal to any borrowing base deficiency. In the event that all of our assets are secured at the time of such a borrowing base deficiency, we could be required to repay advances under the Revolving Credit Facility or any other borrowing facility or make deposits to a collection account, either of which could have a material adverse impact on our ability to fund future investments and to make stockholder distributions.</w:t>
      </w:r>
    </w:p>
    <w:p>
      <w:pPr>
        <w:spacing w:after="0" w:line="76"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In addition, under the Revolving Credit Facility or any future borrowing facility we will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the Revolving Credit Facility or any other borrowing facility could result in an accelerated maturity date for all amounts outstanding thereunder, which could have a material adverse effect on our business and financial condition. This could reduce our revenues and, by delaying any cash payment allowed to us under the Revolving Credit Facility or any other borrowing facility until the lenders have been paid in full, reduce our liquidity and cash flow and impair our ability to grow our business and maintain our qualification as a RIC.</w:t>
      </w:r>
    </w:p>
    <w:p>
      <w:pPr>
        <w:spacing w:after="0" w:line="173" w:lineRule="exact"/>
        <w:rPr>
          <w:sz w:val="20"/>
          <w:szCs w:val="20"/>
          <w:color w:val="auto"/>
        </w:rPr>
      </w:pPr>
    </w:p>
    <w:p>
      <w:pPr>
        <w:ind w:left="1260" w:right="7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Because we intend to continue to distribute substantially all of our income and net realized capital gains to our stockholders, we will need additional capital to finance our growth.</w:t>
      </w:r>
    </w:p>
    <w:p>
      <w:pPr>
        <w:spacing w:after="0" w:line="64"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In order to continue to qualify as a RIC, to avoid payment of excise taxes and to minimize or avoid payment of U.S. federal income taxes, we intend to continue to distribute to our stockholders substantially all of our net ordinary income and realized net capital gains except for certain net long-term capital gains (which we may retain, pay applicable U.S. federal income taxes with respect thereto, and elect to treat as deemed distributions to our stockholders). As a BDC, in order to incur new debt, we are generally required to meet a coverage ratio of total assets to total senior securities, which includes all of our borrowings and any preferred stock we may issue in the future, of at least 200%, as measured immediately after issuance of such security. This requirement limits the amount that we may borrow. Because we will continue to need capital to grow our loan and investment portfolio, this limitation may prevent us from incurring debt and require us to issue additional equity at a time when it may be disadvantageous to do so. We cannot assure you that debt and equity financing will be available to us on favorable terms, or at all, and debt financings may be restricted by the terms of such borrowings. Also, as a business development company, we generally are not permitted to issue equity securities priced below net asset value without stockholder approval. If additional funds are not available to us, we could be forced to curtail or cease new lending and investment activities.</w:t>
      </w:r>
    </w:p>
    <w:p>
      <w:pPr>
        <w:spacing w:after="0" w:line="181" w:lineRule="exact"/>
        <w:rPr>
          <w:sz w:val="20"/>
          <w:szCs w:val="20"/>
          <w:color w:val="auto"/>
        </w:rPr>
      </w:pPr>
    </w:p>
    <w:p>
      <w:pPr>
        <w:ind w:left="1260" w:right="9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Tax Cuts and Jobs Act could have a negative effect on us, our subsidiaries, our portfolio companies and the holders of our securities.</w:t>
      </w:r>
    </w:p>
    <w:p>
      <w:pPr>
        <w:spacing w:after="0" w:line="64"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Legislative or other actions relating to taxes could have a negative effect on the Company. The rules dealing with U.S. federal income taxation are constantly under review by persons involved in the legislative process and by the IRS and the U.S. Treasury Department. On December 22, 2017, President Trump signed the “Tax Cuts and Jobs Act” into law. The Tax Cuts and Jobs Act makes significant changes to the United States income tax rules applicable to both individuals and entities, including corporations. The Tax Cuts and Jobs Act includes, among other things, significant changes to the taxation of business entities, the deductibility of interest expense, and the tax treatment of capital investment. The Tax Cuts and Jobs Act is complex, and we cannot predict with certainty the impact its enactment will have on us, our subsidiaries, our portfolio companies and the holders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10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expand our business through acquisitions, which could disrupt our business and harm our financial condition.</w:t>
      </w:r>
    </w:p>
    <w:p>
      <w:pPr>
        <w:spacing w:after="0" w:line="6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We may pursue potential acquisitions of, and investments in, businesses complementary to our business and from time to time engage in discussions regarding such possible acquisitions. Such acquisition and any other acquisitions we may undertake involve a number of risks, including:</w:t>
      </w:r>
    </w:p>
    <w:p>
      <w:pPr>
        <w:spacing w:after="0" w:line="55" w:lineRule="exact"/>
        <w:rPr>
          <w:sz w:val="20"/>
          <w:szCs w:val="20"/>
          <w:color w:val="auto"/>
        </w:rPr>
      </w:pPr>
    </w:p>
    <w:p>
      <w:pPr>
        <w:ind w:left="1980" w:hanging="352"/>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acquired businesses to achieve the results we expect;</w:t>
      </w:r>
    </w:p>
    <w:p>
      <w:pPr>
        <w:spacing w:after="0" w:line="10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cash expenditures;</w:t>
      </w:r>
    </w:p>
    <w:p>
      <w:pPr>
        <w:spacing w:after="0" w:line="10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capital and management attention from operational matters;</w:t>
      </w:r>
    </w:p>
    <w:p>
      <w:pPr>
        <w:spacing w:after="0" w:line="103"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key personnel of the acquired businesses</w:t>
      </w:r>
    </w:p>
    <w:p>
      <w:pPr>
        <w:spacing w:after="0" w:line="103" w:lineRule="exact"/>
        <w:rPr>
          <w:rFonts w:ascii="Times New Roman" w:cs="Times New Roman" w:eastAsia="Times New Roman" w:hAnsi="Times New Roman"/>
          <w:sz w:val="18"/>
          <w:szCs w:val="18"/>
          <w:color w:val="auto"/>
        </w:rPr>
      </w:pPr>
    </w:p>
    <w:p>
      <w:pPr>
        <w:ind w:left="1980" w:right="779" w:hanging="352"/>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debt and contingent liabilities and risks associated with unanticipated events or liabilities; and</w:t>
      </w:r>
    </w:p>
    <w:p>
      <w:pPr>
        <w:spacing w:after="0" w:line="40" w:lineRule="exact"/>
        <w:rPr>
          <w:rFonts w:ascii="Times New Roman" w:cs="Times New Roman" w:eastAsia="Times New Roman" w:hAnsi="Times New Roman"/>
          <w:sz w:val="18"/>
          <w:szCs w:val="18"/>
          <w:color w:val="auto"/>
        </w:rPr>
      </w:pPr>
    </w:p>
    <w:p>
      <w:pPr>
        <w:ind w:left="1980" w:right="1119" w:hanging="352"/>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and strain on our existing business and resources that could result from our planned growth and continuing integration of our acquisitions.</w:t>
      </w:r>
    </w:p>
    <w:p>
      <w:pPr>
        <w:spacing w:after="0" w:line="54"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If we fail to properly evaluate acquisitions or investments, we may not achieve the anticipated benefits of such acquisitions, we may incur costs in excess of what we anticipate, and management resources and attention may be diverted from other necessary or valuable activities. Any acquisition may not result in short-term or long-term benefits to us. If we are unable to integrate or successfully manage any business that we acquire, we may not realize anticipated cost savings, improved efficiencies or revenue growth, which may result in reduced profitability or operating losses.</w:t>
      </w:r>
    </w:p>
    <w:p>
      <w:pPr>
        <w:spacing w:after="0" w:line="170" w:lineRule="exact"/>
        <w:rPr>
          <w:sz w:val="20"/>
          <w:szCs w:val="20"/>
          <w:color w:val="auto"/>
        </w:rPr>
      </w:pPr>
    </w:p>
    <w:p>
      <w:pPr>
        <w:jc w:val="both"/>
        <w:ind w:left="1260" w:right="109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77"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We may make indirect investments in portfolio companies through joint ventures, partnerships or other special purpose vehicles (“Investment Vehicles”). In general, the risks associated with indirect investments in portfolio companies through a joint venture, partnership or other special purpose vehicle are similar to those associated with a direct investment in a portfolio company. While we intend to analyze the credit and business of a potential portfolio company in determining whether or not to make an investment in an Investment Vehicle, we will nonetheless be exposed to the creditworthiness of the Investment Vehicle. In the event of a bankruptcy proceeding against the portfolio company, the assets of the portfolio company may be used to satisfy its obligations prior to the satisfaction of our investment in the Investment Vehicle (i.e., our investment in the Investment Vehicle could be structurally subordinated to the other obligations of the portfolio company). In addition, if we are to invest in an Investment Vehicle, we may be required to rely on our partners in the Investment Vehicle when making decisions regarding the Investment Vehicle’s investments, accordingly, the value of the investment could be adversely affected if our interests diverge from those of our partners in the Investment Vehicle.</w:t>
      </w:r>
    </w:p>
    <w:p>
      <w:pPr>
        <w:spacing w:after="0" w:line="171" w:lineRule="exact"/>
        <w:rPr>
          <w:sz w:val="20"/>
          <w:szCs w:val="20"/>
          <w:color w:val="auto"/>
        </w:rPr>
      </w:pPr>
    </w:p>
    <w:p>
      <w:pPr>
        <w:ind w:left="1260" w:right="9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investment objective, operating policies and strategies without prior notice or stockholder approval.</w:t>
      </w:r>
    </w:p>
    <w:p>
      <w:pPr>
        <w:spacing w:after="0" w:line="64"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to modify or waive certain of our operating policies and strategies without prior notice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and operating results. Nevertheless, the effects may adversely affect our business and they could negatively impact our ability to pay you dividends and could cause you to lose all or part of your investment in our securities.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has approved our ability to incur additional leverage as permitted by recent legislation.</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1940 Act generally prohibits us from incurring indebtedness unless immediately after such borrowing we have an asset coverage for total borrowings of at least 200% (i.e., the amount of debt may not exceed 50% of the value of our assets). However, the recently enacted SBCA, discussed above, has modified</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39"/>
        <w:spacing w:after="0" w:line="253" w:lineRule="auto"/>
        <w:rPr>
          <w:sz w:val="20"/>
          <w:szCs w:val="20"/>
          <w:color w:val="auto"/>
        </w:rPr>
      </w:pPr>
      <w:r>
        <w:rPr>
          <w:rFonts w:ascii="Times New Roman" w:cs="Times New Roman" w:eastAsia="Times New Roman" w:hAnsi="Times New Roman"/>
          <w:sz w:val="18"/>
          <w:szCs w:val="18"/>
          <w:color w:val="auto"/>
        </w:rPr>
        <w:t>the 1940 Act by allowing a BDC to increase the maximum amount of leverage it may incur from an asset coverage ratio of 200% to an asset coverage ratio of 150%, if certain requirements are met. In other words, prior to the enactment of the SBCA, a BDC could borrow $1 for investment purposes for every $1 of investor equity. Now, for those BDCs that satisfy the SBCA’s approval and disclosure requirements, the BDC can borrow $2 for investment purposes for every $1 of investor equity. Under the SBCA, we are allowed to increase our leverage capacity if shareholders representing at least a majority of the votes cast, when quorum is met, approve a proposal to do so. If we receive shareholder approval, we would be allowed to increase our leverage capacity on the first day after such approval. Alternatively, the SBCA allows the “required majority” of our independent directors, as defined in Section 57(o) of the 1940 Act, to approve an increase in our leverage capacity, and such approval would become effective after one year. In either case, we would be required to make certain disclosures on our website and in SEC filings regarding, among other things, the receipt of approval to increase our leverage, our leverage capacity and usage, and risks related to leverage.</w:t>
      </w:r>
    </w:p>
    <w:p>
      <w:pPr>
        <w:spacing w:after="0" w:line="83"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the SBCA, on March 29, 2018, our board of directors, including a “required majority” approved the modified asset coverage requirements set forth in Section 61(a)(2) of the 1940 Act. As a result, our asset coverage requirements for senior securities will change from 200% to 150%, effective March 29, 2019. However, despite the SBCA, we will continue to be prohibited by the indentures governing our 6.125% Notes from making distributions on our common stock if our asset coverage, as defined in the 1940 Act, falls below 200%. In any such event, we would be prohibited from making distributions required in order to maintain our status as a RIC.</w:t>
      </w:r>
    </w:p>
    <w:p>
      <w:pPr>
        <w:spacing w:after="0" w:line="81"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may be adversely affected by litigation and regulatory proceedings.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legal actions as well as various regulatory, governmental and law enforcement inquiries, investigations and subpoenas. In any such claims or actions, demands for substantial monetary damages may be asserted against us and may result in financial liability or an adverse effect on our reputation among investors. We may be unable to accurately estimate our exposure to litigation risk when we record balance sheet reserves for probable loss contingencies. As a result, any reserves we establish to cover any settlements or judgments may not be sufficient to cover our actual financial exposure, which may have a material impact on our results of operations or financial condition. In regulatory enforcement matters, claims for disgorgement, the imposition of penalties and the imposition of other remedial sanctions are possible.</w:t>
      </w:r>
    </w:p>
    <w:p>
      <w:pPr>
        <w:spacing w:after="0" w:line="168" w:lineRule="exact"/>
        <w:rPr>
          <w:sz w:val="20"/>
          <w:szCs w:val="20"/>
          <w:color w:val="auto"/>
        </w:rPr>
      </w:pPr>
    </w:p>
    <w:p>
      <w:pPr>
        <w:ind w:left="1260" w:right="8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64"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Our business requires a substantial amount of additional capital. We may acquire additional capital from the issuance of senior securities or other indebtedness, the issuance of additional shares of our common stock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immediately after such issuance or incurrence. With respect to certain types of senior securities,</w:t>
      </w:r>
    </w:p>
    <w:p>
      <w:pPr>
        <w:spacing w:after="0" w:line="25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19"/>
        <w:spacing w:after="0" w:line="258" w:lineRule="auto"/>
        <w:rPr>
          <w:sz w:val="20"/>
          <w:szCs w:val="20"/>
          <w:color w:val="auto"/>
        </w:rPr>
      </w:pPr>
      <w:r>
        <w:rPr>
          <w:rFonts w:ascii="Times New Roman" w:cs="Times New Roman" w:eastAsia="Times New Roman" w:hAnsi="Times New Roman"/>
          <w:sz w:val="18"/>
          <w:szCs w:val="18"/>
          <w:color w:val="auto"/>
        </w:rPr>
        <w:t>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Furthermore, any amounts that we use to service our indebtedness would not be available for distributions to our common stockholders.</w:t>
      </w:r>
    </w:p>
    <w:p>
      <w:pPr>
        <w:spacing w:after="0" w:line="76"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All of the costs of offering and servicing such debt or preferred stock (if issued by us in the future),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w:t>
      </w:r>
    </w:p>
    <w:p>
      <w:pPr>
        <w:spacing w:after="0" w:line="81"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We are not generally able to issue and sell our common stock at a price below net asset value per share. We may, however, sell our common stock at a price below the then-current net asset value of our common stock if our board of directors determines that such sale is in the best interests of KCAP and its stockholders, and our stockholders approve, giving us the authority to do so. Although we currently do not have such authorization, we previously sought and received such authorization from our stockholders in the past and may seek such authorization in the future.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 Sales of common stock at prices below net asset value per share dilute the interests of existing stockholders, have the effect of reducing our net asset value per share and may reduce our market price per share. In addition to issuing securities to raise capital as described above; we may securitize a portion of the loans generate cash for funding new investments. If we are unable to successfully securitize our loan portfolio our ability to grow our business and fully execute our business strategy and our earnings (if any) may be adversely affected. Moreover, even successful securitization of our loan portfolio might expose us to losses, as the residual loans in which we do not sell interests tend to be those that are riskier and more apt to generate losses.</w:t>
      </w:r>
    </w:p>
    <w:p>
      <w:pPr>
        <w:spacing w:after="0" w:line="179" w:lineRule="exact"/>
        <w:rPr>
          <w:sz w:val="20"/>
          <w:szCs w:val="20"/>
          <w:color w:val="auto"/>
        </w:rPr>
      </w:pPr>
    </w:p>
    <w:p>
      <w:pPr>
        <w:jc w:val="both"/>
        <w:ind w:left="1260" w:right="131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the risk retention rules under Section 941 of the Dodd-Frank Act to CLOs may have broader effects on the CLO and loan markets in general, potentially resulting in fewer or less desirable investment opportunities for us.</w:t>
      </w:r>
    </w:p>
    <w:p>
      <w:pPr>
        <w:spacing w:after="0" w:line="77"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Section 941 of the Dodd-Frank Act added a provision to the Exchange Act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U.S.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w:t>
      </w:r>
    </w:p>
    <w:p>
      <w:pPr>
        <w:spacing w:after="0" w:line="81"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On February 9, 2018, the United States Court of Appeals for the District of Columbia (the “D.C. Circuit Court”) ruled in favor of an appeal brought by the Loan Syndications and Trading Association (the “LSTA”) against the SEC and the Board of Governors of the Federal Reserve System (the “Applicable Governmental Agencies”) that managers of so-called “open market CLOs” are not “securitizers” under Section 941 of the Dodd-Frank Act and, therefore, are not subject to the requirements of the U.S. risk retention rules (the “Appellate Court Ruling”). The LSTA was appealing from a judgment entered by the United States District Court for the District of Columbia (the “D.C. District Court”), which granted summary judgment in favor of the SEC and Federal Reserve and against the LSTA with respect to its challenges.</w:t>
      </w:r>
    </w:p>
    <w:p>
      <w:pPr>
        <w:spacing w:after="0" w:line="25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On April 5, 2018, the D.C. District Court entered an order implementing the Appellate Court Ruling and thereby vacated the U.S. risk retention rules insofar as they apply to CLO managers of “open market CLOs.” In addition, the Applicable Governmental Agencies did not request that the case be heard by the United States Supreme Court. Since the Applicable Governmental Agencies have not successfully challenged the Appellate Court Ruling and the D.C. District Court has issued the above described order implementing the Appellate Court Ruling, collateral managers of open market CLOs are no longer required to comply with the U.S. risk retention rules at this time. As such, it is possible that some collateral managers of open market CLOs will decide to dispose of the notes constituting the “eligible vertical interest” or “eligible horizontal interest” they were previously required to retain, or decide to take other action with respect to such notes that is not otherwise permitted by the U.S. risk retention rules. As a result of this decision, certain CLO managers of “open market CLOs” will no longer be required to comply with the U.S. risk retention rules solely because of their roles as managers of “open market CLOs”, and there may be no “sponsor” of such securitization transactions and no party may be required to acquire and retain an economic interest in the credit risk of the securitized assets of such transactions.</w:t>
      </w:r>
    </w:p>
    <w:p>
      <w:pPr>
        <w:spacing w:after="0" w:line="91"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172" w:lineRule="exact"/>
        <w:rPr>
          <w:sz w:val="20"/>
          <w:szCs w:val="20"/>
          <w:color w:val="auto"/>
        </w:rPr>
      </w:pPr>
    </w:p>
    <w:p>
      <w:pPr>
        <w:ind w:left="1260" w:right="7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do not invest a sufficient portion of our assets in Qualifying Assets, we could be precluded from investing according to our current business strategy.</w:t>
      </w:r>
    </w:p>
    <w:p>
      <w:pPr>
        <w:spacing w:after="0" w:line="50"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As a BDC, we may not acquire any assets other than Qualifying Assets for purposes of the 1940 Act unless, at the time of and after giving effect to such acquisition, at least 70% of our total assets are “qualifying assets”. See “Item 1: Business — Regulation”.</w:t>
      </w:r>
    </w:p>
    <w:p>
      <w:pPr>
        <w:spacing w:after="0" w:line="6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We believe that most of the senior loans and mezzanine investments that we acquire constitute “qualifying assets.” However, investments in the securities of CLO Funds generally do not constitute “qualifying assets,” and we may invest in other assets that are not “qualifying assets.” If we do not invest a sufficient portion of our assets in “qualifying assets,” we may be precluded from investing in what we believe are attractive investments, which would have a material adverse effect on our business, financial condition and results of operations. Similarly, these rules could prevent us from making follow-on investments in existing portfolio companies (which could result in the dilution of our position).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94"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the members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failure on our part to maintain our status as a BDC would significantly reduce our operating flexibility.</w:t>
      </w:r>
    </w:p>
    <w:p>
      <w:pPr>
        <w:spacing w:after="0" w:line="94"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If we fail to maintain our status as a BDC, we might be regulated as a closed-end investment company that is required to register under the 1940 Act, which would subject us to additional regulatory restrictions and significantly decrease our operating flexibility. In addition, any such failure could cause an event of</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default under our outstanding indebtedness, which could have a material adverse effect on our business, financial condition or results of operations.</w:t>
      </w:r>
    </w:p>
    <w:p>
      <w:pPr>
        <w:spacing w:after="0" w:line="144" w:lineRule="exact"/>
        <w:rPr>
          <w:sz w:val="20"/>
          <w:szCs w:val="20"/>
          <w:color w:val="auto"/>
        </w:rPr>
      </w:pPr>
    </w:p>
    <w:p>
      <w:pPr>
        <w:ind w:left="1260" w:right="99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77"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73" w:lineRule="exact"/>
        <w:rPr>
          <w:sz w:val="20"/>
          <w:szCs w:val="20"/>
          <w:color w:val="auto"/>
        </w:rPr>
      </w:pPr>
    </w:p>
    <w:p>
      <w:pPr>
        <w:ind w:left="1260" w:right="11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taxes if we are unable to qualify as a RIC under Subchapter M of the Code.</w:t>
      </w:r>
    </w:p>
    <w:p>
      <w:pPr>
        <w:spacing w:after="0" w:line="64"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To maintain RIC tax treatment under the Code, we must meet the following annual distribution, income source and asset diversification requirements:</w:t>
      </w:r>
    </w:p>
    <w:p>
      <w:pPr>
        <w:spacing w:after="0" w:line="135" w:lineRule="exact"/>
        <w:rPr>
          <w:sz w:val="20"/>
          <w:szCs w:val="20"/>
          <w:color w:val="auto"/>
        </w:rPr>
      </w:pPr>
    </w:p>
    <w:p>
      <w:pPr>
        <w:ind w:left="1980" w:right="819" w:hanging="352"/>
        <w:spacing w:after="0" w:line="255"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distribution requirement for a RIC will be satisfied if we distribute to our stockholders on an annual basis at least 90% of our net ordinary income and realized net short-term capital gains in excess of realized net long-term capital losses, if any. Because we use debt financing, we are subject to certain asset coverage ratio requirements under the 1940 Act and are (and may in the future become) subject to certain financial covenants under loan, indenture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U.S. federal income taxes.</w:t>
      </w:r>
    </w:p>
    <w:p>
      <w:pPr>
        <w:spacing w:after="0" w:line="144" w:lineRule="exact"/>
        <w:rPr>
          <w:rFonts w:ascii="Times New Roman" w:cs="Times New Roman" w:eastAsia="Times New Roman" w:hAnsi="Times New Roman"/>
          <w:sz w:val="18"/>
          <w:szCs w:val="18"/>
          <w:color w:val="auto"/>
        </w:rPr>
      </w:pPr>
    </w:p>
    <w:p>
      <w:pPr>
        <w:ind w:left="1980" w:right="899" w:hanging="352"/>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income requirement will be satisfied if we obtain at least 90% of our income for each year from dividends, interest, gains from the sale of stock or securities or similar sources.</w:t>
      </w:r>
    </w:p>
    <w:p>
      <w:pPr>
        <w:spacing w:after="0" w:line="121" w:lineRule="exact"/>
        <w:rPr>
          <w:rFonts w:ascii="Times New Roman" w:cs="Times New Roman" w:eastAsia="Times New Roman" w:hAnsi="Times New Roman"/>
          <w:sz w:val="18"/>
          <w:szCs w:val="18"/>
          <w:color w:val="auto"/>
        </w:rPr>
      </w:pPr>
    </w:p>
    <w:p>
      <w:pPr>
        <w:ind w:left="1980" w:right="819" w:hanging="352"/>
        <w:spacing w:after="0" w:line="253"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If we do not satisfy the diversification requirements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85" w:lineRule="exact"/>
        <w:rPr>
          <w:sz w:val="20"/>
          <w:szCs w:val="20"/>
          <w:color w:val="auto"/>
        </w:rPr>
      </w:pPr>
    </w:p>
    <w:p>
      <w:pPr>
        <w:ind w:left="1260" w:right="1119" w:firstLine="360"/>
        <w:spacing w:after="0" w:line="261" w:lineRule="auto"/>
        <w:rPr>
          <w:sz w:val="20"/>
          <w:szCs w:val="20"/>
          <w:color w:val="auto"/>
        </w:rPr>
      </w:pPr>
      <w:r>
        <w:rPr>
          <w:rFonts w:ascii="Times New Roman" w:cs="Times New Roman" w:eastAsia="Times New Roman" w:hAnsi="Times New Roman"/>
          <w:sz w:val="18"/>
          <w:szCs w:val="18"/>
          <w:color w:val="auto"/>
        </w:rPr>
        <w:t>Failure to meet these requirements may result in our having to dispose of certain investments quickly in order to prevent the loss of RIC status. Because most of our investments will be in private companies, and therefore will be illiquid, any such dispositions could be made at disadvantageous prices and could result in substantial losses. Moreover, if we fail to maintain RIC tax treatment for any reason and are</w:t>
      </w:r>
    </w:p>
    <w:p>
      <w:pPr>
        <w:spacing w:after="0" w:line="24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839"/>
        <w:spacing w:after="0" w:line="266" w:lineRule="auto"/>
        <w:rPr>
          <w:sz w:val="20"/>
          <w:szCs w:val="20"/>
          <w:color w:val="auto"/>
        </w:rPr>
      </w:pPr>
      <w:r>
        <w:rPr>
          <w:rFonts w:ascii="Times New Roman" w:cs="Times New Roman" w:eastAsia="Times New Roman" w:hAnsi="Times New Roman"/>
          <w:sz w:val="18"/>
          <w:szCs w:val="18"/>
          <w:color w:val="auto"/>
        </w:rPr>
        <w:t>subject to corporate-level U.S. federal income taxes, the resulting taxes could substantially reduce our net assets, the amount of income available for distribution and the amount of our distributions. Such a failure would have a material adverse effect on us and on our stockholders.</w:t>
      </w:r>
    </w:p>
    <w:p>
      <w:pPr>
        <w:spacing w:after="0" w:line="159" w:lineRule="exact"/>
        <w:rPr>
          <w:sz w:val="20"/>
          <w:szCs w:val="20"/>
          <w:color w:val="auto"/>
        </w:rPr>
      </w:pPr>
    </w:p>
    <w:p>
      <w:pPr>
        <w:ind w:left="1260" w:right="8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Proposed regulations may impact our ability to qualify as a RIC if we do not receive timely distributions from our CLO investments.</w:t>
      </w:r>
    </w:p>
    <w:p>
      <w:pPr>
        <w:spacing w:after="0" w:line="64"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We may be required to include in our income our proportionate share of the income of certain CLO investments to the extent that such CLOs are PFICs for which we have made a qualifying electing fund (“QEF”) election or are CFCs. To qualify as a RIC, we must, among other thing, derive in each taxable year at least 90% of our gross income from certain sources specified in the Code (the “90% Income Test”). Although the Code generally provides that the income inclusions from a QEF or a CFC will be “good income” for purposes of this 90% Income Test to the extent that the QEF or the CFC distribute such income to us in the same taxable year to which the income is included in our income, the Code does not specifically provide whether these income inclusions would be “good income” for this 90% Income Test if we do not receive distributions from the QEF or CFC during such taxable year. The IRS has issued a series of private rulings in which it has concluded that all income inclusions from a QEF or a CFC included in a RIC’s gross income would constitute “good income” for purposes of the 90% Income Test. Such rulings are not binding on the IRS except with respect to the taxpayers to whom such rulings were issued. Nonetheless, under current law, we believe that the income inclusions from a CLO that is a QEF or a CFC would be “good income” for purposes of the 90% Income Test. Recently, the IRS and U.S. Treasury Department issued proposed regulations that provide that the income inclusions from a QEF or a CFC would not be good income for purposes of the 90% Income Test unless we receive a cash distribution from such entity in the same year attributable to the included income. If such income were not considered “good income” for purposes of the 90% Income Test, we may fail to qualify as a RIC.</w:t>
      </w:r>
    </w:p>
    <w:p>
      <w:pPr>
        <w:spacing w:after="0" w:line="17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Risks Associated with Our Information Technology Systems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We rely on various information technology systems to manage our operations. Information technology systems are subject to numerous risks including unanticipated operating problems, system failures, rapid technological change, failure of the systems that operate as anticipated, reliance on third party computer hardware, software and IT service providers, computer viruses, telecommunication failures, data breaches, denial of service attacks, spamming, phishing attacks, computer hackers and other similar disruptions, any of which could materially adversely impact our consolidated financial condition and results of operations. Additional risks include, but are not limited to, the following: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Disruptions in current systems or difficulties in integrating new systems.</w:t>
      </w:r>
    </w:p>
    <w:p>
      <w:pPr>
        <w:spacing w:after="0" w:line="108" w:lineRule="exact"/>
        <w:rPr>
          <w:sz w:val="20"/>
          <w:szCs w:val="20"/>
          <w:color w:val="auto"/>
        </w:rPr>
      </w:pPr>
    </w:p>
    <w:p>
      <w:pPr>
        <w:ind w:left="1260" w:right="999" w:firstLine="360"/>
        <w:spacing w:after="0" w:line="261" w:lineRule="auto"/>
        <w:rPr>
          <w:sz w:val="20"/>
          <w:szCs w:val="20"/>
          <w:color w:val="auto"/>
        </w:rPr>
      </w:pPr>
      <w:r>
        <w:rPr>
          <w:rFonts w:ascii="Times New Roman" w:cs="Times New Roman" w:eastAsia="Times New Roman" w:hAnsi="Times New Roman"/>
          <w:sz w:val="18"/>
          <w:szCs w:val="18"/>
          <w:color w:val="auto"/>
        </w:rPr>
        <w:t>We regularly maintain, upgrade, enhance or replace our information technology systems to support our business strategies and provide business continuity. Replacing legacy systems with successor systems, making changes to existing systems or acquiring new systems with new functionality have inherent risks including disruptions, delays, or difficulties that may impair the effectiveness of our information technology systems.</w:t>
      </w:r>
    </w:p>
    <w:p>
      <w:pPr>
        <w:spacing w:after="0" w:line="163" w:lineRule="exact"/>
        <w:rPr>
          <w:sz w:val="20"/>
          <w:szCs w:val="20"/>
          <w:color w:val="auto"/>
        </w:rPr>
      </w:pPr>
    </w:p>
    <w:p>
      <w:pPr>
        <w:ind w:left="1260" w:right="10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Internal and external cyber threats, as well as other disasters, could impair our ability to conduct business effectively.</w:t>
      </w:r>
    </w:p>
    <w:p>
      <w:pPr>
        <w:spacing w:after="0" w:line="64"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80"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Like other companies, we may</w:t>
      </w:r>
    </w:p>
    <w:p>
      <w:pPr>
        <w:spacing w:after="0" w:line="24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919"/>
        <w:spacing w:after="0" w:line="256" w:lineRule="auto"/>
        <w:rPr>
          <w:sz w:val="20"/>
          <w:szCs w:val="20"/>
          <w:color w:val="auto"/>
        </w:rPr>
      </w:pPr>
      <w:r>
        <w:rPr>
          <w:rFonts w:ascii="Times New Roman" w:cs="Times New Roman" w:eastAsia="Times New Roman" w:hAnsi="Times New Roman"/>
          <w:sz w:val="18"/>
          <w:szCs w:val="18"/>
          <w:color w:val="auto"/>
        </w:rPr>
        <w:t>experience threats to our data and systems, including malware and computer virus attacks, unauthorized access, system failures and disruptions.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80"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may be risky, and you could lose all or part of your investment.</w:t>
      </w:r>
    </w:p>
    <w:p>
      <w:pPr>
        <w:spacing w:after="0" w:line="108"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We invest primarily in senior secured term loans, mezzanine debt, selected equity investments issued by middle market companies, CLO Funds and our Asset Manager Affiliates. The investments in our Debt Securities Portfolio are all or predominantly below investment grade, may be highly leveraged, and therefore have speculative characteristics with respect to the issuer’s capacity to pay interest and repay principal. Defaults by portfolio companies may harm our operating results.</w:t>
      </w:r>
    </w:p>
    <w:p>
      <w:pPr>
        <w:spacing w:after="0" w:line="74"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Secured Loans</w:t>
      </w:r>
      <w:r>
        <w:rPr>
          <w:rFonts w:ascii="Times New Roman" w:cs="Times New Roman" w:eastAsia="Times New Roman" w:hAnsi="Times New Roman"/>
          <w:sz w:val="18"/>
          <w:szCs w:val="18"/>
          <w:color w:val="auto"/>
        </w:rPr>
        <w:t>. When we extend secured term loans, we generally take a security interest (either as a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 position or as a second lien position) in the available assets of these portfolio companies, including the equity interests of their subsidiaries, which we expect to assist in mitigating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exercise our remedies.</w:t>
      </w:r>
    </w:p>
    <w:p>
      <w:pPr>
        <w:spacing w:after="0" w:line="85" w:lineRule="exact"/>
        <w:rPr>
          <w:sz w:val="20"/>
          <w:szCs w:val="20"/>
          <w:color w:val="auto"/>
        </w:rPr>
      </w:pPr>
    </w:p>
    <w:p>
      <w:pPr>
        <w:ind w:left="1260" w:right="8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Mezzanine Debt</w:t>
      </w:r>
      <w:r>
        <w:rPr>
          <w:rFonts w:ascii="Times New Roman" w:cs="Times New Roman" w:eastAsia="Times New Roman" w:hAnsi="Times New Roman"/>
          <w:sz w:val="18"/>
          <w:szCs w:val="18"/>
          <w:color w:val="auto"/>
        </w:rPr>
        <w:t>. Our mezzanine debt investments generally are subordinated to senior loans and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unsecured. This may result in an above average amount of risk and volatility or loss of principal.</w:t>
      </w:r>
    </w:p>
    <w:p>
      <w:pPr>
        <w:spacing w:after="0" w:line="5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These investments may entail additional risks that could adversely affect our investment returns. To the extent interest payments associated with such debt are deferred, such debt is subject to greater fluctuations in value based on changes in interest rates and such debt could subject us to phantom income. Since we generally do not receive any cash prior to maturity of the debt, the investment is of greater risk.</w:t>
      </w:r>
    </w:p>
    <w:p>
      <w:pPr>
        <w:spacing w:after="0" w:line="70"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Equity Investments</w:t>
      </w:r>
      <w:r>
        <w:rPr>
          <w:rFonts w:ascii="Times New Roman" w:cs="Times New Roman" w:eastAsia="Times New Roman" w:hAnsi="Times New Roman"/>
          <w:sz w:val="18"/>
          <w:szCs w:val="18"/>
          <w:color w:val="auto"/>
        </w:rPr>
        <w:t>. We have made and expect to make selected equity investments in the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 addition, when we invest in senior secured loans or mezzanine debt, we may acquire warrants in the equity of the portfolio company.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75" w:lineRule="exact"/>
        <w:rPr>
          <w:sz w:val="20"/>
          <w:szCs w:val="20"/>
          <w:color w:val="auto"/>
        </w:rPr>
      </w:pPr>
    </w:p>
    <w:p>
      <w:pPr>
        <w:ind w:left="1260" w:right="879" w:firstLine="360"/>
        <w:spacing w:after="0" w:line="283" w:lineRule="auto"/>
        <w:rPr>
          <w:sz w:val="20"/>
          <w:szCs w:val="20"/>
          <w:color w:val="auto"/>
        </w:rPr>
      </w:pPr>
      <w:r>
        <w:rPr>
          <w:rFonts w:ascii="Times New Roman" w:cs="Times New Roman" w:eastAsia="Times New Roman" w:hAnsi="Times New Roman"/>
          <w:sz w:val="18"/>
          <w:szCs w:val="18"/>
          <w:i w:val="1"/>
          <w:iCs w:val="1"/>
          <w:color w:val="auto"/>
        </w:rPr>
        <w:t>Risks Associated with Middle Market Companies</w:t>
      </w:r>
      <w:r>
        <w:rPr>
          <w:rFonts w:ascii="Times New Roman" w:cs="Times New Roman" w:eastAsia="Times New Roman" w:hAnsi="Times New Roman"/>
          <w:sz w:val="18"/>
          <w:szCs w:val="18"/>
          <w:color w:val="auto"/>
        </w:rPr>
        <w:t>. Investments in middle market companies also involve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significant risks, including:</w:t>
      </w:r>
    </w:p>
    <w:p>
      <w:pPr>
        <w:ind w:left="1980" w:right="779" w:hanging="352"/>
        <w:spacing w:after="0" w:line="266"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financial resources and inability to meet their obligations, which may be accompanied by a deterioration in the value of any collateral and a reduction in the likelihood of our realizing the value of any guarantees we may have obtained in connection with our investment;</w:t>
      </w: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980" w:right="999" w:hanging="352"/>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95" w:lineRule="exact"/>
        <w:rPr>
          <w:rFonts w:ascii="Times New Roman" w:cs="Times New Roman" w:eastAsia="Times New Roman" w:hAnsi="Times New Roman"/>
          <w:sz w:val="18"/>
          <w:szCs w:val="18"/>
          <w:color w:val="auto"/>
        </w:rPr>
      </w:pPr>
    </w:p>
    <w:p>
      <w:pPr>
        <w:ind w:left="1980" w:right="1119" w:hanging="352"/>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talents and efforts of a small group of persons; therefore, the death, disability, resignation or termination of one or more of these persons could have a material adverse impact on our portfolio company and, in turn, on us;</w:t>
      </w:r>
    </w:p>
    <w:p>
      <w:pPr>
        <w:spacing w:after="0" w:line="95" w:lineRule="exact"/>
        <w:rPr>
          <w:rFonts w:ascii="Times New Roman" w:cs="Times New Roman" w:eastAsia="Times New Roman" w:hAnsi="Times New Roman"/>
          <w:sz w:val="18"/>
          <w:szCs w:val="18"/>
          <w:color w:val="auto"/>
        </w:rPr>
      </w:pPr>
    </w:p>
    <w:p>
      <w:pPr>
        <w:ind w:left="1980" w:right="999" w:hanging="352"/>
        <w:spacing w:after="0" w:line="261"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predictable operating results, being parties to litigation from time to time, engaging in rapidly changing businesses with products subject to a substantial risk of obsolescence and requiring substantial additional capital expenditures to support their operations, finance expansion or maintain their competitive position;</w:t>
      </w:r>
    </w:p>
    <w:p>
      <w:pPr>
        <w:spacing w:after="0" w:line="112"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accessing the capital markets to meet future capital needs; and</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less publicly available information about their businesses, operations and financial condition.</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CLO Fund Investments.  </w:t>
      </w:r>
      <w:r>
        <w:rPr>
          <w:rFonts w:ascii="Times New Roman" w:cs="Times New Roman" w:eastAsia="Times New Roman" w:hAnsi="Times New Roman"/>
          <w:sz w:val="18"/>
          <w:szCs w:val="18"/>
          <w:color w:val="auto"/>
        </w:rPr>
        <w:t>Investments in CLO Funds also involve a number of significant risks, including:</w:t>
      </w:r>
    </w:p>
    <w:p>
      <w:pPr>
        <w:spacing w:after="0" w:line="160" w:lineRule="exact"/>
        <w:rPr>
          <w:sz w:val="20"/>
          <w:szCs w:val="20"/>
          <w:color w:val="auto"/>
        </w:rPr>
      </w:pPr>
    </w:p>
    <w:p>
      <w:pPr>
        <w:ind w:left="1980" w:right="779" w:hanging="352"/>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 typically are comprised of a portfolio of senior secured loans; payments on CLO investments are and will be payable solely from the cash-flows from such senior secured loans;</w:t>
      </w:r>
    </w:p>
    <w:p>
      <w:pPr>
        <w:spacing w:after="0" w:line="8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investments are exposed to leveraged credit risk;</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Funds are highly leveraged;</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the potential for interruption and deferral of cash-flow from CLO investments;</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paid by corporate borrowers are subject to volatility;</w:t>
      </w:r>
    </w:p>
    <w:p>
      <w:pPr>
        <w:spacing w:after="0" w:line="144" w:lineRule="exact"/>
        <w:rPr>
          <w:rFonts w:ascii="Times New Roman" w:cs="Times New Roman" w:eastAsia="Times New Roman" w:hAnsi="Times New Roman"/>
          <w:sz w:val="18"/>
          <w:szCs w:val="18"/>
          <w:color w:val="auto"/>
        </w:rPr>
      </w:pPr>
    </w:p>
    <w:p>
      <w:pPr>
        <w:ind w:left="1980" w:right="879" w:hanging="352"/>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a CLO collateral manager to reinvest the proceeds of the prepayment of senior secured loans may adversely affect us;</w:t>
      </w:r>
    </w:p>
    <w:p>
      <w:pPr>
        <w:spacing w:after="0" w:line="9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CLO investments are subject to prepayments and calls, increasing re-investment risk;</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control of the administration and amendment of any CLO in which we invest;</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loans of CLOs may be sold and replaced resulting in a loss to us;</w:t>
      </w:r>
    </w:p>
    <w:p>
      <w:pPr>
        <w:spacing w:after="0" w:line="144" w:lineRule="exact"/>
        <w:rPr>
          <w:rFonts w:ascii="Times New Roman" w:cs="Times New Roman" w:eastAsia="Times New Roman" w:hAnsi="Times New Roman"/>
          <w:sz w:val="18"/>
          <w:szCs w:val="18"/>
          <w:color w:val="auto"/>
        </w:rPr>
      </w:pPr>
    </w:p>
    <w:p>
      <w:pPr>
        <w:ind w:left="1980" w:right="839" w:hanging="352"/>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affected adversely if one or more of our significant equity or junior debt investments in a CLO vehicle defaults on its payment obligations or fails to perform as we expect; and</w:t>
      </w:r>
    </w:p>
    <w:p>
      <w:pPr>
        <w:spacing w:after="0" w:line="80" w:lineRule="exact"/>
        <w:rPr>
          <w:rFonts w:ascii="Times New Roman" w:cs="Times New Roman" w:eastAsia="Times New Roman" w:hAnsi="Times New Roman"/>
          <w:sz w:val="18"/>
          <w:szCs w:val="18"/>
          <w:color w:val="auto"/>
        </w:rPr>
      </w:pPr>
    </w:p>
    <w:p>
      <w:pPr>
        <w:ind w:left="1980" w:right="839" w:hanging="352"/>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non-investment grade debt involves a greater risk of default and higher price volatility than investment grade debt.</w:t>
      </w:r>
    </w:p>
    <w:p>
      <w:pPr>
        <w:spacing w:after="0" w:line="144" w:lineRule="exact"/>
        <w:rPr>
          <w:sz w:val="20"/>
          <w:szCs w:val="20"/>
          <w:color w:val="auto"/>
        </w:rPr>
      </w:pPr>
    </w:p>
    <w:p>
      <w:pPr>
        <w:ind w:left="1260" w:right="739"/>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Our portfolio investments for which there is no readily available market, including our investment in our Asset Manager Affiliates, our Joint Venture and our investments in CLO Funds, are recorded at fair value as determined in good faith by our Board of Directors. As a result, there is uncertainty as to the value of these investments.</w:t>
      </w:r>
    </w:p>
    <w:p>
      <w:pPr>
        <w:spacing w:after="0" w:line="78"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Our investments consist primarily of securities issued by privately-held companies, the fair value of which is not readily determinable. In addition, we are not permitted to maintain a general reserve for anticipated loan losses. Instead, we are required by the 1940 Act to specifically value each investment and record an unrealized gain or loss for any asset that we believe has increased or decreased in value. We value these securities at fair value as determined in good faith by our Board of Directors pursuant to a valuation methodology approved by our Board of Directors. These valuations are initially prepared by our management and reviewed by our Valuation Committee, which uses its best judgment in arriving at the fair value of these securities. However, the Board of Directors retains ultimate authority to determine the appropriate valuation for each investment.</w:t>
      </w:r>
    </w:p>
    <w:p>
      <w:pPr>
        <w:spacing w:after="0" w:line="25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The Company has engaged an independent valuation firm to provide third party valuation consulting services to the Company’s Board of Directors. Each quarter, the independent valuation firm performs third party valuations on the Company’s material investments in illiquid securities, such that they are reviewed at least once during a trailing 12 month period. These third party valuation estimates are one of the relevant data points in the Board of Director’s determination of fair value. The Board of Directors intends to continue to engage an independent valuation firm in the future to provide certain valuation services, including the review of certain portfolio assets, as part of the quarterly and annual year-end valuation process. In addition to such third-party input, the types of factors that may be considered in valuing our investments include the nature and realizable value of any collateral, the portfolio company’s ability to make payments and its earnings, the markets in which the portfolio company does business, comparison to publicly-traded companies, discounted cash flow and other relevant factors. 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In addition, our investment in our Joint Venture is carried at fair value, which is determined based on the fair value of the investments held by the Joint Venture. Because such valuations, and particularly valuations of private investments and private companies, are inherently uncertain and may be based on estimates, our determinations of fair value may differ materially from the values that would be assessed if a ready market for these securities existed. Our net asset value could be adversely affected if our determinations regarding the fair value of our illiquid investments were materially higher than the values that we ultimately realize upon the disposal of such securities.</w:t>
      </w:r>
    </w:p>
    <w:p>
      <w:pPr>
        <w:spacing w:after="0" w:line="172" w:lineRule="exact"/>
        <w:rPr>
          <w:sz w:val="20"/>
          <w:szCs w:val="20"/>
          <w:color w:val="auto"/>
        </w:rPr>
      </w:pPr>
    </w:p>
    <w:p>
      <w:pPr>
        <w:ind w:left="1260" w:right="739"/>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we may invest a significant portion of our assets in a relatively small number of issuers, which subjects us to a risk of significant loss if any of these issuers defaults on its obligations under any of its debt instruments or as a result of a downturn in the particular industry.</w:t>
      </w:r>
    </w:p>
    <w:p>
      <w:pPr>
        <w:spacing w:after="0" w:line="78"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and therefore we may invest a significant portion of our assets in a relatively small number of issuers in a limited number of industries. Beyond the asset diversification requirements associated with our qualification as a RIC, we do not have fixed guidelines for diversification, and while we are not targeting any specific industries, relatively few industries may become significantly represented among our investments.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changes in fair value over time or a downturn in any particular industry. We may also be more susceptible to any single economic or regulatory occurrence than a diversified investment company.</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Defaults by our portfolio companies could harm our operating results.</w:t>
      </w:r>
    </w:p>
    <w:p>
      <w:pPr>
        <w:spacing w:after="0" w:line="94"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debt holders could lead to defaults and, potentially, acceleration of the time when the loans are due and foreclosure on its secured assets. Such events could trigger cross-defaults under other agreements and jeopardize a portfolio company’s ability to meet its obligations under the debt that we hold and the value of any equity securities we own. We may incur expenses to the extent necessary to seek recovery upon default or to negotiate new terms with a defaulting portfolio company.</w:t>
      </w:r>
    </w:p>
    <w:p>
      <w:pPr>
        <w:spacing w:after="0" w:line="170" w:lineRule="exact"/>
        <w:rPr>
          <w:sz w:val="20"/>
          <w:szCs w:val="20"/>
          <w:color w:val="auto"/>
        </w:rPr>
      </w:pPr>
    </w:p>
    <w:p>
      <w:pPr>
        <w:jc w:val="both"/>
        <w:ind w:left="1260" w:right="73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When we are a debt or minority equity investor in a portfolio company, which generally is the case, we may not be in a position to control the entity, and its management may make decisions that could decrease the value of our investment.</w:t>
      </w:r>
    </w:p>
    <w:p>
      <w:pPr>
        <w:spacing w:after="0" w:line="63"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Most of our investments are either debt or minority equity investments in our portfolio companies.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 In addition, we generally are not in a position to control any portfolio company by investing in its debt securities.</w:t>
      </w: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have limited access to information about privately held companies in which we invest.</w:t>
      </w:r>
    </w:p>
    <w:p>
      <w:pPr>
        <w:spacing w:after="0" w:line="108"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We invest primarily in privately-held companies. Generally, little public information exists about these companies, and we are required to rely on the ability of our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w:t>
      </w:r>
    </w:p>
    <w:p>
      <w:pPr>
        <w:spacing w:after="0" w:line="170"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b w:val="1"/>
          <w:bCs w:val="1"/>
          <w:i w:val="1"/>
          <w:iCs w:val="1"/>
          <w:color w:val="auto"/>
        </w:rPr>
        <w:t>Prepayments of our debt investments by our portfolio companies could negatively impact our operating results.</w:t>
      </w:r>
    </w:p>
    <w:p>
      <w:pPr>
        <w:spacing w:after="0" w:line="108"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the risk that the investments we make in our portfolio companies may be repaid prior to maturity. When this occurs, we generally reinvest these proceeds in temporary investments, pending their future investment in new portfolio companies. These temporary investments typically have substantially lower yields than the debt being prepaid and we could experience significant delays in reinvesting these amounts. Any future investment in a new portfolio company may also be at lower yields than the debt that was repaid. Consequently,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168" w:lineRule="exact"/>
        <w:rPr>
          <w:sz w:val="20"/>
          <w:szCs w:val="20"/>
          <w:color w:val="auto"/>
        </w:rPr>
      </w:pPr>
    </w:p>
    <w:p>
      <w:pPr>
        <w:ind w:left="1260" w:right="1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invest the net proceeds raised from offerings and repayments from investments on acceptable terms, which would harm our financial condition and operating results.</w:t>
      </w:r>
    </w:p>
    <w:p>
      <w:pPr>
        <w:spacing w:after="0" w:line="64"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Until we identify new investment opportunities, we intend to either invest the net proceeds of future offerings and repayments from investments in interest-bearing deposits or other short-term instruments or use the net proceeds from such offerings to reduce then-outstanding debt obligations. We cannot assure you that we will be able to find enough appropriate investments that meet our investment criteria or that any investment we complete using the proceeds from an offering will produce a sufficient return.</w:t>
      </w:r>
    </w:p>
    <w:p>
      <w:pPr>
        <w:spacing w:after="0" w:line="166" w:lineRule="exact"/>
        <w:rPr>
          <w:sz w:val="20"/>
          <w:szCs w:val="20"/>
          <w:color w:val="auto"/>
        </w:rPr>
      </w:pPr>
    </w:p>
    <w:p>
      <w:pPr>
        <w:ind w:left="1260" w:right="15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may incur debt that ranks equal with, or senior to, our investments in such companies.</w:t>
      </w:r>
    </w:p>
    <w:p>
      <w:pPr>
        <w:spacing w:after="0" w:line="64"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We invest primarily in debt securities issued by our portfolio companies. In some cases portfolio companies are permitted to have other debt that ranks equal with, or senior to, the debt securities in which we invest. By their terms, such debt instruments may provide that the holders thereof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such portfolio company may not have any remaining assets to use for repaying its obligation to us. In the case of debt ranking equal with debt securities in which we invest, we would have to share on an equal basis any distributions with other creditors holding such debt in the event of an insolvency, liquidation, dissolution, reorganization or bankruptcy of a portfolio company.</w:t>
      </w:r>
    </w:p>
    <w:p>
      <w:pPr>
        <w:spacing w:after="0" w:line="175" w:lineRule="exact"/>
        <w:rPr>
          <w:sz w:val="20"/>
          <w:szCs w:val="20"/>
          <w:color w:val="auto"/>
        </w:rPr>
      </w:pPr>
    </w:p>
    <w:p>
      <w:pPr>
        <w:jc w:val="both"/>
        <w:ind w:left="1260" w:right="95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7"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Certain loans that we make are secured by a second priority security interest in the same collateral pledged by a portfolio company to secure senior debt owed by the portfolio company to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will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w:t>
      </w:r>
    </w:p>
    <w:p>
      <w:pPr>
        <w:spacing w:after="0" w:line="25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66" w:lineRule="exact"/>
        <w:rPr>
          <w:sz w:val="20"/>
          <w:szCs w:val="20"/>
          <w:color w:val="auto"/>
        </w:rPr>
      </w:pPr>
    </w:p>
    <w:p>
      <w:pPr>
        <w:ind w:left="1260" w:right="8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4"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Even though we may have structured certain of our investments as senior loans, if one of our portfolio companies were to go bankrupt, depending on the facts and circumstances, including the size of our investment and the extent to which we actually provided managerial assistance to that portfolio company, a bankruptcy court might recharacterize our debt investment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in rendering significant managerial assistance.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equity securities involve a substantial degree of risk.</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We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We may invest in securities issued by private companies. These securities may be subject to legal and other restrictions on resale or otherwise be less liquid than publicly-traded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Our investments are usually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168" w:lineRule="exact"/>
        <w:rPr>
          <w:sz w:val="20"/>
          <w:szCs w:val="20"/>
          <w:color w:val="auto"/>
        </w:rPr>
      </w:pPr>
    </w:p>
    <w:p>
      <w:pPr>
        <w:ind w:left="1260" w:right="14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foreign securities may involve significant risks in addition to the risks inherent in U.S. investments.</w:t>
      </w:r>
    </w:p>
    <w:p>
      <w:pPr>
        <w:spacing w:after="0" w:line="64" w:lineRule="exact"/>
        <w:rPr>
          <w:sz w:val="20"/>
          <w:szCs w:val="20"/>
          <w:color w:val="auto"/>
        </w:rPr>
      </w:pPr>
    </w:p>
    <w:p>
      <w:pPr>
        <w:ind w:left="1260" w:right="979" w:firstLine="360"/>
        <w:spacing w:after="0" w:line="255" w:lineRule="auto"/>
        <w:rPr>
          <w:sz w:val="20"/>
          <w:szCs w:val="20"/>
          <w:color w:val="auto"/>
        </w:rPr>
      </w:pPr>
      <w:r>
        <w:rPr>
          <w:rFonts w:ascii="Times New Roman" w:cs="Times New Roman" w:eastAsia="Times New Roman" w:hAnsi="Times New Roman"/>
          <w:sz w:val="18"/>
          <w:szCs w:val="18"/>
          <w:color w:val="auto"/>
        </w:rPr>
        <w:t>Our investment strategy contemplates that a portion of our investments may be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81"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Although it is anticipated that most of our investments will be denominated in U.S. dollars, our investments that are denominated in a foreign currency will be subject to the risk that the value of a particular currency may change in relation to the U.S. dollar.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2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disposition of our investments may result in contingent liabilities.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We currently expect that a significant portion of our investments will involve lending directly to private companies. 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any return on our investment in the CLO Funds in which we have invested.</w:t>
      </w:r>
    </w:p>
    <w:p>
      <w:pPr>
        <w:spacing w:after="0" w:line="94"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As of December 31, 2018, we had $45.0 million at fair value invested in the subordinated securities, preferred shares, or other securities issued by the CLO Funds managed by certain third party asset managers. Subordinated securities are the most junior class of securities issued by the CLO Funds and are subordinated in priority of payment to every other class of securities issued by these CLO Funds. Therefore, they only receive cash distributions if the CLO Funds have made all cash interest payments to all other debt securities issued by the CLO Fund. The subordinated securities are also unsecured and rank behind all of the secured creditors, known or unknown, of the CLO Fund, including the holders of the senior securities issued by the CLO Fund. Consequently, to the extent that the value of a CLO Fund’s loan investments has been reduced as a result of conditions in the credit markets, or as a result of defaulted loans or individual fund assets, the value of the subordinated securities at their redemption could be reduced.</w:t>
      </w:r>
    </w:p>
    <w:p>
      <w:pPr>
        <w:spacing w:after="0" w:line="16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ind w:left="1260" w:right="9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pay distributions to our stockholders, our distributions may not grow over time, and a portion of distributions paid to our stockholders may be a return of capital.</w:t>
      </w:r>
    </w:p>
    <w:p>
      <w:pPr>
        <w:spacing w:after="0" w:line="50"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We intend to continue to make distributions on a quarterly basis to our stockholders out of assets legally available for distribution. We may not be able to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In addition, due to the asset coverage test applicable to us as a BDC and covenants that we agreed to in connection with the issuance of the 6.125% Notes Due 2022 (together, the “Notes”) we are limited in our ability to make distributions in certain circumstances. In this regard, we agreed in connection with our issuance of the Notes that for the period of time during which the Notes are outstanding, we will not violate (regardless of whether we are subject to) Section 18(a)(1)(B) as modified by Section 61(a)(1) of the 1940 Act. These provisions generally prohibit us from declaring any cash dividend or distribution upon our common stock, or purchasing any such common stock if our asset coverage, as defined in the 1940 Act, is below 200% at the time of the declaration of the dividend or distribution or the purchase and after deducting the amount of such dividend, distribution or purchase. Further, if we invest a greater amount of assets in equity securities that do not pay current dividends, it could reduce the amount available for distribution.</w:t>
      </w:r>
    </w:p>
    <w:p>
      <w:pPr>
        <w:spacing w:after="0" w:line="89"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All distributions will be paid at the discretion of our Board of Directors and will depend on our earnings, our financial condition, maintenance of our RIC status, compliance with applicable BDC regulations and such other factors as our Board of Directors may deem relevant from time to time. We cannot assure you that we will pay distributions to our stockholders in the future.</w:t>
      </w:r>
    </w:p>
    <w:p>
      <w:pPr>
        <w:spacing w:after="0" w:line="7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When we make quarterly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which may result in higher tax liability when the shares are sold, even if they have not increased in value or have lost value. Our distributions have over the last several years included a significant return of capital component. For more information about our distributions over the last several years that have included a return of capital component, see Note 7 — “Distributable Taxable Income” to our consolidated financial statements included elsewhere in this Annual Report.</w:t>
      </w:r>
    </w:p>
    <w:p>
      <w:pPr>
        <w:spacing w:after="0" w:line="23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in shares of our common stock may involve an above average degree of risk.</w:t>
      </w:r>
    </w:p>
    <w:p>
      <w:pPr>
        <w:spacing w:after="0" w:line="108" w:lineRule="exact"/>
        <w:rPr>
          <w:sz w:val="20"/>
          <w:szCs w:val="20"/>
          <w:color w:val="auto"/>
        </w:rPr>
      </w:pPr>
    </w:p>
    <w:p>
      <w:pPr>
        <w:jc w:val="both"/>
        <w:ind w:left="1260" w:right="959" w:firstLine="360"/>
        <w:spacing w:after="0" w:line="261"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163" w:lineRule="exact"/>
        <w:rPr>
          <w:sz w:val="20"/>
          <w:szCs w:val="20"/>
          <w:color w:val="auto"/>
        </w:rPr>
      </w:pPr>
    </w:p>
    <w:p>
      <w:pPr>
        <w:ind w:left="1260" w:right="91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Shares of closed-end investment companies, including BDCs, frequently trade at a discount to their net asset value, and we cannot assure you that the market price of our common stock will not decline below the net asset value of the stock.</w:t>
      </w:r>
    </w:p>
    <w:p>
      <w:pPr>
        <w:spacing w:after="0" w:line="77"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We cannot predict the price at which our common stock will trade. Shares of closed-end investment companies frequently trade at a discount to their net asset value and our stock may also be discounted in the market. This characteristic of closed-end investment companies is separate and distinct from the risk that our net asset value per share may decline. We cannot predict whether shares of our common stock will trade above, at or below our net asset value. The risk of loss associated with this characteristic of closed-end investment companies may be greater for investors expecting to sell shares of common stock soon after the purchase of such shares of common stock. In addition, if our common stock trades below its net asset value, we will generally not be able to issue additional shares of our common stock at its market price without first obtaining the approval of our stockholders and our independent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may fluctuate substantially.</w:t>
      </w:r>
    </w:p>
    <w:p>
      <w:pPr>
        <w:spacing w:after="0" w:line="10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9" w:lineRule="exact"/>
        <w:rPr>
          <w:sz w:val="20"/>
          <w:szCs w:val="20"/>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57" w:lineRule="exact"/>
        <w:rPr>
          <w:rFonts w:ascii="Times New Roman" w:cs="Times New Roman" w:eastAsia="Times New Roman" w:hAnsi="Times New Roman"/>
          <w:sz w:val="18"/>
          <w:szCs w:val="18"/>
          <w:color w:val="auto"/>
        </w:rPr>
      </w:pPr>
    </w:p>
    <w:p>
      <w:pPr>
        <w:jc w:val="both"/>
        <w:ind w:left="1980" w:right="899" w:hanging="352"/>
        <w:spacing w:after="0" w:line="266"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are not necessarily related to the operating performance of these companies or to us;</w:t>
      </w:r>
    </w:p>
    <w:p>
      <w:pPr>
        <w:spacing w:after="0" w:line="9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deploy or invest our capital;</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157" w:lineRule="exact"/>
        <w:rPr>
          <w:rFonts w:ascii="Times New Roman" w:cs="Times New Roman" w:eastAsia="Times New Roman" w:hAnsi="Times New Roman"/>
          <w:sz w:val="18"/>
          <w:szCs w:val="18"/>
          <w:color w:val="auto"/>
        </w:rPr>
      </w:pPr>
    </w:p>
    <w:p>
      <w:pPr>
        <w:ind w:left="1980" w:right="1039" w:hanging="352"/>
        <w:spacing w:after="0" w:line="282"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8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rules, particularly with respect to RICs or BDCs;</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our qualification as a RIC for U.S. federal income tax purposes;</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or variations in operating results;</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portfolio;</w:t>
      </w:r>
    </w:p>
    <w:p>
      <w:pPr>
        <w:spacing w:after="0" w:line="14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 and</w:t>
      </w:r>
    </w:p>
    <w:p>
      <w:pPr>
        <w:spacing w:after="0" w:line="15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key personnel.</w:t>
      </w:r>
    </w:p>
    <w:p>
      <w:pPr>
        <w:spacing w:after="0" w:line="208" w:lineRule="exact"/>
        <w:rPr>
          <w:sz w:val="20"/>
          <w:szCs w:val="20"/>
          <w:color w:val="auto"/>
        </w:rPr>
      </w:pPr>
    </w:p>
    <w:p>
      <w:pPr>
        <w:ind w:left="1260" w:right="8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Delaware General Corporation Law and our certificate of incorporation and bylaws could deter takeover attempts and have an adverse impact on the price of our common stock.</w:t>
      </w:r>
    </w:p>
    <w:p>
      <w:pPr>
        <w:spacing w:after="0" w:line="64"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our certificate of incorporation and our bylaws contain provisions that may have the effect of discouraging a third party from making an acquisition proposal for us. These anti-takeover provisions may inhibit a change in control in circumstances that could give the holders of our common stock the opportunity to realize a premium over the market price of our common stock.</w:t>
      </w:r>
    </w:p>
    <w:p>
      <w:pPr>
        <w:spacing w:after="0" w:line="23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Risks Related to Our Notes</w:t>
      </w:r>
    </w:p>
    <w:p>
      <w:pPr>
        <w:spacing w:after="0" w:line="198" w:lineRule="exact"/>
        <w:rPr>
          <w:sz w:val="20"/>
          <w:szCs w:val="20"/>
          <w:color w:val="auto"/>
        </w:rPr>
      </w:pPr>
    </w:p>
    <w:p>
      <w:pPr>
        <w:ind w:left="1260" w:right="11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Notes are unsecured and therefore are effectively subordinated to any secured indebtedness we have currently incurred or may incur in the future.</w:t>
      </w:r>
    </w:p>
    <w:p>
      <w:pPr>
        <w:spacing w:after="0" w:line="64"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Our Notes are not secured by any of our assets or any of the assets of our subsidiaries or the Asset Manager Affiliates. As a result, the Notes are effectively subordinated to any secured indebtedness we or they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and the Asset Manager Affiliates may assert rights against the assets pledged to secure that indebtedness in order to receive full payment of their indebtedness before the assets may be used to pay other creditors, including the holders of the Notes.</w:t>
      </w:r>
    </w:p>
    <w:p>
      <w:pPr>
        <w:spacing w:after="0" w:line="168" w:lineRule="exact"/>
        <w:rPr>
          <w:sz w:val="20"/>
          <w:szCs w:val="20"/>
          <w:color w:val="auto"/>
        </w:rPr>
      </w:pPr>
    </w:p>
    <w:p>
      <w:pPr>
        <w:ind w:left="1260" w:right="1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 and portfolio companies with respect to which we hold equity investments.</w:t>
      </w:r>
    </w:p>
    <w:p>
      <w:pPr>
        <w:spacing w:after="0" w:line="64" w:lineRule="exact"/>
        <w:rPr>
          <w:sz w:val="20"/>
          <w:szCs w:val="20"/>
          <w:color w:val="auto"/>
        </w:rPr>
      </w:pPr>
    </w:p>
    <w:p>
      <w:pPr>
        <w:ind w:left="1260" w:right="799" w:firstLine="360"/>
        <w:spacing w:after="0" w:line="252" w:lineRule="auto"/>
        <w:rPr>
          <w:sz w:val="20"/>
          <w:szCs w:val="20"/>
          <w:color w:val="auto"/>
        </w:rPr>
      </w:pPr>
      <w:r>
        <w:rPr>
          <w:rFonts w:ascii="Times New Roman" w:cs="Times New Roman" w:eastAsia="Times New Roman" w:hAnsi="Times New Roman"/>
          <w:sz w:val="18"/>
          <w:szCs w:val="18"/>
          <w:color w:val="auto"/>
        </w:rPr>
        <w:t>The Notes are obligations exclusively of KCAP Financial, Inc., and not of any of our subsidiaries or the Asset Manager Affiliates. None of our subsidiaries or the Asset Manager Affiliates are guarantors of the Notes, and the Notes will not be required to be guaranteed by any subsidiary or asset management firm we may acquire or create in the future. Any assets of our subsidiaries and the Asset Manager Affiliates will not be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are structurally subordinated to all indebtedness and other liabilities of any of our subsidiaries and portfolio companies with respect to which we hold equity investments, including the Asset Manager Affiliates and any subsidiaries of the Asset Manager Affiliates that we may in the future acquire or establish. These entities may incur substantial indebtedness in the future, all of which would be structurally senior to the Notes.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indentures under which the Notes are issued contain limited protection for holders of the Notes.</w:t>
      </w:r>
    </w:p>
    <w:p>
      <w:pPr>
        <w:spacing w:after="0" w:line="108"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indentures under which the Notes are issued offer limited protection to holders of the Notes. The terms of the indentures and the Notes do not restrict our or any of our subsidiaries or the Asset Manager Affiliates’ ability to engage in, or otherwise be a party to, a variety of corporate transactions, circumstances or events that could have a material adverse impact on your investment in the Notes. In particular, the terms of the indenture and the Notes do not place any restrictions on our or our subsidiaries or the Asset Manager Affiliates’ ability to:</w:t>
      </w:r>
    </w:p>
    <w:p>
      <w:pPr>
        <w:spacing w:after="0" w:line="157" w:lineRule="exact"/>
        <w:rPr>
          <w:sz w:val="20"/>
          <w:szCs w:val="20"/>
          <w:color w:val="auto"/>
        </w:rPr>
      </w:pPr>
    </w:p>
    <w:p>
      <w:pPr>
        <w:ind w:left="1980" w:right="799" w:hanging="352"/>
        <w:spacing w:after="0" w:line="252"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or the Asset Manager Affiliates and which therefore is structurally senior to the Notes and (4) securities, indebtedness or obligations issued or incurred by our subsidiaries or the Asset Manager Affiliates that would be senior to our equity interests in those entities and therefore rank structurally senior to the Notes with respect to the assets of our subsidiaries and the Asset Manager Affiliates, in each case other than an incurrence of indebtedness or other obligation that would cause a violation of Section 18(a)(1)(A) as modified by Section 61(a)(1) of the 1940 Act or any successor provisions.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25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80" w:right="759" w:hanging="352"/>
        <w:spacing w:after="0" w:line="255"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 including subordinated indebtedness, in each case other than dividends, purchases, redemptions or payments that would cause a violation of Section 18(a)(1)(B) as modified by Section 61(a)(1) of the 1940 Act or any successor provisions.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44" w:lineRule="exact"/>
        <w:rPr>
          <w:rFonts w:ascii="Times New Roman" w:cs="Times New Roman" w:eastAsia="Times New Roman" w:hAnsi="Times New Roman"/>
          <w:sz w:val="18"/>
          <w:szCs w:val="18"/>
          <w:color w:val="auto"/>
        </w:rPr>
      </w:pPr>
    </w:p>
    <w:p>
      <w:pPr>
        <w:ind w:left="1980" w:right="1239" w:hanging="352"/>
        <w:spacing w:after="0" w:line="282"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2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98" w:lineRule="exact"/>
        <w:rPr>
          <w:rFonts w:ascii="Times New Roman" w:cs="Times New Roman" w:eastAsia="Times New Roman" w:hAnsi="Times New Roman"/>
          <w:sz w:val="18"/>
          <w:szCs w:val="18"/>
          <w:color w:val="auto"/>
        </w:rPr>
      </w:pPr>
    </w:p>
    <w:p>
      <w:pPr>
        <w:ind w:left="1980" w:right="1519" w:hanging="352"/>
        <w:spacing w:after="0" w:line="282"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2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117"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 addition, the indenture does not require us to offer to purchase the Notes in connection with a change of control or any other event.</w:t>
      </w:r>
    </w:p>
    <w:p>
      <w:pPr>
        <w:spacing w:after="0" w:line="54"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Furthermore, the terms of the indentures and the Notes do not protect holders of the Notes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 other than as described above. Any changes to the 200% asset coverage ratio in the 1940 Act could affect the Notes. As discussed above, on March 29, 2018, our Board of Directors,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will be changed from 200% to 150%, effective as of March 29, 2019. However, despite the SBCA, we will continue to be prohibited by the indentures governing our 6.125% Notes from making distributions on our common stock if our asset coverage, as defined in the 1940 Act, falls below 200%. See “Item 1A. Risk Factors — Risks Related to Our Business and Structure — Our Board of Directors has approved our ability to incur additional leverage as permitted by recent legislation.”</w:t>
      </w:r>
    </w:p>
    <w:p>
      <w:pPr>
        <w:spacing w:after="0" w:line="83"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72"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indentures and the Notes, including additional covenants and events of default. The issuance or incurrence of any such debt with incremental protections could affect the market for and trading levels and prices of the Notes.</w:t>
      </w:r>
    </w:p>
    <w:p>
      <w:pPr>
        <w:spacing w:after="0" w:line="159" w:lineRule="exact"/>
        <w:rPr>
          <w:sz w:val="20"/>
          <w:szCs w:val="20"/>
          <w:color w:val="auto"/>
        </w:rPr>
      </w:pPr>
    </w:p>
    <w:p>
      <w:pPr>
        <w:ind w:left="1260" w:right="73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Even though the 6.125% Notes Due 2022 are listed on the NASDAQ Global Select Market, respectively, an active trading market for the Notes may not develop, or if it does develop, it will be sustained, which could limit your ability to sell the Notes or affect the market price of the Notes.</w:t>
      </w:r>
    </w:p>
    <w:p>
      <w:pPr>
        <w:spacing w:after="0" w:line="77" w:lineRule="exact"/>
        <w:rPr>
          <w:sz w:val="20"/>
          <w:szCs w:val="20"/>
          <w:color w:val="auto"/>
        </w:rPr>
      </w:pPr>
    </w:p>
    <w:p>
      <w:pPr>
        <w:ind w:left="1260" w:right="759" w:firstLine="360"/>
        <w:spacing w:after="0" w:line="281" w:lineRule="auto"/>
        <w:rPr>
          <w:sz w:val="20"/>
          <w:szCs w:val="20"/>
          <w:color w:val="auto"/>
        </w:rPr>
      </w:pPr>
      <w:r>
        <w:rPr>
          <w:rFonts w:ascii="Times New Roman" w:cs="Times New Roman" w:eastAsia="Times New Roman" w:hAnsi="Times New Roman"/>
          <w:sz w:val="17"/>
          <w:szCs w:val="17"/>
          <w:color w:val="auto"/>
        </w:rPr>
        <w:t>We cannot provide any assurances that an active trading market will develop for the Notes, or that, if it does develop, it will be sustained or that you will be able to sell your Notes. The Notes may trade at a discount from the price paid for the notes depending on prevailing interest rates, the market for similar securities, our credit ratings, if any, general economic conditions, our financial condition, performance and prospects and other factors.</w:t>
      </w:r>
    </w:p>
    <w:p>
      <w:pPr>
        <w:spacing w:after="0" w:line="21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Accordingly, we cannot assure you that a liquid trading market will develop for the Notes or that, if an active trading market for the Notes does develop, it will be sustained,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66" w:lineRule="exact"/>
        <w:rPr>
          <w:sz w:val="20"/>
          <w:szCs w:val="20"/>
          <w:color w:val="auto"/>
        </w:rPr>
      </w:pPr>
    </w:p>
    <w:p>
      <w:pPr>
        <w:ind w:left="1260" w:right="9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37"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that is not waived by the required lenders,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any debt we may incur in the future could elect to terminate its commitment, cease making further loans and institute foreclosure proceedings against our assets, and we could be forced into bankruptcy or liquidation. If our operating performance declines, we may in the future need to seek to obtain waivers from under any other debt that we may incur in the future to avoid being in default. If we breach our covenants under any debt and seek a waiver, we may not be able to obtain a waiver from the required lenders. If this occurs, we would be in default under any debt, the lender could exercise its rights as described above, and we could be forced into bankruptcy or liquidation. If we are unable to repay debt, lenders having secured obligations could proceed against the collateral securing the debt. Because any future debt we issue will likely have customary cross-default provisions, if such other debt is accelerated, we may be unable to repay or finance the amounts due.</w:t>
      </w:r>
    </w:p>
    <w:p>
      <w:pPr>
        <w:spacing w:after="0" w:line="17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Risks Related to the Externalization Agreement</w:t>
      </w:r>
    </w:p>
    <w:p>
      <w:pPr>
        <w:spacing w:after="0" w:line="198" w:lineRule="exact"/>
        <w:rPr>
          <w:sz w:val="20"/>
          <w:szCs w:val="20"/>
          <w:color w:val="auto"/>
        </w:rPr>
      </w:pPr>
    </w:p>
    <w:p>
      <w:pPr>
        <w:ind w:left="1260" w:right="10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may have interests in the Externalization that are different from, or in addition to, the interests of our stockholders generally.</w:t>
      </w:r>
    </w:p>
    <w:p>
      <w:pPr>
        <w:spacing w:after="0" w:line="50"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Members of the Board and our executive officers may have interests in the Externalization that are different from, or are in addition to, the interests of our stockholders generally. Specifically, immediately prior to the Closing, each restricted share of the Company (the “Company Restricted Share”) outstanding and not previously forfeited under the Company’s Equity Incentive Plan or Non-Employee Director Plan shall become fully vested, all restrictions with respect to such Company Restricted Shares shall lapse, and the holders of such Company Restricted Shares shall be entitled to receive a pro rata share of the cash payment of $25 million, or approximately $0.67 per share of the Company’s common stock (the “Stockholder Payment”), that BCP, or its affiliate, will make directly to the holders of record of the Company’s common stock immediately prior to the Closing.</w:t>
      </w:r>
    </w:p>
    <w:p>
      <w:pPr>
        <w:spacing w:after="0" w:line="172" w:lineRule="exact"/>
        <w:rPr>
          <w:sz w:val="20"/>
          <w:szCs w:val="20"/>
          <w:color w:val="auto"/>
        </w:rPr>
      </w:pPr>
    </w:p>
    <w:p>
      <w:pPr>
        <w:ind w:left="1260" w:right="10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complete the Externalization may result in a decrease in the market value of the Company’s common stock.</w:t>
      </w:r>
    </w:p>
    <w:p>
      <w:pPr>
        <w:spacing w:after="0" w:line="37"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The Externalization is subject the satisfaction or appropriate waiver of closing conditions. As a result, we cannot assure you that the Externalization will be completed. If the Externalization is not completed for any reason, the market price of the Company’s common stock may decline.</w:t>
      </w:r>
    </w:p>
    <w:p>
      <w:pPr>
        <w:spacing w:after="0" w:line="159" w:lineRule="exact"/>
        <w:rPr>
          <w:sz w:val="20"/>
          <w:szCs w:val="20"/>
          <w:color w:val="auto"/>
        </w:rPr>
      </w:pPr>
    </w:p>
    <w:p>
      <w:pPr>
        <w:ind w:left="1260" w:right="9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Under certain circumstances, expense reimbursement may be payable by the Company upon termination of the Externalization Agreement.</w:t>
      </w:r>
    </w:p>
    <w:p>
      <w:pPr>
        <w:spacing w:after="0" w:line="23"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 Externalization Agreement provides for the payment of expense reimbursement by the Company to BCP of up to $750,000 if (i) the Externalization Agreement is terminated in connection with an adverse recommendation change by the Board (ii) or in the event the Board accepts a Superior Proposal, as defined in the Externalization Agreement, from a third party.</w:t>
      </w:r>
    </w:p>
    <w:p>
      <w:pPr>
        <w:spacing w:after="0" w:line="24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The Externalization Agreement limits the Company’s ability to pursue alternatives to the Externalization.</w:t>
      </w:r>
    </w:p>
    <w:p>
      <w:pPr>
        <w:spacing w:after="0" w:line="108" w:lineRule="exact"/>
        <w:rPr>
          <w:sz w:val="20"/>
          <w:szCs w:val="20"/>
          <w:color w:val="auto"/>
        </w:rPr>
      </w:pPr>
    </w:p>
    <w:p>
      <w:pPr>
        <w:ind w:left="1260" w:right="1119" w:firstLine="360"/>
        <w:spacing w:after="0" w:line="257" w:lineRule="auto"/>
        <w:rPr>
          <w:sz w:val="20"/>
          <w:szCs w:val="20"/>
          <w:color w:val="auto"/>
        </w:rPr>
      </w:pPr>
      <w:r>
        <w:rPr>
          <w:rFonts w:ascii="Times New Roman" w:cs="Times New Roman" w:eastAsia="Times New Roman" w:hAnsi="Times New Roman"/>
          <w:sz w:val="18"/>
          <w:szCs w:val="18"/>
          <w:color w:val="auto"/>
        </w:rPr>
        <w:t>Under the terms of the Externalization Agreement, we are unable to solicit other acquisition proposals during the pendency thereof. In addition, under the terms of the Externalization Agreement, we are unable to engage in discussions with any party that makes an unsolicited acquisition proposal, unless such proposal</w:t>
      </w:r>
    </w:p>
    <w:p>
      <w:pPr>
        <w:spacing w:after="0" w:line="2" w:lineRule="exact"/>
        <w:rPr>
          <w:sz w:val="20"/>
          <w:szCs w:val="20"/>
          <w:color w:val="auto"/>
        </w:rPr>
      </w:pPr>
    </w:p>
    <w:p>
      <w:pPr>
        <w:ind w:left="1260" w:right="879" w:firstLine="8"/>
        <w:spacing w:after="0" w:line="253" w:lineRule="auto"/>
        <w:tabs>
          <w:tab w:leader="none" w:pos="14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acquisition of 70% or more of the Company’s equity or assets, or assets representing 70% or more of the Company’s revenues for the 12-month period ended as of the most recent quarter end, (ii) provides for the payment of substantially all-cash consideration, (iii) is more favorable to our stockholders, from a financial point of view, than the transactions contemplated by the Externalization and (iv) is reasonably likely to be completed on the terms proposed on a timely basis.</w:t>
      </w:r>
    </w:p>
    <w:p>
      <w:pPr>
        <w:spacing w:after="0" w:line="170" w:lineRule="exact"/>
        <w:rPr>
          <w:sz w:val="20"/>
          <w:szCs w:val="20"/>
          <w:color w:val="auto"/>
        </w:rPr>
      </w:pPr>
    </w:p>
    <w:p>
      <w:pPr>
        <w:ind w:left="1260" w:right="75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The Externalization is subject to closing conditions that, if not satisfied or appropriately waived, will result in the Externalization not being completed, which may result in material adverse consequences to the Company’s business and operations.</w:t>
      </w:r>
    </w:p>
    <w:p>
      <w:pPr>
        <w:spacing w:after="0" w:line="77"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The Externalization is subject to closing conditions that, if not satisfied, will prevent the Externalization from being completed.</w:t>
      </w:r>
    </w:p>
    <w:p>
      <w:pPr>
        <w:spacing w:after="0" w:line="144" w:lineRule="exact"/>
        <w:rPr>
          <w:sz w:val="20"/>
          <w:szCs w:val="20"/>
          <w:color w:val="auto"/>
        </w:rPr>
      </w:pPr>
    </w:p>
    <w:p>
      <w:pPr>
        <w:ind w:left="1260" w:right="18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Company will be subject to operational uncertainties and contractual restrictions while the Externalization is pending.</w:t>
      </w:r>
    </w:p>
    <w:p>
      <w:pPr>
        <w:spacing w:after="0" w:line="64"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Uncertainty about the effect of the Externalization may have an adverse effect on the Company while the Externalization is pending. These uncertainties may impair the Company’s ability to retain and motivate key personnel until the Externalization is consummated and could cause those that deal with the Company to seek to change their existing relationships with the Company. Retention of certain employees may be challenging during the pendency of the Externalization, as certain employees may experience uncertainty about their future following completion of the Externalization. In addition, the Externalization Agreement imposes limitations on the Company with respect to actions that it might otherwise pursue if the Externalization was not pending, which may result in the Company not pursuing certain business opportunities that may arise prior to the completion of the Externalization.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identified the portfolio companies we will invest in after the closing of the Externalization.</w:t>
      </w:r>
    </w:p>
    <w:p>
      <w:pPr>
        <w:spacing w:after="0" w:line="108"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The Adviser has not yet identified potential investments for our portfolio that we will acquire after the closing of the Externalization. The Adviser will select our investments and our stockholders will have no input with respect to investment decisions. As a result, we will be subject to all of the business risks and uncertainties associated with the origination of new investments, including the risk that we will not achieve our investment objective and that the value of your investment could decline substantially or become worthless.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After the closing of the Externalization, we will be dependent upon the Adviser for our future success.</w:t>
      </w:r>
    </w:p>
    <w:p>
      <w:pPr>
        <w:spacing w:after="0" w:line="108"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After the closing of the Externalization, we will not have any employees. We will depend on the diligence, skill and network of business contacts of the Adviser’s investment professionals to source appropriate investments for us. We will depend on members of the Adviser’s investment team to appropriately analyze our investments and the Adviser’s investment committee to approve and monitor our portfolio investments. The Adviser’s investment committee, together with the other members of its investment team, will evaluate, negotiate, structure, close and monitor our investments. Our future success will depend on the continued availability of the members of the Adviser’s investment committee and the other investment professionals available to the Adviser. We do not have employment agreements with these individuals or other key personnel of the Adviser, and we cannot provide any assurance that unforeseen business, medical, personal or other circumstances would not lead any such individual to terminate his or her relationship with the Adviser. The loss of a material number of senior investment professionals to which the Adviser has access, could have a material adverse effect on our ability to achieve our investment objective as well as on our financial condition and results of operations. In addition, we cannot assure you that the Adviser will remain our investment adviser or that we will continue to have access to the Adviser’s investment professionals or its information and deal flow.</w:t>
      </w:r>
    </w:p>
    <w:p>
      <w:pPr>
        <w:spacing w:after="0" w:line="26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12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proposed fee structure under the Advisory Agreement may induce the Adviser to pursue speculative investments and incur leverage, which may not be in the best interests of our stockholders.</w:t>
      </w:r>
    </w:p>
    <w:p>
      <w:pPr>
        <w:spacing w:after="0" w:line="37"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After the closing of the Externalization, the incentive fees payable by us to the Adviser under the Advisory Agreement may create an incentive for the Adviser to pursue investments on our behalf that are riskier or more speculative than would be the case in the absence of such compensation arrangement. The incentive fees payable to the Adviser are calculated based on a percentage of our return on invested capital. This may encourage the Adviser to use leverage to increase the return on our investments. Under certain circumstances, the use of leverage may increase the likelihood of default, which would impair the value of our common stock. In addition, the Adviser receives the incentive fees based, in part, upon net capital gains realized on our investments. Unlike that portion of incentive fees based on income, there is no hurdle rate applicable to the portion of the incentive fees based on net capital gains. As a result, the Adviser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69"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Moreover, because the base management fees payable to the Adviser under the Advisory Agreement will be payable based on our gross assets, excluding cash and cash equivalents but including those assets purchased with borrowed amounts, the Adviser has a financial incentive to incur leverage which may not be consistent with our stockholders’ interests.</w:t>
      </w:r>
    </w:p>
    <w:p>
      <w:pPr>
        <w:spacing w:after="0" w:line="163" w:lineRule="exact"/>
        <w:rPr>
          <w:sz w:val="20"/>
          <w:szCs w:val="20"/>
          <w:color w:val="auto"/>
        </w:rPr>
      </w:pPr>
    </w:p>
    <w:p>
      <w:pPr>
        <w:jc w:val="both"/>
        <w:ind w:left="1260" w:right="85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will be limited under the Advisory Agreement, and we will be required to indemnify the Adviser against certain liabilities, which may lead the Adviser to act in a riskier manner on our behalf than it would when acting for its own account.</w:t>
      </w:r>
    </w:p>
    <w:p>
      <w:pPr>
        <w:spacing w:after="0" w:line="50"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Under the Advisory Agreement, the Adviser will not assume any responsibility to us other than to render the services described in the Advisory Agreement, and it will not be responsible for any action of our Board in declining to follow the Adviser’s advice or recommendations. Pursuant to the Advisory Agreement, the Adviser and its officers, managers, partners, agents, employees, controlling persons, members and any other person or entity affiliated with the Adviser will not be liable to us for their acts under the Advisory Agreement, absent criminal conduct, willful misfeasance, bad faith or gross negligence in the performance of their duties or by reason of the reckless disregard of their duties and obligations. We have agreed to indemnify, defend and protect the Adviser and its officers, managers, partners, agents, employees, controlling persons, members and any other person or entity affiliated with the Adviser with respect to all damages, liabilities, costs and expenses arising out of or otherwise based upon the performance of any of the Adviser’s duties or obligations under the Advisory Agreement or otherwise as the Adviser for us, and not arising out of criminal conduct, willful misfeasance, bad faith or gross negligence in the performance of their duties or by reason of the reckless disregard of their duties and obligations under the Advisory Agreement. These protections may lead the Adviser to act in a riskier manner when acting on our behalf than it would when acting for its own account.</w:t>
      </w:r>
    </w:p>
    <w:p>
      <w:pPr>
        <w:spacing w:after="0" w:line="181" w:lineRule="exact"/>
        <w:rPr>
          <w:sz w:val="20"/>
          <w:szCs w:val="20"/>
          <w:color w:val="auto"/>
        </w:rPr>
      </w:pPr>
    </w:p>
    <w:p>
      <w:pPr>
        <w:ind w:left="1260" w:right="121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The Adviser will be able to resign upon 60 days’ written notice, and we may not be able to find a suitable replacement within that time, resulting in a disruption in our operations that could adversely affect our financial condition, business and results of operations.</w:t>
      </w:r>
    </w:p>
    <w:p>
      <w:pPr>
        <w:spacing w:after="0" w:line="36" w:lineRule="exact"/>
        <w:rPr>
          <w:sz w:val="20"/>
          <w:szCs w:val="20"/>
          <w:color w:val="auto"/>
        </w:rPr>
      </w:pPr>
    </w:p>
    <w:p>
      <w:pPr>
        <w:ind w:left="1260" w:right="1199" w:firstLine="360"/>
        <w:spacing w:after="0" w:line="261" w:lineRule="auto"/>
        <w:rPr>
          <w:sz w:val="20"/>
          <w:szCs w:val="20"/>
          <w:color w:val="auto"/>
        </w:rPr>
      </w:pPr>
      <w:r>
        <w:rPr>
          <w:rFonts w:ascii="Times New Roman" w:cs="Times New Roman" w:eastAsia="Times New Roman" w:hAnsi="Times New Roman"/>
          <w:sz w:val="18"/>
          <w:szCs w:val="18"/>
          <w:color w:val="auto"/>
        </w:rPr>
        <w:t>After the consummation of the Externalization, we will be an externally managed BDC pursuant to the Advisory Agreement. Pursuant to the Advisory Agreement, the Adviser will have the right to resign upon</w:t>
      </w:r>
    </w:p>
    <w:p>
      <w:pPr>
        <w:ind w:left="1260" w:right="759"/>
        <w:spacing w:after="0" w:line="251" w:lineRule="auto"/>
        <w:rPr>
          <w:sz w:val="20"/>
          <w:szCs w:val="20"/>
          <w:color w:val="auto"/>
        </w:rPr>
      </w:pPr>
      <w:r>
        <w:rPr>
          <w:rFonts w:ascii="Times New Roman" w:cs="Times New Roman" w:eastAsia="Times New Roman" w:hAnsi="Times New Roman"/>
          <w:sz w:val="18"/>
          <w:szCs w:val="18"/>
          <w:color w:val="auto"/>
        </w:rPr>
        <w:t>60 days’ written notice, whether a replacement has been found or not. If the Adviser resigns, it may be difficult to find a replacement with similar expertise and ability to provide the same or equivalent services on acceptable terms within 60 days, or at all. If a replacement is not found quickly, our business, results of operations and financial condition as well as our ability to pay distributions are likely to be adversely affected and the value of our shares may decline. In addition, the coordination of our internal management and investment activities is likely to suffer if we are unable to identify and reach an agreement with a single institution or group of executives having the expertise possessed by the Adviser. Even if a comparable service provider or individuals performing such services are retained, whether internal or external, their integration into our business and lack of familiarity with our investment objective may result in additional costs and time delays that may materially adversely affect our business, results of operations and financial condition.</w:t>
      </w:r>
    </w:p>
    <w:p>
      <w:pPr>
        <w:spacing w:after="0" w:line="26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7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replicate our historical performance, or the historical success of other investment vehicles advised by the Adviser.</w:t>
      </w:r>
    </w:p>
    <w:p>
      <w:pPr>
        <w:spacing w:after="0" w:line="64"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we will replicate our own historical performance, the historical success of the Adviser or the historical performance of other investment vehicles that the Adviser and its investment team advised in the past. Accordingly, our investment returns could be substantially lower than the returns achieved by the Company in the past or by other clients of the Adviser. We can offer no assurance that the Adviser will be able to continue to implement our investment objective with the same degree of success as it has had in the past.</w:t>
      </w:r>
    </w:p>
    <w:p>
      <w:pPr>
        <w:spacing w:after="0" w:line="251"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08" w:lineRule="exact"/>
        <w:rPr>
          <w:sz w:val="20"/>
          <w:szCs w:val="20"/>
          <w:color w:val="auto"/>
        </w:rPr>
      </w:pPr>
    </w:p>
    <w:p>
      <w:pPr>
        <w:ind w:left="1260" w:right="1019" w:firstLine="360"/>
        <w:spacing w:after="0" w:line="254" w:lineRule="auto"/>
        <w:rPr>
          <w:sz w:val="20"/>
          <w:szCs w:val="20"/>
          <w:color w:val="auto"/>
        </w:rPr>
      </w:pPr>
      <w:r>
        <w:rPr>
          <w:rFonts w:ascii="Times New Roman" w:cs="Times New Roman" w:eastAsia="Times New Roman" w:hAnsi="Times New Roman"/>
          <w:sz w:val="18"/>
          <w:szCs w:val="18"/>
          <w:color w:val="auto"/>
        </w:rPr>
        <w:t>We do not own any real estate or other real property. We lease our principal headquarters at 295 Madison Avenue,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Floor, New York, New York 10017.</w:t>
      </w:r>
    </w:p>
    <w:p>
      <w:pPr>
        <w:spacing w:after="0" w:line="164"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is not currently a party to any material legal proceedings.</w:t>
      </w:r>
    </w:p>
    <w:p>
      <w:pPr>
        <w:spacing w:after="0" w:line="289"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160" w:right="1019" w:hanging="899"/>
        <w:spacing w:after="0" w:line="255"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10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symbol “KCAP.” We completed our initial public offering on December 11, 2006 at an initial public offering (“IPO”) price of $15.00 per share. Prior to such date there was no public market for our common stock.</w:t>
      </w:r>
    </w:p>
    <w:p>
      <w:pPr>
        <w:spacing w:after="0" w:line="68"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range of high and low closing sales prices per share of our common stock as reported on The NASDAQ Global Select Market for each fiscal quarter during the years ended December 31, 2018 and 2017.The stock quotations are interdealer quotations and do not include markups, markdowns or commissions and may not necessarily represent actual transactions.</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During the Quarter</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At Quarter End</w:t>
            </w:r>
          </w:p>
        </w:tc>
        <w:tc>
          <w:tcPr>
            <w:tcW w:w="0" w:type="dxa"/>
            <w:vAlign w:val="bottom"/>
          </w:tcPr>
          <w:p>
            <w:pPr>
              <w:spacing w:after="0"/>
              <w:rPr>
                <w:sz w:val="1"/>
                <w:szCs w:val="1"/>
                <w:color w:val="auto"/>
              </w:rPr>
            </w:pPr>
          </w:p>
        </w:tc>
      </w:tr>
      <w:tr>
        <w:trPr>
          <w:trHeight w:val="29"/>
        </w:trPr>
        <w:tc>
          <w:tcPr>
            <w:tcW w:w="56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Close</w:t>
            </w:r>
          </w:p>
        </w:tc>
        <w:tc>
          <w:tcPr>
            <w:tcW w:w="460" w:type="dxa"/>
            <w:vAlign w:val="bottom"/>
            <w:vMerge w:val="restart"/>
          </w:tcPr>
          <w:p>
            <w:pPr>
              <w:ind w:left="20"/>
              <w:spacing w:after="0" w:line="232" w:lineRule="exact"/>
              <w:rPr>
                <w:sz w:val="20"/>
                <w:szCs w:val="20"/>
                <w:color w:val="auto"/>
              </w:rPr>
            </w:pPr>
            <w:r>
              <w:rPr>
                <w:rFonts w:ascii="Times New Roman" w:cs="Times New Roman" w:eastAsia="Times New Roman" w:hAnsi="Times New Roman"/>
                <w:sz w:val="26"/>
                <w:szCs w:val="26"/>
                <w:b w:val="1"/>
                <w:bCs w:val="1"/>
                <w:color w:val="auto"/>
                <w:w w:val="85"/>
                <w:vertAlign w:val="subscript"/>
              </w:rPr>
              <w:t>NAV</w:t>
            </w:r>
            <w:r>
              <w:rPr>
                <w:rFonts w:ascii="Times New Roman" w:cs="Times New Roman" w:eastAsia="Times New Roman" w:hAnsi="Times New Roman"/>
                <w:sz w:val="10"/>
                <w:szCs w:val="10"/>
                <w:b w:val="1"/>
                <w:bCs w:val="1"/>
                <w:color w:val="auto"/>
                <w:w w:val="85"/>
              </w:rPr>
              <w:t>(1)</w:t>
            </w:r>
          </w:p>
        </w:tc>
        <w:tc>
          <w:tcPr>
            <w:tcW w:w="0" w:type="dxa"/>
            <w:vAlign w:val="bottom"/>
          </w:tcPr>
          <w:p>
            <w:pPr>
              <w:spacing w:after="0"/>
              <w:rPr>
                <w:sz w:val="1"/>
                <w:szCs w:val="1"/>
                <w:color w:val="auto"/>
              </w:rPr>
            </w:pPr>
          </w:p>
        </w:tc>
      </w:tr>
      <w:tr>
        <w:trPr>
          <w:trHeight w:val="183"/>
        </w:trPr>
        <w:tc>
          <w:tcPr>
            <w:tcW w:w="568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6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$3.47</w:t>
            </w:r>
          </w:p>
        </w:tc>
        <w:tc>
          <w:tcPr>
            <w:tcW w:w="220" w:type="dxa"/>
            <w:vAlign w:val="bottom"/>
          </w:tcPr>
          <w:p>
            <w:pPr>
              <w:spacing w:after="0"/>
              <w:rPr>
                <w:sz w:val="17"/>
                <w:szCs w:val="17"/>
                <w:color w:val="auto"/>
              </w:rPr>
            </w:pPr>
          </w:p>
        </w:tc>
        <w:tc>
          <w:tcPr>
            <w:tcW w:w="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$2.93</w:t>
            </w:r>
          </w:p>
        </w:tc>
        <w:tc>
          <w:tcPr>
            <w:tcW w:w="220" w:type="dxa"/>
            <w:vAlign w:val="bottom"/>
          </w:tcPr>
          <w:p>
            <w:pPr>
              <w:spacing w:after="0"/>
              <w:rPr>
                <w:sz w:val="17"/>
                <w:szCs w:val="17"/>
                <w:color w:val="auto"/>
              </w:rPr>
            </w:pPr>
          </w:p>
        </w:tc>
        <w:tc>
          <w:tcPr>
            <w:tcW w:w="64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rPr>
              <w:t>$3.46</w:t>
            </w:r>
          </w:p>
        </w:tc>
        <w:tc>
          <w:tcPr>
            <w:tcW w:w="4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w w:val="98"/>
              </w:rPr>
              <w:t>$4.23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$3.31</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$4.66</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w:t>
            </w:r>
          </w:p>
        </w:tc>
        <w:tc>
          <w:tcPr>
            <w:tcW w:w="220" w:type="dxa"/>
            <w:vAlign w:val="bottom"/>
          </w:tcPr>
          <w:p>
            <w:pPr>
              <w:spacing w:after="0"/>
              <w:rPr>
                <w:sz w:val="18"/>
                <w:szCs w:val="18"/>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$3.25</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$4.72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$2.96</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$4.85</w:t>
            </w:r>
          </w:p>
        </w:tc>
        <w:tc>
          <w:tcPr>
            <w:tcW w:w="0" w:type="dxa"/>
            <w:vAlign w:val="bottom"/>
          </w:tcPr>
          <w:p>
            <w:pPr>
              <w:spacing w:after="0"/>
              <w:rPr>
                <w:sz w:val="1"/>
                <w:szCs w:val="1"/>
                <w:color w:val="auto"/>
              </w:rPr>
            </w:pPr>
          </w:p>
        </w:tc>
      </w:tr>
      <w:tr>
        <w:trPr>
          <w:trHeight w:val="32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$3.34</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$3.41</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$4.87</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220" w:type="dxa"/>
            <w:vAlign w:val="bottom"/>
          </w:tcPr>
          <w:p>
            <w:pPr>
              <w:spacing w:after="0"/>
              <w:rPr>
                <w:sz w:val="18"/>
                <w:szCs w:val="18"/>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$3.65</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$4.95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$3.53</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$5.10</w:t>
            </w:r>
          </w:p>
        </w:tc>
        <w:tc>
          <w:tcPr>
            <w:tcW w:w="0" w:type="dxa"/>
            <w:vAlign w:val="bottom"/>
          </w:tcPr>
          <w:p>
            <w:pPr>
              <w:spacing w:after="0"/>
              <w:rPr>
                <w:sz w:val="1"/>
                <w:szCs w:val="1"/>
                <w:color w:val="auto"/>
              </w:rPr>
            </w:pPr>
          </w:p>
        </w:tc>
      </w:tr>
      <w:tr>
        <w:trPr>
          <w:trHeight w:val="243"/>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$3.93</w:t>
            </w:r>
          </w:p>
        </w:tc>
        <w:tc>
          <w:tcPr>
            <w:tcW w:w="220" w:type="dxa"/>
            <w:vAlign w:val="bottom"/>
          </w:tcPr>
          <w:p>
            <w:pPr>
              <w:spacing w:after="0"/>
              <w:rPr>
                <w:sz w:val="21"/>
                <w:szCs w:val="21"/>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$4.07</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-1448435</wp:posOffset>
            </wp:positionV>
            <wp:extent cx="49314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3141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-1577340</wp:posOffset>
            </wp:positionV>
            <wp:extent cx="694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20" w:right="779" w:hanging="352"/>
        <w:spacing w:after="0" w:line="282"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(“NAV”) per share is determined as of the last day in the relevant quarter and therefore may not reflect the NAV per share on the date of the high and low closing sales prices.</w:t>
      </w:r>
    </w:p>
    <w:p>
      <w:pPr>
        <w:spacing w:after="0" w:line="54" w:lineRule="exact"/>
        <w:rPr>
          <w:sz w:val="20"/>
          <w:szCs w:val="20"/>
          <w:color w:val="auto"/>
        </w:rPr>
      </w:pPr>
    </w:p>
    <w:p>
      <w:pPr>
        <w:ind w:left="1260" w:right="1339" w:firstLine="360"/>
        <w:spacing w:after="0" w:line="261" w:lineRule="auto"/>
        <w:rPr>
          <w:sz w:val="20"/>
          <w:szCs w:val="20"/>
          <w:color w:val="auto"/>
        </w:rPr>
      </w:pPr>
      <w:r>
        <w:rPr>
          <w:rFonts w:ascii="Times New Roman" w:cs="Times New Roman" w:eastAsia="Times New Roman" w:hAnsi="Times New Roman"/>
          <w:sz w:val="18"/>
          <w:szCs w:val="18"/>
          <w:color w:val="auto"/>
        </w:rPr>
        <w:t>We began paying quarterly distributions in our first full quarter of operations following our IPO. See “Management’s Discussion and Analysis of Financial Condition and Results of Operations” and Note 7</w:t>
      </w:r>
    </w:p>
    <w:p>
      <w:pPr>
        <w:ind w:left="1260" w:right="1179"/>
        <w:spacing w:after="0" w:line="261" w:lineRule="auto"/>
        <w:rPr>
          <w:sz w:val="20"/>
          <w:szCs w:val="20"/>
          <w:color w:val="auto"/>
        </w:rPr>
      </w:pPr>
      <w:r>
        <w:rPr>
          <w:rFonts w:ascii="Times New Roman" w:cs="Times New Roman" w:eastAsia="Times New Roman" w:hAnsi="Times New Roman"/>
          <w:sz w:val="18"/>
          <w:szCs w:val="18"/>
          <w:color w:val="auto"/>
        </w:rPr>
        <w:t>— ”Distributable Tax Income” from our Notes to the Financial Statements included herein. The table below provides information relating to distributions we paid in respect of the periods indicated.</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Distributions</w:t>
      </w:r>
    </w:p>
    <w:p>
      <w:pPr>
        <w:spacing w:after="0" w:line="10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lists the distributions per share declared by us for each fiscal quarter during the years ended December 31, 2018 and 2017.</w:t>
      </w:r>
    </w:p>
    <w:p>
      <w:pPr>
        <w:spacing w:after="0" w:line="74"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Pay Date</w:t>
            </w:r>
          </w:p>
        </w:tc>
      </w:tr>
      <w:tr>
        <w:trPr>
          <w:trHeight w:val="196"/>
        </w:trPr>
        <w:tc>
          <w:tcPr>
            <w:tcW w:w="1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1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38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Fourth quarter</w:t>
            </w:r>
          </w:p>
        </w:tc>
        <w:tc>
          <w:tcPr>
            <w:tcW w:w="8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12/12/2018</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6"/>
                <w:szCs w:val="16"/>
                <w:color w:val="auto"/>
              </w:rPr>
              <w:t>1/7/2019</w:t>
            </w:r>
            <w:r>
              <w:rPr>
                <w:rFonts w:ascii="Times New Roman" w:cs="Times New Roman" w:eastAsia="Times New Roman" w:hAnsi="Times New Roman"/>
                <w:sz w:val="23"/>
                <w:szCs w:val="23"/>
                <w:color w:val="auto"/>
                <w:vertAlign w:val="superscript"/>
              </w:rPr>
              <w:t>(1)</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1/31/2019</w:t>
            </w:r>
          </w:p>
        </w:tc>
      </w:tr>
      <w:tr>
        <w:trPr>
          <w:trHeight w:val="203"/>
        </w:trPr>
        <w:tc>
          <w:tcPr>
            <w:tcW w:w="38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Third quarter</w:t>
            </w:r>
          </w:p>
        </w:tc>
        <w:tc>
          <w:tcPr>
            <w:tcW w:w="8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9/18/2018</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10/9/2018</w:t>
            </w: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10/29/2018</w:t>
            </w:r>
          </w:p>
        </w:tc>
      </w:tr>
      <w:tr>
        <w:trPr>
          <w:trHeight w:val="203"/>
        </w:trPr>
        <w:tc>
          <w:tcPr>
            <w:tcW w:w="38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Second quarter</w:t>
            </w:r>
          </w:p>
        </w:tc>
        <w:tc>
          <w:tcPr>
            <w:tcW w:w="8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6/19/2018</w:t>
            </w:r>
          </w:p>
        </w:tc>
        <w:tc>
          <w:tcPr>
            <w:tcW w:w="2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7/6/2018</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7/26/2018</w:t>
            </w:r>
          </w:p>
        </w:tc>
      </w:tr>
      <w:tr>
        <w:trPr>
          <w:trHeight w:val="216"/>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3/20/2018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4/6/2018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4/27/2018</w:t>
            </w:r>
          </w:p>
        </w:tc>
      </w:tr>
      <w:tr>
        <w:trPr>
          <w:trHeight w:val="250"/>
        </w:trPr>
        <w:tc>
          <w:tcPr>
            <w:tcW w:w="3820" w:type="dxa"/>
            <w:vAlign w:val="bottom"/>
            <w:tcBorders>
              <w:top w:val="single" w:sz="8" w:color="CCEEFF"/>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declared for 2018</w:t>
            </w:r>
          </w:p>
        </w:tc>
        <w:tc>
          <w:tcPr>
            <w:tcW w:w="2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0.40</w:t>
            </w:r>
          </w:p>
        </w:tc>
        <w:tc>
          <w:tcPr>
            <w:tcW w:w="2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4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4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40" w:type="dxa"/>
            <w:vAlign w:val="bottom"/>
            <w:tcBorders>
              <w:top w:val="single" w:sz="8" w:color="CCEEFF"/>
              <w:bottom w:val="single" w:sz="8" w:color="CCEEFF"/>
            </w:tcBorders>
          </w:tcPr>
          <w:p>
            <w:pPr>
              <w:spacing w:after="0"/>
              <w:rPr>
                <w:sz w:val="21"/>
                <w:szCs w:val="21"/>
                <w:color w:val="auto"/>
              </w:rPr>
            </w:pPr>
          </w:p>
        </w:tc>
      </w:tr>
      <w:tr>
        <w:trPr>
          <w:trHeight w:val="27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03"/>
        </w:trPr>
        <w:tc>
          <w:tcPr>
            <w:tcW w:w="38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Fourth quarter</w:t>
            </w:r>
          </w:p>
        </w:tc>
        <w:tc>
          <w:tcPr>
            <w:tcW w:w="8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12/13/2017</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6"/>
                <w:szCs w:val="16"/>
                <w:color w:val="auto"/>
              </w:rPr>
              <w:t>1/5/2018</w:t>
            </w:r>
            <w:r>
              <w:rPr>
                <w:rFonts w:ascii="Times New Roman" w:cs="Times New Roman" w:eastAsia="Times New Roman" w:hAnsi="Times New Roman"/>
                <w:sz w:val="23"/>
                <w:szCs w:val="23"/>
                <w:color w:val="auto"/>
                <w:vertAlign w:val="superscript"/>
              </w:rPr>
              <w:t>(1)</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1/25/2018</w:t>
            </w:r>
          </w:p>
        </w:tc>
      </w:tr>
      <w:tr>
        <w:trPr>
          <w:trHeight w:val="203"/>
        </w:trPr>
        <w:tc>
          <w:tcPr>
            <w:tcW w:w="38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Third quarter</w:t>
            </w:r>
          </w:p>
        </w:tc>
        <w:tc>
          <w:tcPr>
            <w:tcW w:w="8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9/22/2017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w w:val="99"/>
              </w:rPr>
              <w:t>10/10/2017</w:t>
            </w: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10/26/2017</w:t>
            </w:r>
          </w:p>
        </w:tc>
      </w:tr>
      <w:tr>
        <w:trPr>
          <w:trHeight w:val="203"/>
        </w:trPr>
        <w:tc>
          <w:tcPr>
            <w:tcW w:w="38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Second quarter</w:t>
            </w:r>
          </w:p>
        </w:tc>
        <w:tc>
          <w:tcPr>
            <w:tcW w:w="8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6/20/2017</w:t>
            </w:r>
          </w:p>
        </w:tc>
        <w:tc>
          <w:tcPr>
            <w:tcW w:w="2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7/7/2017</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7/27/2017</w:t>
            </w:r>
          </w:p>
        </w:tc>
      </w:tr>
      <w:tr>
        <w:trPr>
          <w:trHeight w:val="216"/>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3/21/2017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4/7/2017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4/28/2017</w:t>
            </w:r>
          </w:p>
        </w:tc>
      </w:tr>
      <w:tr>
        <w:trPr>
          <w:trHeight w:val="223"/>
        </w:trPr>
        <w:tc>
          <w:tcPr>
            <w:tcW w:w="38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declared for 2017</w:t>
            </w: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0.46</w:t>
            </w: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-1903095</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-1903095</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-1903095</wp:posOffset>
            </wp:positionV>
            <wp:extent cx="32073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7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Since the record date of this distribution is subsequent to year-end, it is a subsequent year tax event.</w:t>
      </w:r>
    </w:p>
    <w:p>
      <w:pPr>
        <w:sectPr>
          <w:pgSz w:w="11900" w:h="16838" w:orient="portrait"/>
          <w:cols w:equalWidth="0" w:num="1">
            <w:col w:w="10219"/>
          </w:cols>
          <w:pgMar w:left="240" w:top="114" w:right="1440" w:bottom="1440" w:gutter="0" w:footer="0" w:header="0"/>
        </w:sectPr>
      </w:pP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determination of the tax attributes of our distributions is made annually, based upon our taxable income for the full year and distributions paid for the full year. Ordinary dividend distributions from a RIC do not qualify for the tax rate applicable to “qualified dividend income” from domestic corporations and qualified foreign corporations, except to the extent that the RIC received the income in the form of qualifying dividends from domestic corporations and qualified foreign corporations. For further information about the tax attributes, see Note 7- “Distributable Taxable Income” of our notes to the financial statements, which can be found elsewhere in this Annual Report.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08"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return on our common stock with that of the Russell 2000 Index and the Nasdaq Financial 100 Index (IXF), for the period December 11, 2006 (the date of our initial public offering) to December 31, 2018. The graph assumes that, on December 11, 2006, a person invested $100 in each of our common stock, the Russell 2000 Index, and the IFX. The graph measures total shareholder return, which takes into account both changes in stock price and dividends. It assumes that dividends are reinvested.</w:t>
      </w:r>
    </w:p>
    <w:p>
      <w:pPr>
        <w:spacing w:after="0" w:line="14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Shareholder Return Performance Graph</w:t>
      </w:r>
    </w:p>
    <w:p>
      <w:pPr>
        <w:jc w:val="center"/>
        <w:ind w:right="-480"/>
        <w:spacing w:after="0" w:line="184" w:lineRule="auto"/>
        <w:rPr>
          <w:sz w:val="20"/>
          <w:szCs w:val="20"/>
          <w:color w:val="auto"/>
        </w:rPr>
      </w:pPr>
      <w:r>
        <w:rPr>
          <w:rFonts w:ascii="Times New Roman" w:cs="Times New Roman" w:eastAsia="Times New Roman" w:hAnsi="Times New Roman"/>
          <w:sz w:val="17"/>
          <w:szCs w:val="17"/>
          <w:b w:val="1"/>
          <w:bCs w:val="1"/>
          <w:color w:val="auto"/>
        </w:rPr>
        <w:t>Cumulative Total Return Since Initial Public Offering</w:t>
      </w:r>
      <w:r>
        <w:rPr>
          <w:rFonts w:ascii="Times New Roman" w:cs="Times New Roman" w:eastAsia="Times New Roman" w:hAnsi="Times New Roman"/>
          <w:sz w:val="26"/>
          <w:szCs w:val="26"/>
          <w:b w:val="1"/>
          <w:bCs w:val="1"/>
          <w:color w:val="auto"/>
          <w:vertAlign w:val="superscript"/>
        </w:rPr>
        <w:t>(1)</w:t>
      </w:r>
    </w:p>
    <w:p>
      <w:pPr>
        <w:spacing w:after="0" w:line="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(Through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116205</wp:posOffset>
            </wp:positionV>
            <wp:extent cx="5179695" cy="2160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7969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20" w:right="1199" w:hanging="352"/>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includes reinvestment of distributions through December 31, 2018. The IXF is an index of diversified financial sector stocks and, as such, the Company believes that it is representative of our industry. The Russell 2000 is a broad based equity market index that tracks companies with a market capitalization that the Company believes are comparable to it.</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8" w:lineRule="exact"/>
        <w:rPr>
          <w:sz w:val="20"/>
          <w:szCs w:val="20"/>
          <w:color w:val="auto"/>
        </w:rPr>
      </w:pPr>
    </w:p>
    <w:p>
      <w:pPr>
        <w:ind w:left="1260" w:right="13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2018, there were approximately 40 holders of record of our common stock. This number does not include shareholders for whom shares are held in “nominee” or “street name.”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08"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2018, we issued 64,671 shares of common stock pursuant to a dividend reinvestment plan. This issuance was not subject to the registration requirements of the Securities Act. See Note 9 “Stockholders’ Equity,” of our Notes to the Consolidated Financial Statements included herein.</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08"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We intend to continue to make quarterly distributions to our stockholders. Our quarterly distributions, if any, will be determined by our Board of Directors. To maintain our RIC status, we must timely distribute an amount equal to at least 90% of our tax basis ordinary income and realized net short-term capital gains in excess of realized net long-term capital losses, if any, reduced by deductible expenses, out of the assets legally available for distribution, for each year. To avoid certain excise taxes imposed on RICs, we are generally required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and on which we paid no corporate tax. If this requirement is not met, we will be required to pay a nondeductible excise tax equal to 4% of the amount by which the required distribution amount exceeds the actual distribution for the year. The taxable income on which an excise tax is paid is generally carried forward and distributed to stockholders in the next tax year. Depending on the level of taxable income earned in a tax year, we may choose to carry forward taxable income in excess of current year distributions into the next tax year and pay a 4% excise tax on such income, to the extent required.</w:t>
      </w:r>
    </w:p>
    <w:p>
      <w:pPr>
        <w:spacing w:after="0" w:line="91"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achieve results that will permit the payment of any cash distributions and, because we issued public senior securities, we are prohibited from making distributions if doing so causes us to fail to maintain the asset coverage ratio stipulated by the 1940 Act. Similarly, we may be prohibited from making distributions by the terms of any of our other borrowings.</w:t>
      </w:r>
    </w:p>
    <w:p>
      <w:pPr>
        <w:spacing w:after="0" w:line="7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maintain an “opt out” dividend reinvestment plan for our common stockholders. As a result, if we declare distributions, then stockholders’ cash distributions will be automatically reinvested in additional shares of our common stock, unless they specifically “opt out” of the dividend reinvestment plan so as to receive cash.</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0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the 2017 Equity Incentive Plan (the “Equity Incentive Plan”) and the 2017 Non-Employee Director Plan (the “Non-Employee Director Plan”) as of December 31, 2018:</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Future</w:t>
            </w: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14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Issuance Under</w:t>
            </w: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 Reflected in</w:t>
            </w:r>
          </w:p>
        </w:tc>
      </w:tr>
      <w:tr>
        <w:trPr>
          <w:trHeight w:val="190"/>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r>
      <w:tr>
        <w:trPr>
          <w:trHeight w:val="24"/>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05"/>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80" w:type="dxa"/>
            <w:vAlign w:val="bottom"/>
          </w:tcPr>
          <w:p>
            <w:pPr>
              <w:spacing w:after="0"/>
              <w:rPr>
                <w:sz w:val="17"/>
                <w:szCs w:val="17"/>
                <w:color w:val="auto"/>
              </w:rPr>
            </w:pPr>
          </w:p>
        </w:tc>
        <w:tc>
          <w:tcPr>
            <w:tcW w:w="10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w:t>
            </w:r>
          </w:p>
        </w:tc>
        <w:tc>
          <w:tcPr>
            <w:tcW w:w="38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195"/>
        </w:trPr>
        <w:tc>
          <w:tcPr>
            <w:tcW w:w="40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96"/>
        </w:trPr>
        <w:tc>
          <w:tcPr>
            <w:tcW w:w="4000" w:type="dxa"/>
            <w:vAlign w:val="bottom"/>
            <w:gridSpan w:val="2"/>
            <w:shd w:val="clear" w:color="auto" w:fill="CCEEFF"/>
          </w:tcPr>
          <w:p>
            <w:pPr>
              <w:ind w:left="180"/>
              <w:spacing w:after="0" w:line="297"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7"/>
                <w:szCs w:val="27"/>
                <w:color w:val="auto"/>
                <w:vertAlign w:val="superscript"/>
              </w:rPr>
              <w:t>(1)</w:t>
            </w:r>
          </w:p>
        </w:tc>
        <w:tc>
          <w:tcPr>
            <w:tcW w:w="1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$ 4.88</w:t>
            </w:r>
          </w:p>
        </w:tc>
        <w:tc>
          <w:tcPr>
            <w:tcW w:w="22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00"/>
              <w:spacing w:after="0" w:line="297" w:lineRule="exact"/>
              <w:rPr>
                <w:sz w:val="20"/>
                <w:szCs w:val="20"/>
                <w:color w:val="auto"/>
              </w:rPr>
            </w:pPr>
            <w:r>
              <w:rPr>
                <w:rFonts w:ascii="Times New Roman" w:cs="Times New Roman" w:eastAsia="Times New Roman" w:hAnsi="Times New Roman"/>
                <w:sz w:val="18"/>
                <w:szCs w:val="18"/>
                <w:color w:val="auto"/>
              </w:rPr>
              <w:t>984,702</w:t>
            </w:r>
            <w:r>
              <w:rPr>
                <w:rFonts w:ascii="Times New Roman" w:cs="Times New Roman" w:eastAsia="Times New Roman" w:hAnsi="Times New Roman"/>
                <w:sz w:val="27"/>
                <w:szCs w:val="27"/>
                <w:color w:val="auto"/>
                <w:vertAlign w:val="superscript"/>
              </w:rPr>
              <w:t>(2)(3)</w:t>
            </w:r>
          </w:p>
        </w:tc>
      </w:tr>
      <w:tr>
        <w:trPr>
          <w:trHeight w:val="225"/>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4"/>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32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r>
      <w:tr>
        <w:trPr>
          <w:trHeight w:val="25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984,702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-170815</wp:posOffset>
            </wp:positionV>
            <wp:extent cx="2571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-170815</wp:posOffset>
            </wp:positionV>
            <wp:extent cx="4570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073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3" w:lineRule="exact"/>
        <w:rPr>
          <w:sz w:val="20"/>
          <w:szCs w:val="20"/>
          <w:color w:val="auto"/>
        </w:rPr>
      </w:pPr>
    </w:p>
    <w:p>
      <w:pPr>
        <w:ind w:left="1620" w:hanging="352"/>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Equity Incentive Plan and Non-Employee Director Plan.</w:t>
      </w:r>
    </w:p>
    <w:p>
      <w:pPr>
        <w:spacing w:after="0" w:line="117" w:lineRule="exact"/>
        <w:rPr>
          <w:rFonts w:ascii="Times New Roman" w:cs="Times New Roman" w:eastAsia="Times New Roman" w:hAnsi="Times New Roman"/>
          <w:sz w:val="18"/>
          <w:szCs w:val="18"/>
          <w:color w:val="auto"/>
        </w:rPr>
      </w:pPr>
    </w:p>
    <w:p>
      <w:pPr>
        <w:ind w:left="1620" w:right="859" w:hanging="352"/>
        <w:spacing w:after="0" w:line="255"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following additional limitations: The aggregate number of shares of restricted stock that may be issued under the Equity Incentive Plan, the Non-Employee Director Plan, and any other Company executive compensation plan, collectively, may not exceed 10% of the outstanding shares of the Company on May 4, 2017, the effective date of the Equity Incentive Plan and the Non-Employee Director Plan, plus 10% of the number of shares of the Company’s common stock issued or delivered by the Company (other than pursuant to compensation plans) during the term of the Equity Incentive Plan and the Non-Employee Director Plan, as applicable. No one person may be granted more than 25% of the shares of restricted stock reserved for issuance under the Equity Incentive Plan or the</w:t>
      </w:r>
    </w:p>
    <w:p>
      <w:pPr>
        <w:spacing w:after="0" w:line="2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20" w:right="799"/>
        <w:spacing w:after="0" w:line="269" w:lineRule="auto"/>
        <w:rPr>
          <w:sz w:val="20"/>
          <w:szCs w:val="20"/>
          <w:color w:val="auto"/>
        </w:rPr>
      </w:pPr>
      <w:r>
        <w:rPr>
          <w:rFonts w:ascii="Times New Roman" w:cs="Times New Roman" w:eastAsia="Times New Roman" w:hAnsi="Times New Roman"/>
          <w:sz w:val="17"/>
          <w:szCs w:val="17"/>
          <w:color w:val="auto"/>
        </w:rPr>
        <w:t>Non-Employee Director Plan. For purposes of calculating compliance with this limit, the Company will count as restricted stock all shares of the Company’s common stock that are issued pursuant to the Non-Employee Director Plan less any shares that are forfeited back to the Company and cancelled as a result of forfeiture restrictions not lapsing. In addition, the amount of voting securities that would result from the exercise of all of the Company’s outstanding warrants, options and rights, together with any restricted stock issued by the Company pursuant to the Equity and Incentive Plan, the Non-Employee Director Plan and any other KCAP Financial compensation plan, will not exceed 25%, at the time of issuance, of the outstanding voting securities of the Company, except that if the amount of voting securities that would result from the exercise of all the Company’s outstanding warrants, options and rights issued to the Company’s directors, officers and employees, together with any restricted stock issued by the Company, would exceed 15% of the outstanding voting securities of the Company, the total amount of voting securities that would result from the exercise of all outstanding warrants, options and rights, together with any restricted stock issued by the Company, at the time of issuance may not exceed 20% of the outstanding voting securities of the Company.</w:t>
      </w:r>
    </w:p>
    <w:p>
      <w:pPr>
        <w:spacing w:after="0" w:line="150" w:lineRule="exact"/>
        <w:rPr>
          <w:sz w:val="20"/>
          <w:szCs w:val="20"/>
          <w:color w:val="auto"/>
        </w:rPr>
      </w:pPr>
    </w:p>
    <w:p>
      <w:pPr>
        <w:jc w:val="both"/>
        <w:ind w:left="1620" w:right="1219" w:hanging="352"/>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issuable under the Company’s Equity Incentive Plan may be issued in the form of options, restricted stock or other stock-based awards. The shares issuable under the Company’s Non-Employee Director Plan may currently be issued in the form of restricted stock.</w:t>
      </w:r>
    </w:p>
    <w:p>
      <w:pPr>
        <w:spacing w:after="0" w:line="213"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108" w:lineRule="exact"/>
        <w:rPr>
          <w:sz w:val="20"/>
          <w:szCs w:val="20"/>
          <w:color w:val="auto"/>
        </w:rPr>
      </w:pPr>
    </w:p>
    <w:p>
      <w:pPr>
        <w:ind w:left="1260" w:right="8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following selected consolidated financial data should be read in conjunction with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Part II, Item 8,</w:t>
      </w:r>
      <w:r>
        <w:rPr>
          <w:rFonts w:ascii="Times New Roman" w:cs="Times New Roman" w:eastAsia="Times New Roman" w:hAnsi="Times New Roman"/>
          <w:sz w:val="18"/>
          <w:szCs w:val="18"/>
          <w:i w:val="1"/>
          <w:iCs w:val="1"/>
          <w:color w:val="auto"/>
        </w:rPr>
        <w:t xml:space="preserve"> Financial Statements and Supplementary Data</w:t>
      </w:r>
      <w:r>
        <w:rPr>
          <w:rFonts w:ascii="Times New Roman" w:cs="Times New Roman" w:eastAsia="Times New Roman" w:hAnsi="Times New Roman"/>
          <w:sz w:val="18"/>
          <w:szCs w:val="18"/>
          <w:color w:val="auto"/>
        </w:rPr>
        <w:t>, of this Annual Report on Form 10-K. The following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and other data for the years ended December 31, 2018, 2017, 2016, 2015 and 2014 is derived from the audited consolidated financial statements for such years, included in Part II, Item 8</w:t>
      </w:r>
      <w:r>
        <w:rPr>
          <w:rFonts w:ascii="Times New Roman" w:cs="Times New Roman" w:eastAsia="Times New Roman" w:hAnsi="Times New Roman"/>
          <w:sz w:val="18"/>
          <w:szCs w:val="18"/>
          <w:i w:val="1"/>
          <w:iCs w:val="1"/>
          <w:color w:val="auto"/>
        </w:rPr>
        <w:t>,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r>
        <w:rPr>
          <w:rFonts w:ascii="Times New Roman" w:cs="Times New Roman" w:eastAsia="Times New Roman" w:hAnsi="Times New Roman"/>
          <w:sz w:val="18"/>
          <w:szCs w:val="18"/>
          <w:color w:val="auto"/>
        </w:rPr>
        <w:t>, of this Annual Report on Form 10-K.</w:t>
      </w:r>
    </w:p>
    <w:p>
      <w:pPr>
        <w:spacing w:after="0" w:line="1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8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9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Income Statement Data:</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and related portfolio income:</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Dividends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22,494,890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26,363,383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34,131,571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39,811,558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34,802,690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Fees and other income</w:t>
            </w:r>
          </w:p>
        </w:tc>
        <w:tc>
          <w:tcPr>
            <w:tcW w:w="8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245,393</w:t>
            </w: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491,279</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668,527</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366,859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934,871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6"/>
                <w:szCs w:val="16"/>
                <w:color w:val="auto"/>
              </w:rPr>
              <w:t>Dividends from Asset Manager</w:t>
            </w:r>
          </w:p>
        </w:tc>
        <w:tc>
          <w:tcPr>
            <w:tcW w:w="8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1,246,510</w:t>
            </w:r>
          </w:p>
        </w:tc>
        <w:tc>
          <w:tcPr>
            <w:tcW w:w="10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460,000</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5,348,554</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5,467,914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Affiliates</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Investment income – Joint Venture</w:t>
            </w:r>
          </w:p>
        </w:tc>
        <w:tc>
          <w:tcPr>
            <w:tcW w:w="80" w:type="dxa"/>
            <w:vAlign w:val="bottom"/>
          </w:tcPr>
          <w:p>
            <w:pPr>
              <w:spacing w:after="0"/>
              <w:rPr>
                <w:sz w:val="18"/>
                <w:szCs w:val="18"/>
                <w:color w:val="auto"/>
              </w:rPr>
            </w:pP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3,100,000</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949,037</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00" w:type="dxa"/>
            <w:vAlign w:val="bottom"/>
            <w:gridSpan w:val="3"/>
            <w:vMerge w:val="restart"/>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Total interest and related portfolio</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27,086,793</w:t>
            </w:r>
          </w:p>
        </w:tc>
        <w:tc>
          <w:tcPr>
            <w:tcW w:w="10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28,263,699</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36,200,098</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45,526,971</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41,205,475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income</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Expenses: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6"/>
                <w:szCs w:val="16"/>
                <w:color w:val="auto"/>
              </w:rPr>
              <w:t>Interest and amortization of debt</w:t>
            </w:r>
          </w:p>
        </w:tc>
        <w:tc>
          <w:tcPr>
            <w:tcW w:w="8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7,403,436</w:t>
            </w:r>
          </w:p>
        </w:tc>
        <w:tc>
          <w:tcPr>
            <w:tcW w:w="10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7,661,407</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9,110,603</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11,727,880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11,538,179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issuance costs</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4,012,743</w:t>
            </w: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4,571,309</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4,103,558</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3,843,799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4,951,745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5,666,137</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5,011,852</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4,495,942</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5,772,502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4,594,983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bottom w:val="single" w:sz="8" w:color="CCEEFF"/>
            </w:tcBorders>
          </w:tcPr>
          <w:p>
            <w:pPr>
              <w:ind w:left="360"/>
              <w:spacing w:after="0" w:line="183" w:lineRule="exact"/>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17,082,316</w:t>
            </w:r>
          </w:p>
        </w:tc>
        <w:tc>
          <w:tcPr>
            <w:tcW w:w="1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17,244,568</w:t>
            </w:r>
          </w:p>
        </w:tc>
        <w:tc>
          <w:tcPr>
            <w:tcW w:w="1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17,710,103</w:t>
            </w:r>
          </w:p>
        </w:tc>
        <w:tc>
          <w:tcPr>
            <w:tcW w:w="1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21,344,181</w:t>
            </w:r>
          </w:p>
        </w:tc>
        <w:tc>
          <w:tcPr>
            <w:tcW w:w="1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21,084,907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Investment Income</w:t>
            </w:r>
          </w:p>
        </w:tc>
        <w:tc>
          <w:tcPr>
            <w:tcW w:w="8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10,004,477</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11,019,131</w:t>
            </w:r>
          </w:p>
        </w:tc>
        <w:tc>
          <w:tcPr>
            <w:tcW w:w="10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18,489,995</w:t>
            </w:r>
          </w:p>
        </w:tc>
        <w:tc>
          <w:tcPr>
            <w:tcW w:w="10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24,182,790</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20,120,568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00" w:type="dxa"/>
            <w:vAlign w:val="bottom"/>
            <w:gridSpan w:val="3"/>
          </w:tcPr>
          <w:p>
            <w:pPr>
              <w:spacing w:after="0" w:line="176" w:lineRule="exact"/>
              <w:rPr>
                <w:sz w:val="20"/>
                <w:szCs w:val="20"/>
                <w:color w:val="auto"/>
              </w:rPr>
            </w:pPr>
            <w:r>
              <w:rPr>
                <w:rFonts w:ascii="Times New Roman" w:cs="Times New Roman" w:eastAsia="Times New Roman" w:hAnsi="Times New Roman"/>
                <w:sz w:val="16"/>
                <w:szCs w:val="16"/>
                <w:color w:val="auto"/>
              </w:rPr>
              <w:t>Realized and unrealized (losses) gains on</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realized (losses) gains</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(16,672,029)</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(11,021,042)</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(6,341,678)</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(6,647,478)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(11,132,491)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Net change in unrealized (losses) gains</w:t>
            </w:r>
          </w:p>
        </w:tc>
        <w:tc>
          <w:tcPr>
            <w:tcW w:w="80" w:type="dxa"/>
            <w:vAlign w:val="bottom"/>
          </w:tcPr>
          <w:p>
            <w:pPr>
              <w:spacing w:after="0"/>
              <w:rPr>
                <w:sz w:val="18"/>
                <w:szCs w:val="18"/>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(2,903,994)</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3,389,993</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(13,188,048)</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(36,169,870)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6,045,517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bottom w:val="single" w:sz="8" w:color="CCEEFF"/>
            </w:tcBorders>
            <w:shd w:val="clear" w:color="auto" w:fill="CCEEFF"/>
          </w:tcPr>
          <w:p>
            <w:pPr>
              <w:ind w:left="360"/>
              <w:spacing w:after="0" w:line="183" w:lineRule="exact"/>
              <w:rPr>
                <w:sz w:val="20"/>
                <w:szCs w:val="20"/>
                <w:color w:val="auto"/>
              </w:rPr>
            </w:pPr>
            <w:r>
              <w:rPr>
                <w:rFonts w:ascii="Times New Roman" w:cs="Times New Roman" w:eastAsia="Times New Roman" w:hAnsi="Times New Roman"/>
                <w:sz w:val="16"/>
                <w:szCs w:val="16"/>
                <w:color w:val="auto"/>
              </w:rPr>
              <w:t>Total net (losses) gains</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(19,576,023</w:t>
            </w:r>
          </w:p>
        </w:tc>
        <w:tc>
          <w:tcPr>
            <w:tcW w:w="180" w:type="dxa"/>
            <w:vAlign w:val="bottom"/>
            <w:tcBorders>
              <w:top w:val="single" w:sz="8" w:color="CCEEFF"/>
              <w:bottom w:val="single" w:sz="8" w:color="CCEEFF"/>
              <w:right w:val="single" w:sz="8" w:color="CCEEFF"/>
            </w:tcBorders>
            <w:shd w:val="clear" w:color="auto" w:fill="CCEEFF"/>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(7,631,049)</w:t>
            </w:r>
          </w:p>
        </w:tc>
        <w:tc>
          <w:tcPr>
            <w:tcW w:w="1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4"/>
              </w:rPr>
              <w:t>(19,529,726)</w:t>
            </w:r>
          </w:p>
        </w:tc>
        <w:tc>
          <w:tcPr>
            <w:tcW w:w="1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4"/>
              </w:rPr>
              <w:t>(42,817,348)</w:t>
            </w:r>
          </w:p>
        </w:tc>
        <w:tc>
          <w:tcPr>
            <w:tcW w:w="1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(5,086,974)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Net (decrease) increase in net assets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(9,571,546)</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3,388,082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(1,039,731)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(18,634,558)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15,033,594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resulting from operations</w:t>
            </w:r>
          </w:p>
        </w:tc>
        <w:tc>
          <w:tcPr>
            <w:tcW w:w="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-393700</wp:posOffset>
            </wp:positionV>
            <wp:extent cx="1117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-393700</wp:posOffset>
            </wp:positionV>
            <wp:extent cx="1117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-393700</wp:posOffset>
            </wp:positionV>
            <wp:extent cx="1117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-393700</wp:posOffset>
            </wp:positionV>
            <wp:extent cx="25730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302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-1097280</wp:posOffset>
            </wp:positionV>
            <wp:extent cx="1117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-1097280</wp:posOffset>
            </wp:positionV>
            <wp:extent cx="1117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-1097280</wp:posOffset>
            </wp:positionV>
            <wp:extent cx="1117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-1097280</wp:posOffset>
            </wp:positionV>
            <wp:extent cx="25730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302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-2143125</wp:posOffset>
            </wp:positionV>
            <wp:extent cx="1117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-2143125</wp:posOffset>
            </wp:positionV>
            <wp:extent cx="1117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-2143125</wp:posOffset>
            </wp:positionV>
            <wp:extent cx="1117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-2143125</wp:posOffset>
            </wp:positionV>
            <wp:extent cx="25730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302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-2992120</wp:posOffset>
            </wp:positionV>
            <wp:extent cx="102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-2992120</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-2992120</wp:posOffset>
            </wp:positionV>
            <wp:extent cx="102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-2992120</wp:posOffset>
            </wp:positionV>
            <wp:extent cx="25641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9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9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income per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income per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declared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Taxable Distributable Income per basic</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1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assets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7"/>
              </w:rPr>
              <w:t>273,308,349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311,956,156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366,471,304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409,570,495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479,706,494</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285,464,681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319,808,974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381,371,983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421,204,697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505,180,218</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 outstanding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7"/>
              </w:rPr>
              <w:t>100,400,189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101,413,317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175,548,570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201,103,761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218,618,014</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158,021,011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181,804,756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194,924,925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216,100,470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255,316,701</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 value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51"/>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outstanding at end of year</w:t>
            </w:r>
          </w:p>
        </w:tc>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37,326,846</w:t>
            </w: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37,339,224</w:t>
            </w: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37,178,294</w:t>
            </w: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37,100,005</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36,775,127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-12700</wp:posOffset>
            </wp:positionV>
            <wp:extent cx="5213985"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-2165350</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-2165350</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-2165350</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-2165350</wp:posOffset>
            </wp:positionV>
            <wp:extent cx="25641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Other Data:</w:t>
      </w:r>
    </w:p>
    <w:p>
      <w:pPr>
        <w:sectPr>
          <w:pgSz w:w="11900" w:h="16838" w:orient="portrait"/>
          <w:cols w:equalWidth="0" w:num="1">
            <w:col w:w="10219"/>
          </w:cols>
          <w:pgMar w:left="240" w:top="114" w:right="1440" w:bottom="1440" w:gutter="0" w:footer="0" w:header="0"/>
        </w:sectPr>
      </w:pP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Investments funded</w:t>
      </w:r>
      <w:r>
        <w:rPr>
          <w:rFonts w:ascii="Times New Roman" w:cs="Times New Roman" w:eastAsia="Times New Roman" w:hAnsi="Times New Roman"/>
          <w:sz w:val="25"/>
          <w:szCs w:val="25"/>
          <w:color w:val="auto"/>
          <w:vertAlign w:val="superscript"/>
        </w:rPr>
        <w:t>(1)</w:t>
      </w:r>
    </w:p>
    <w:p>
      <w:pPr>
        <w:ind w:left="1440" w:hanging="179"/>
        <w:spacing w:after="0" w:line="206" w:lineRule="auto"/>
        <w:rPr>
          <w:sz w:val="20"/>
          <w:szCs w:val="20"/>
          <w:color w:val="auto"/>
        </w:rPr>
      </w:pPr>
      <w:r>
        <w:rPr>
          <w:rFonts w:ascii="Times New Roman" w:cs="Times New Roman" w:eastAsia="Times New Roman" w:hAnsi="Times New Roman"/>
          <w:sz w:val="16"/>
          <w:szCs w:val="16"/>
          <w:color w:val="auto"/>
        </w:rPr>
        <w:t>Principal collections related to investment repayments or sales</w:t>
      </w:r>
      <w:r>
        <w:rPr>
          <w:rFonts w:ascii="Times New Roman" w:cs="Times New Roman" w:eastAsia="Times New Roman" w:hAnsi="Times New Roman"/>
          <w:sz w:val="25"/>
          <w:szCs w:val="25"/>
          <w:color w:val="auto"/>
          <w:vertAlign w:val="superscript"/>
        </w:rPr>
        <w:t>(1)</w:t>
      </w:r>
    </w:p>
    <w:p>
      <w:pPr>
        <w:ind w:left="1440" w:right="120" w:hanging="179"/>
        <w:spacing w:after="0" w:line="206" w:lineRule="auto"/>
        <w:rPr>
          <w:sz w:val="20"/>
          <w:szCs w:val="20"/>
          <w:color w:val="auto"/>
        </w:rPr>
      </w:pPr>
      <w:r>
        <w:rPr>
          <w:rFonts w:ascii="Times New Roman" w:cs="Times New Roman" w:eastAsia="Times New Roman" w:hAnsi="Times New Roman"/>
          <w:sz w:val="16"/>
          <w:szCs w:val="16"/>
          <w:color w:val="auto"/>
        </w:rPr>
        <w:t>Number of portfolio investments at year end</w:t>
      </w:r>
      <w:r>
        <w:rPr>
          <w:rFonts w:ascii="Times New Roman" w:cs="Times New Roman" w:eastAsia="Times New Roman" w:hAnsi="Times New Roman"/>
          <w:sz w:val="25"/>
          <w:szCs w:val="25"/>
          <w:color w:val="auto"/>
          <w:vertAlign w:val="superscript"/>
        </w:rPr>
        <w:t>(1)</w:t>
      </w:r>
    </w:p>
    <w:p>
      <w:pPr>
        <w:ind w:left="1440" w:right="40" w:hanging="179"/>
        <w:spacing w:after="0" w:line="206" w:lineRule="auto"/>
        <w:rPr>
          <w:sz w:val="20"/>
          <w:szCs w:val="20"/>
          <w:color w:val="auto"/>
        </w:rPr>
      </w:pPr>
      <w:r>
        <w:rPr>
          <w:rFonts w:ascii="Times New Roman" w:cs="Times New Roman" w:eastAsia="Times New Roman" w:hAnsi="Times New Roman"/>
          <w:sz w:val="16"/>
          <w:szCs w:val="16"/>
          <w:color w:val="auto"/>
        </w:rPr>
        <w:t>Weighted average interest rate on income producing debt investments</w:t>
      </w:r>
      <w:r>
        <w:rPr>
          <w:rFonts w:ascii="Times New Roman" w:cs="Times New Roman" w:eastAsia="Times New Roman" w:hAnsi="Times New Roman"/>
          <w:sz w:val="25"/>
          <w:szCs w:val="25"/>
          <w:color w:val="auto"/>
          <w:vertAlign w:val="superscript"/>
        </w:rPr>
        <w:t>(2)</w:t>
      </w:r>
    </w:p>
    <w:p>
      <w:pPr>
        <w:ind w:left="1440" w:right="40" w:hanging="179"/>
        <w:spacing w:after="0" w:line="211" w:lineRule="auto"/>
        <w:rPr>
          <w:sz w:val="20"/>
          <w:szCs w:val="20"/>
          <w:color w:val="auto"/>
        </w:rPr>
      </w:pPr>
      <w:r>
        <w:rPr>
          <w:rFonts w:ascii="Times New Roman" w:cs="Times New Roman" w:eastAsia="Times New Roman" w:hAnsi="Times New Roman"/>
          <w:sz w:val="16"/>
          <w:szCs w:val="16"/>
          <w:color w:val="auto"/>
        </w:rPr>
        <w:t>Weighted average interest rate on income producing debt investments (adjusted</w:t>
      </w:r>
    </w:p>
    <w:p>
      <w:pPr>
        <w:ind w:left="1440"/>
        <w:spacing w:after="0" w:line="189" w:lineRule="auto"/>
        <w:rPr>
          <w:sz w:val="20"/>
          <w:szCs w:val="20"/>
          <w:color w:val="auto"/>
        </w:rPr>
      </w:pPr>
      <w:r>
        <w:rPr>
          <w:rFonts w:ascii="Times New Roman" w:cs="Times New Roman" w:eastAsia="Times New Roman" w:hAnsi="Times New Roman"/>
          <w:sz w:val="14"/>
          <w:szCs w:val="14"/>
          <w:color w:val="auto"/>
        </w:rPr>
        <w:t>for non-accrual and partial</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non-accrual)</w:t>
      </w:r>
      <w:r>
        <w:rPr>
          <w:rFonts w:ascii="Times New Roman" w:cs="Times New Roman" w:eastAsia="Times New Roman" w:hAnsi="Times New Roman"/>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120015</wp:posOffset>
            </wp:positionV>
            <wp:extent cx="12350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7"/>
              </w:rPr>
              <w:t>118,159,373</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227,722,823</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75,724,590</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130,954,741</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235,905,130</w:t>
            </w:r>
          </w:p>
        </w:tc>
      </w:tr>
      <w:tr>
        <w:trPr>
          <w:trHeight w:val="405"/>
        </w:trPr>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7"/>
              </w:rPr>
              <w:t>112,052,177</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323,531,633</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129,191,854</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129,793,338</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193,554,964</w:t>
            </w:r>
          </w:p>
        </w:tc>
      </w:tr>
      <w:tr>
        <w:trPr>
          <w:trHeight w:val="405"/>
        </w:trPr>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r>
      <w:tr>
        <w:trPr>
          <w:trHeight w:val="496"/>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25"/>
                <w:szCs w:val="25"/>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r>
              <w:rPr>
                <w:rFonts w:ascii="Times New Roman" w:cs="Times New Roman" w:eastAsia="Times New Roman" w:hAnsi="Times New Roman"/>
                <w:sz w:val="25"/>
                <w:szCs w:val="25"/>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r>
              <w:rPr>
                <w:rFonts w:ascii="Times New Roman" w:cs="Times New Roman" w:eastAsia="Times New Roman" w:hAnsi="Times New Roman"/>
                <w:sz w:val="25"/>
                <w:szCs w:val="25"/>
                <w:color w:val="auto"/>
                <w:vertAlign w:val="superscript"/>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r>
              <w:rPr>
                <w:rFonts w:ascii="Times New Roman" w:cs="Times New Roman" w:eastAsia="Times New Roman" w:hAnsi="Times New Roman"/>
                <w:sz w:val="25"/>
                <w:szCs w:val="25"/>
                <w:color w:val="auto"/>
                <w:vertAlign w:val="superscript"/>
              </w:rPr>
              <w:t>%</w:t>
            </w:r>
          </w:p>
        </w:tc>
      </w:tr>
      <w:tr>
        <w:trPr>
          <w:trHeight w:val="729"/>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r>
              <w:rPr>
                <w:rFonts w:ascii="Times New Roman" w:cs="Times New Roman" w:eastAsia="Times New Roman" w:hAnsi="Times New Roman"/>
                <w:sz w:val="25"/>
                <w:szCs w:val="25"/>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r>
              <w:rPr>
                <w:rFonts w:ascii="Times New Roman" w:cs="Times New Roman" w:eastAsia="Times New Roman" w:hAnsi="Times New Roman"/>
                <w:sz w:val="25"/>
                <w:szCs w:val="25"/>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r>
              <w:rPr>
                <w:rFonts w:ascii="Times New Roman" w:cs="Times New Roman" w:eastAsia="Times New Roman" w:hAnsi="Times New Roman"/>
                <w:sz w:val="25"/>
                <w:szCs w:val="25"/>
                <w:color w:val="auto"/>
                <w:vertAlign w:val="superscript"/>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r>
              <w:rPr>
                <w:rFonts w:ascii="Times New Roman" w:cs="Times New Roman" w:eastAsia="Times New Roman" w:hAnsi="Times New Roman"/>
                <w:sz w:val="25"/>
                <w:szCs w:val="25"/>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-1305560</wp:posOffset>
            </wp:positionV>
            <wp:extent cx="5213985"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25717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-790575</wp:posOffset>
            </wp:positionV>
            <wp:extent cx="5213985"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340"/>
            <w:col w:w="5879"/>
          </w:cols>
          <w:pgMar w:left="240" w:top="114" w:right="1440" w:bottom="1440" w:gutter="0" w:footer="0" w:header="0"/>
          <w:type w:val="continuous"/>
        </w:sectPr>
      </w:pPr>
    </w:p>
    <w:p>
      <w:pPr>
        <w:spacing w:after="0" w:line="156" w:lineRule="exact"/>
        <w:rPr>
          <w:sz w:val="20"/>
          <w:szCs w:val="20"/>
          <w:color w:val="auto"/>
        </w:rPr>
      </w:pPr>
    </w:p>
    <w:p>
      <w:pPr>
        <w:ind w:left="1620" w:hanging="352"/>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investments in time deposits or money markets.</w:t>
      </w:r>
    </w:p>
    <w:p>
      <w:pPr>
        <w:spacing w:after="0" w:line="184" w:lineRule="exact"/>
        <w:rPr>
          <w:rFonts w:ascii="Times New Roman" w:cs="Times New Roman" w:eastAsia="Times New Roman" w:hAnsi="Times New Roman"/>
          <w:sz w:val="18"/>
          <w:szCs w:val="18"/>
          <w:color w:val="auto"/>
        </w:rPr>
      </w:pPr>
    </w:p>
    <w:p>
      <w:pPr>
        <w:ind w:left="1620" w:right="859" w:hanging="352"/>
        <w:spacing w:after="0" w:line="26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interest rate on income producing investments is calculated as the weighted average contractual interest rate on par outstanding balances for investments in loans, bonds, and mezzanine debt in our Debt Securities portfolio.</w:t>
      </w:r>
    </w:p>
    <w:p>
      <w:pPr>
        <w:spacing w:after="0" w:line="135" w:lineRule="exact"/>
        <w:rPr>
          <w:rFonts w:ascii="Times New Roman" w:cs="Times New Roman" w:eastAsia="Times New Roman" w:hAnsi="Times New Roman"/>
          <w:sz w:val="18"/>
          <w:szCs w:val="18"/>
          <w:color w:val="auto"/>
        </w:rPr>
      </w:pPr>
    </w:p>
    <w:p>
      <w:pPr>
        <w:ind w:left="1620" w:right="919" w:hanging="352"/>
        <w:spacing w:after="0" w:line="261"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interest rate of income producing investments (adjusted for non-accrual and partial non-accrual) is calculated as the weighted average contractual interest rate on par outstanding balances for investments in loans, bonds, and mezzanine debt in our Debt Securities portfolio, excluding contractual income on non-accrual and partial non-accrual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6"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financial statements and related notes and other financial information appearing elsewhere in this annual report.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“Item 1A. Risk Factors” and “Note About Forward-Looking Statements” appearing elsewhere in this annual report. Except as otherwise indicated, the terms “we,” “us,” “our,” the “Company” and “KCAP” refer to KCAP Financial, Inc.</w:t>
      </w:r>
    </w:p>
    <w:p>
      <w:pPr>
        <w:spacing w:after="0" w:line="1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We are an internally managed, non-diversified closed-end investment company that is regulated as a business development company, (“BDC”) under the Investment Company Act of 1940, as amended (the “1940 Act”).</w:t>
      </w:r>
    </w:p>
    <w:p>
      <w:pPr>
        <w:spacing w:after="0" w:line="6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68"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On November 8, 2018, we entered into an agreement with LibreMax Intermediate Holdings, LP (“LibreMax”) under which our wholly-owned subsidiary Commodore Holdings, LLC (“Commodore”) agreed to sell Katonah Debt Advisors, L.L.C. (“Katonah Debt Advisors”), Trimaran Advisors, L.L.C. (“Trimaran Advisors”), and Trimaran Advisors Management, L.L.C. (“Trimaran Advisors Management” and, together with Katonah Debt Advisors and Trimaran Advisors, the “Disposed Manager Affiliates”) to LibreMax for a cash purchase price of approximately $37.9 million (the “LibreMax Transaction”). In connection with the closing of the LibreMax Transaction on December 31, 2018, Commodore sold the Disposed Manager Affiliates, which manage collateralized loan obligation funds (“CLO Funds”), to LibreMax for a cash purchase price of approximately $37.9 million.</w:t>
      </w:r>
    </w:p>
    <w:p>
      <w:pPr>
        <w:spacing w:after="0" w:line="81"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2018, our remaining asset management subsidiaries (the “Asset Manager Affiliates”) were comprised of Commodore, Katonah Management Holdings, LLC, Katonah X Management LLC (“Katonah X Management”), Katonah 2007-1 Management, LLC (“Katonah 2007-I Management”) and KCAP Management, LLC. Commodore, Katonah X Management and Katonah 2007-1 Management have no operations and are expected to be liquidated in the normal course.</w:t>
      </w:r>
    </w:p>
    <w:p>
      <w:pPr>
        <w:spacing w:after="0" w:line="76"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On December 14, 2018, we entered into a stock purchase and transaction agreement (the “Externalization Agreement”) with BC Partners Advisors L.P. (“BCP”), an affiliate of BC Partners LLP (“BC Partners”), pursuant to which our management function would be externalized (the “Externalization”) and Sierra Crest Investment Management LLC, an affiliate of BC Partners (the “Adviser”) would be appointed as our investment adviser, subject to our stockholders’ approval of the proposed investment advisory agreement between us and the Adviser (the “Advisory Agreement”). At a special meeting of our stockholders (the “Special Meeting”) held on February 19, 2019, our stockholders approved the Advisory Agreement. As described further below, under “The Externalization Agreement,” if the transactions contemplated by the Externalization Agreement are completed, upon closing of the Externalization (the “Closing”), we will commence operations as an externally managed BDC managed by the Adviser.</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has also invested in debt and subordinated securities issued by CLO Funds (“CLO</w:t>
      </w:r>
    </w:p>
    <w:p>
      <w:pPr>
        <w:spacing w:after="0" w:line="27" w:lineRule="exact"/>
        <w:rPr>
          <w:sz w:val="20"/>
          <w:szCs w:val="20"/>
          <w:color w:val="auto"/>
        </w:rPr>
      </w:pPr>
    </w:p>
    <w:p>
      <w:pPr>
        <w:ind w:left="1260" w:right="839"/>
        <w:spacing w:after="0" w:line="254" w:lineRule="auto"/>
        <w:rPr>
          <w:sz w:val="20"/>
          <w:szCs w:val="20"/>
          <w:color w:val="auto"/>
        </w:rPr>
      </w:pPr>
      <w:r>
        <w:rPr>
          <w:rFonts w:ascii="Times New Roman" w:cs="Times New Roman" w:eastAsia="Times New Roman" w:hAnsi="Times New Roman"/>
          <w:sz w:val="18"/>
          <w:szCs w:val="18"/>
          <w:color w:val="auto"/>
        </w:rPr>
        <w:t>Fund Securities”). Our investment in CLO Fund Securities are primarily managed by its formerly wholly-owned asset management subsidiaries Trimaran Advisors and Trimaran Advisors Management, L.L.C. From time-to-time the Company has also made investments in CLO Fund Securities managed by other asset managers. The CLO Funds typically invest in broadly syndicated loans, high-yield bonds and other credit instruments.</w:t>
      </w:r>
    </w:p>
    <w:p>
      <w:pPr>
        <w:spacing w:after="0" w:line="7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Our investments in CLO Fund Securities, which are primarily made up of minority investments in the subordinated securities or preferred stock of CLO Funds raised and managed by the Disposed Manager Affiliates, are anticipated to provide the Company with recurring cash distributions.</w:t>
      </w:r>
    </w:p>
    <w:p>
      <w:pPr>
        <w:spacing w:after="0" w:line="2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959" w:firstLine="360"/>
        <w:spacing w:after="0" w:line="261" w:lineRule="auto"/>
        <w:rPr>
          <w:sz w:val="20"/>
          <w:szCs w:val="20"/>
          <w:color w:val="auto"/>
        </w:rPr>
      </w:pPr>
      <w:r>
        <w:rPr>
          <w:rFonts w:ascii="Times New Roman" w:cs="Times New Roman" w:eastAsia="Times New Roman" w:hAnsi="Times New Roman"/>
          <w:sz w:val="18"/>
          <w:szCs w:val="18"/>
          <w:color w:val="auto"/>
        </w:rPr>
        <w:t>The Company may also invest in other investments such as loans to smaller private companies, publicly-traded companies, high-yield bonds, joint ventures, managed funds, partnerships and distressed debt securities. The Company may also receive warrants or options to purchase common stock in connection with our debt investments.</w:t>
      </w:r>
    </w:p>
    <w:p>
      <w:pPr>
        <w:spacing w:after="0" w:line="72" w:lineRule="exact"/>
        <w:rPr>
          <w:sz w:val="20"/>
          <w:szCs w:val="20"/>
          <w:color w:val="auto"/>
        </w:rPr>
      </w:pPr>
    </w:p>
    <w:p>
      <w:pPr>
        <w:ind w:left="1260" w:right="979" w:firstLine="360"/>
        <w:spacing w:after="0" w:line="254" w:lineRule="auto"/>
        <w:rPr>
          <w:sz w:val="20"/>
          <w:szCs w:val="20"/>
          <w:color w:val="auto"/>
        </w:rPr>
      </w:pPr>
      <w:r>
        <w:rPr>
          <w:rFonts w:ascii="Times New Roman" w:cs="Times New Roman" w:eastAsia="Times New Roman" w:hAnsi="Times New Roman"/>
          <w:sz w:val="18"/>
          <w:szCs w:val="18"/>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78"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Subject to market conditions, we intend to grow our portfolio of assets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(or the 150% asset coverage ratio effective as of March 29, 2019) after such borrowing.</w:t>
      </w:r>
    </w:p>
    <w:p>
      <w:pPr>
        <w:spacing w:after="0" w:line="76"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have elected to be treated for U.S. federal income tax purposes as a regulated investment company (“RIC”) under the Internal Revenue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Externalization Agreement</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At a meeting of our Board of Directors held on December 12, 2018, the Board, including all of its independent directors, unanimously voted to approve the Advisory Agreement, contingent upon entering into the Externalization Agreement, obtaining Company stockholder approval of the Advisory Agreement, and closing of the transactions contemplated by the Externalization Agreement, and determined that the Advisory Agreement is in the best interests of us and our stockholders. At the Special Meeting held on February 19, 2019, our stockholders approved the Advisory Agreement. If the transactions contemplated by the Externalization Agreement are completed, upon the Closing, we will commence operations as an externally managed BDC managed by the Adviser.</w:t>
      </w:r>
    </w:p>
    <w:p>
      <w:pPr>
        <w:spacing w:after="0" w:line="77"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Pursuant to the Externalization Agreement with BCP, the Adviser will become our investment adviser in exchange for a cash payment from BCP, or its affiliate, of $25 million, or approximately $0.67 per share of our common stock, directly to our stockholders. In addition, following the Closing, the Adviser (or its affiliate) will use up to $10 million of the incentive fee actually paid to the Adviser prior to the second anniversary of the Closing date to buy newly issued shares of our common stock at the most recently determined net asset value per share of our common stock at the time of such purchase. For the period of one year from the first day of the first quarter following the quarter in which the Advisory Agreement becomes effective,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 BCP and the Adviser’s total financial commitment to the transactions contemplated by the Externalization Agreement is $35.0 million.</w:t>
      </w:r>
    </w:p>
    <w:p>
      <w:pPr>
        <w:spacing w:after="0" w:line="83"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Company anticipates that the Closing will occur at the end of the quarter ending March 31, 2019, but the Company will issue a press release announcing the record date and payment date of the stockholder payment.</w:t>
      </w:r>
    </w:p>
    <w:p>
      <w:pPr>
        <w:spacing w:after="0" w:line="22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About the Adviser</w:t>
      </w:r>
    </w:p>
    <w:p>
      <w:pPr>
        <w:spacing w:after="0" w:line="108"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At the Closing, the Adviser, an affiliate of BC Partners, will become the investment adviser of the Company. LibreMax intends to own a portion of the Adviser. Subject to the overall supervision of the Board, the Adviser will be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80"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BC Partners is a leading buyout firm with a 30-year history investing across Europe and North America which had assets under management of over $24 billion as of December 19, 2018. The assets under management for BCP are based on actively managed commitments of its managed funds and relevant vehicles formed for the purpose of co-investing alongside such funds. BCP operates a private equity investment platform (“BCP PE”) and a credit investment platform (“BCP Credit”) as fully integrated businesses. The investment activity of the Company will take place primarily within the BCP Credit platform. Integration with the broader BCP platform allows BCP Credit to leverage a team of approximately 60 investment professionals across its private equity platform including an eight-member operations team. The BCP Credit Investment Team (the “Investment Team”) is led by Ted Goldthorpe who sits on both the BCP Credit and BCP PE investment committees. An affiliate of the Adviser currently manages a private BDC, BC Partners Lending Corporation, and a private fund in the BCP Credit platform. BCP intends to offer employment to certain Company employees, including but not limited to, the Company’s executive officers.</w:t>
      </w:r>
    </w:p>
    <w:p>
      <w:pPr>
        <w:spacing w:after="0" w:line="83"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The Adviser will seek to invest on behalf of the Company in performing, well-established middle market businesses that operate across a wide range of industries (i.e., no concentration in any one industry). The Adviser will employ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will seek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Advisory Agreement</w:t>
      </w:r>
    </w:p>
    <w:p>
      <w:pPr>
        <w:spacing w:after="0" w:line="108"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Pursuant to the terms of the Advisory Agreement, the Company will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will consist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will be 17.50% of pre-incentive fee net investment income with a 7.00% hurdle rate. The Capital Gains Fee will be 17.50%. For more information regarding the terms of the fee structure under the Advisory Agreement, please see our definitive proxy statement filed with the SEC on January 15, 2019.</w:t>
      </w:r>
    </w:p>
    <w:p>
      <w:pPr>
        <w:spacing w:after="0" w:line="26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portfolio investment activity (excluding activity in U.S. treasury bills and money market investments)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years ended December 31, 2018, December 31, 2017, and December 31, 2016 was as follows: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CLO Fund</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Joint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5"/>
        </w:trPr>
        <w:tc>
          <w:tcPr>
            <w:tcW w:w="2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Venture</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60" w:type="dxa"/>
            <w:vAlign w:val="bottom"/>
          </w:tcPr>
          <w:p>
            <w:pPr>
              <w:spacing w:after="0"/>
              <w:rPr>
                <w:sz w:val="16"/>
                <w:szCs w:val="16"/>
                <w:color w:val="auto"/>
              </w:rPr>
            </w:pPr>
          </w:p>
        </w:tc>
      </w:tr>
      <w:tr>
        <w:trPr>
          <w:trHeight w:val="201"/>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Fair Value at December 31, 2015</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$ 284,639,244</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$ 55,872,382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9,548,488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57,381,000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$ 407,441,114</w:t>
            </w:r>
          </w:p>
        </w:tc>
        <w:tc>
          <w:tcPr>
            <w:tcW w:w="60" w:type="dxa"/>
            <w:vAlign w:val="bottom"/>
          </w:tcPr>
          <w:p>
            <w:pPr>
              <w:spacing w:after="0"/>
              <w:rPr>
                <w:sz w:val="17"/>
                <w:szCs w:val="17"/>
                <w:color w:val="auto"/>
              </w:rPr>
            </w:pPr>
          </w:p>
        </w:tc>
      </w:tr>
      <w:tr>
        <w:trPr>
          <w:trHeight w:val="311"/>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2016 Activity: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Purchases/originations/draws</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74,584,952</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10,140,000</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84,724,952</w:t>
            </w:r>
          </w:p>
        </w:tc>
        <w:tc>
          <w:tcPr>
            <w:tcW w:w="60" w:type="dxa"/>
            <w:vAlign w:val="bottom"/>
          </w:tcPr>
          <w:p>
            <w:pPr>
              <w:spacing w:after="0"/>
              <w:rPr>
                <w:sz w:val="17"/>
                <w:szCs w:val="17"/>
                <w:color w:val="auto"/>
              </w:rPr>
            </w:pPr>
          </w:p>
        </w:tc>
      </w:tr>
      <w:tr>
        <w:trPr>
          <w:trHeight w:val="203"/>
        </w:trPr>
        <w:tc>
          <w:tcPr>
            <w:tcW w:w="2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Pay-downs/pay-offs/sales</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(123,240,416)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(4,200,000)</w:t>
            </w: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(4,563,521)</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(132,003,937)</w:t>
            </w:r>
          </w:p>
        </w:tc>
      </w:tr>
      <w:tr>
        <w:trPr>
          <w:trHeight w:val="203"/>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accretion (amortization)</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407,492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(2,192,071)</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(1,250,000)</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(3,034,579)</w:t>
            </w:r>
          </w:p>
        </w:tc>
        <w:tc>
          <w:tcPr>
            <w:tcW w:w="60" w:type="dxa"/>
            <w:vAlign w:val="bottom"/>
          </w:tcPr>
          <w:p>
            <w:pPr>
              <w:spacing w:after="0"/>
              <w:rPr>
                <w:sz w:val="17"/>
                <w:szCs w:val="17"/>
                <w:color w:val="auto"/>
              </w:rPr>
            </w:pPr>
          </w:p>
        </w:tc>
      </w:tr>
      <w:tr>
        <w:trPr>
          <w:trHeight w:val="203"/>
        </w:trPr>
        <w:tc>
          <w:tcPr>
            <w:tcW w:w="2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realized losses</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(540,649)</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(10,111,560)</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4,484,742</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(6,167,467)</w:t>
            </w:r>
          </w:p>
        </w:tc>
      </w:tr>
      <w:tr>
        <w:trPr>
          <w:trHeight w:val="212"/>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increase (decrease) in fair value</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2,492,707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4,665,599</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(4,413,354)</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(15,933,000)</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(13,188,048)</w:t>
            </w:r>
          </w:p>
        </w:tc>
        <w:tc>
          <w:tcPr>
            <w:tcW w:w="60" w:type="dxa"/>
            <w:vAlign w:val="bottom"/>
          </w:tcPr>
          <w:p>
            <w:pPr>
              <w:spacing w:after="0"/>
              <w:rPr>
                <w:sz w:val="18"/>
                <w:szCs w:val="18"/>
                <w:color w:val="auto"/>
              </w:rPr>
            </w:pPr>
          </w:p>
        </w:tc>
      </w:tr>
      <w:tr>
        <w:trPr>
          <w:trHeight w:val="20"/>
        </w:trPr>
        <w:tc>
          <w:tcPr>
            <w:tcW w:w="27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2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Fair Value at December 31, 2016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238,343,330</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54,174,350</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5,056,355</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40,198,000</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337,772,035</w:t>
            </w:r>
          </w:p>
        </w:tc>
        <w:tc>
          <w:tcPr>
            <w:tcW w:w="60" w:type="dxa"/>
            <w:vAlign w:val="bottom"/>
          </w:tcPr>
          <w:p>
            <w:pPr>
              <w:spacing w:after="0"/>
              <w:rPr>
                <w:sz w:val="17"/>
                <w:szCs w:val="17"/>
                <w:color w:val="auto"/>
              </w:rPr>
            </w:pPr>
          </w:p>
        </w:tc>
      </w:tr>
      <w:tr>
        <w:trPr>
          <w:trHeight w:val="311"/>
        </w:trPr>
        <w:tc>
          <w:tcPr>
            <w:tcW w:w="2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2017 Activity:</w:t>
            </w:r>
          </w:p>
        </w:tc>
        <w:tc>
          <w:tcPr>
            <w:tcW w:w="9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Purchases/originations/draws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181,613,690</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11,211,368</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182,000</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36,738,873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229,745,931</w:t>
            </w:r>
          </w:p>
        </w:tc>
        <w:tc>
          <w:tcPr>
            <w:tcW w:w="60" w:type="dxa"/>
            <w:vAlign w:val="bottom"/>
          </w:tcPr>
          <w:p>
            <w:pPr>
              <w:spacing w:after="0"/>
              <w:rPr>
                <w:sz w:val="17"/>
                <w:szCs w:val="17"/>
                <w:color w:val="auto"/>
              </w:rPr>
            </w:pPr>
          </w:p>
        </w:tc>
      </w:tr>
      <w:tr>
        <w:trPr>
          <w:trHeight w:val="203"/>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Pay-downs/pay-offs/sales</w:t>
            </w:r>
          </w:p>
        </w:tc>
        <w:tc>
          <w:tcPr>
            <w:tcW w:w="10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(300,625,104)</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(25,598,497)</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(2,750,000)</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(11,824,015)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(340,797,616)</w:t>
            </w:r>
          </w:p>
        </w:tc>
        <w:tc>
          <w:tcPr>
            <w:tcW w:w="60" w:type="dxa"/>
            <w:vAlign w:val="bottom"/>
          </w:tcPr>
          <w:p>
            <w:pPr>
              <w:spacing w:after="0"/>
              <w:rPr>
                <w:sz w:val="17"/>
                <w:szCs w:val="17"/>
                <w:color w:val="auto"/>
              </w:rPr>
            </w:pPr>
          </w:p>
        </w:tc>
      </w:tr>
      <w:tr>
        <w:trPr>
          <w:trHeight w:val="203"/>
        </w:trPr>
        <w:tc>
          <w:tcPr>
            <w:tcW w:w="2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accretion (amortization)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304,904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11,139,633</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11,444,537</w:t>
            </w:r>
          </w:p>
        </w:tc>
      </w:tr>
      <w:tr>
        <w:trPr>
          <w:trHeight w:val="203"/>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realized gains (losses)</w:t>
            </w:r>
          </w:p>
        </w:tc>
        <w:tc>
          <w:tcPr>
            <w:tcW w:w="10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(5,634,255)</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(1,264,789)</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(6,899,044)</w:t>
            </w:r>
          </w:p>
        </w:tc>
        <w:tc>
          <w:tcPr>
            <w:tcW w:w="60" w:type="dxa"/>
            <w:vAlign w:val="bottom"/>
          </w:tcPr>
          <w:p>
            <w:pPr>
              <w:spacing w:after="0"/>
              <w:rPr>
                <w:sz w:val="17"/>
                <w:szCs w:val="17"/>
                <w:color w:val="auto"/>
              </w:rPr>
            </w:pPr>
          </w:p>
        </w:tc>
      </w:tr>
      <w:tr>
        <w:trPr>
          <w:trHeight w:val="212"/>
        </w:trPr>
        <w:tc>
          <w:tcPr>
            <w:tcW w:w="2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increase (decrease) in fair value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4,194,914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2,016,608</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(823,671)</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1,401,000</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(3,398,858)</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3,389,993</w:t>
            </w:r>
          </w:p>
        </w:tc>
        <w:tc>
          <w:tcPr>
            <w:tcW w:w="60" w:type="dxa"/>
            <w:vAlign w:val="bottom"/>
          </w:tcPr>
          <w:p>
            <w:pPr>
              <w:spacing w:after="0"/>
              <w:rPr>
                <w:sz w:val="18"/>
                <w:szCs w:val="18"/>
                <w:color w:val="auto"/>
              </w:rPr>
            </w:pPr>
          </w:p>
        </w:tc>
      </w:tr>
      <w:tr>
        <w:trPr>
          <w:trHeight w:val="20"/>
        </w:trPr>
        <w:tc>
          <w:tcPr>
            <w:tcW w:w="27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Fair Value at December 31, 2017</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118,197,479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51,678,673</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4,414,684</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38,849,000</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21,516,000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234,655,836</w:t>
            </w:r>
          </w:p>
        </w:tc>
        <w:tc>
          <w:tcPr>
            <w:tcW w:w="60" w:type="dxa"/>
            <w:vAlign w:val="bottom"/>
          </w:tcPr>
          <w:p>
            <w:pPr>
              <w:spacing w:after="0"/>
              <w:rPr>
                <w:sz w:val="17"/>
                <w:szCs w:val="17"/>
                <w:color w:val="auto"/>
              </w:rPr>
            </w:pPr>
          </w:p>
        </w:tc>
      </w:tr>
      <w:tr>
        <w:trPr>
          <w:trHeight w:val="311"/>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2018 Activity: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Purchases/originations/draws</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92,911,178</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12,781,528</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7"/>
              </w:rPr>
              <w:t>12,466,667</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118,159,373</w:t>
            </w:r>
          </w:p>
        </w:tc>
        <w:tc>
          <w:tcPr>
            <w:tcW w:w="6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Pay-downs/pay-offs/sales</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(57,125,611)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(19,033,322)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(1,093,244)</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(34,800,000)</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(112,052,177)</w:t>
            </w:r>
          </w:p>
        </w:tc>
      </w:tr>
      <w:tr>
        <w:trPr>
          <w:trHeight w:val="216"/>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accretion (amortization)</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1,289,512</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5,878,260</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7,167,772</w:t>
            </w:r>
          </w:p>
        </w:tc>
        <w:tc>
          <w:tcPr>
            <w:tcW w:w="6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realized gains (losses)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9,933</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(16,484,872)</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(16,474,939)</w:t>
            </w:r>
          </w:p>
        </w:tc>
      </w:tr>
      <w:tr>
        <w:trPr>
          <w:trHeight w:val="226"/>
        </w:trPr>
        <w:tc>
          <w:tcPr>
            <w:tcW w:w="2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increase (decrease) in fair value</w:t>
            </w:r>
          </w:p>
        </w:tc>
        <w:tc>
          <w:tcPr>
            <w:tcW w:w="10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(7,420,747)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9,504,733</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(1,283,420)</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(579,000)</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(3,125,560)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(2,903,994)</w:t>
            </w:r>
          </w:p>
        </w:tc>
        <w:tc>
          <w:tcPr>
            <w:tcW w:w="60" w:type="dxa"/>
            <w:vAlign w:val="bottom"/>
          </w:tcPr>
          <w:p>
            <w:pPr>
              <w:spacing w:after="0"/>
              <w:rPr>
                <w:sz w:val="19"/>
                <w:szCs w:val="19"/>
                <w:color w:val="auto"/>
              </w:rPr>
            </w:pPr>
          </w:p>
        </w:tc>
      </w:tr>
      <w:tr>
        <w:trPr>
          <w:trHeight w:val="20"/>
        </w:trPr>
        <w:tc>
          <w:tcPr>
            <w:tcW w:w="27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Fair Value at December 31, 2018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$ 147,861,744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$ 44,325,000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7"/>
              </w:rPr>
              <w:t>14,504,687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3,470,000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18,390,440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$ 228,551,871</w:t>
            </w:r>
          </w:p>
        </w:tc>
        <w:tc>
          <w:tcPr>
            <w:tcW w:w="6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-1208405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-1208405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-1208405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-1208405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-1208405</wp:posOffset>
            </wp:positionV>
            <wp:extent cx="23412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-3180715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-3180715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-3180715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-3180715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-3180715</wp:posOffset>
            </wp:positionV>
            <wp:extent cx="23323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32" w:lineRule="exact"/>
        <w:rPr>
          <w:sz w:val="20"/>
          <w:szCs w:val="20"/>
          <w:color w:val="auto"/>
        </w:rPr>
      </w:pPr>
    </w:p>
    <w:p>
      <w:pPr>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shows the Company’s portfolio by security type at December 31, 2018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2017:</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11"/>
                <w:szCs w:val="11"/>
                <w:b w:val="1"/>
                <w:bCs w:val="1"/>
                <w:color w:val="auto"/>
                <w:w w:val="82"/>
              </w:rPr>
              <w:t>(1)</w:t>
            </w:r>
          </w:p>
        </w:tc>
        <w:tc>
          <w:tcPr>
            <w:tcW w:w="220" w:type="dxa"/>
            <w:vAlign w:val="bottom"/>
          </w:tcPr>
          <w:p>
            <w:pPr>
              <w:spacing w:after="0"/>
              <w:rPr>
                <w:sz w:val="12"/>
                <w:szCs w:val="12"/>
                <w:color w:val="auto"/>
              </w:rPr>
            </w:pPr>
          </w:p>
        </w:tc>
        <w:tc>
          <w:tcPr>
            <w:tcW w:w="1240" w:type="dxa"/>
            <w:vAlign w:val="bottom"/>
            <w:gridSpan w:val="5"/>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11"/>
                <w:szCs w:val="11"/>
                <w:b w:val="1"/>
                <w:bCs w:val="1"/>
                <w:color w:val="auto"/>
                <w:w w:val="82"/>
              </w:rPr>
              <w:t>(1)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Short-term investments</w:t>
            </w:r>
            <w:r>
              <w:rPr>
                <w:rFonts w:ascii="Times New Roman" w:cs="Times New Roman" w:eastAsia="Times New Roman" w:hAnsi="Times New Roman"/>
                <w:sz w:val="24"/>
                <w:szCs w:val="24"/>
                <w:color w:val="auto"/>
                <w:vertAlign w:val="superscript"/>
              </w:rPr>
              <w:t>(2)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44,756,478</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44,756,478</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77,300,320</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77,300,320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3"/>
        </w:trPr>
        <w:tc>
          <w:tcPr>
            <w:tcW w:w="23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Senior Secured Loan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86,040,921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77,616,209</w:t>
            </w:r>
          </w:p>
        </w:tc>
        <w:tc>
          <w:tcPr>
            <w:tcW w:w="50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48,337,900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44,960,146</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Junior Secured Loan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76,223,561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70,245,535</w:t>
            </w:r>
          </w:p>
        </w:tc>
        <w:tc>
          <w:tcPr>
            <w:tcW w:w="500" w:type="dxa"/>
            <w:vAlign w:val="bottom"/>
            <w:gridSpan w:val="2"/>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62,561,913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58,941,300</w:t>
            </w:r>
          </w:p>
        </w:tc>
        <w:tc>
          <w:tcPr>
            <w:tcW w:w="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Senior Unsecured Loan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12,777,283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12,777,283</w:t>
            </w: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Senior Secured Bond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1,502,374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1,518,750</w:t>
            </w:r>
          </w:p>
        </w:tc>
        <w:tc>
          <w:tcPr>
            <w:tcW w:w="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CLO Fund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55,480,626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44,325,000</w:t>
            </w:r>
          </w:p>
        </w:tc>
        <w:tc>
          <w:tcPr>
            <w:tcW w:w="50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72,339,032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51,678,673</w:t>
            </w: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21,944,430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14,504,687</w:t>
            </w:r>
          </w:p>
        </w:tc>
        <w:tc>
          <w:tcPr>
            <w:tcW w:w="500" w:type="dxa"/>
            <w:vAlign w:val="bottom"/>
            <w:gridSpan w:val="2"/>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10,571,007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4,414,684</w:t>
            </w:r>
          </w:p>
        </w:tc>
        <w:tc>
          <w:tcPr>
            <w:tcW w:w="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Asset Manager Affiliates</w:t>
            </w:r>
            <w:r>
              <w:rPr>
                <w:rFonts w:ascii="Times New Roman" w:cs="Times New Roman" w:eastAsia="Times New Roman" w:hAnsi="Times New Roman"/>
                <w:sz w:val="25"/>
                <w:szCs w:val="25"/>
                <w:color w:val="auto"/>
                <w:vertAlign w:val="superscript"/>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17,791,230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3,470,000</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52,591,230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38,849,000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24,914,858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18,390,440</w:t>
            </w:r>
          </w:p>
        </w:tc>
        <w:tc>
          <w:tcPr>
            <w:tcW w:w="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24,914,858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21,516,000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327,152,104</w:t>
            </w: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273,308,349</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40" w:type="dxa"/>
            <w:vAlign w:val="bottom"/>
            <w:tcBorders>
              <w:top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362,895,917</w:t>
            </w: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311,956,156</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-1543050</wp:posOffset>
            </wp:positionV>
            <wp:extent cx="521398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151" w:lineRule="exact"/>
        <w:rPr>
          <w:sz w:val="20"/>
          <w:szCs w:val="20"/>
          <w:color w:val="auto"/>
        </w:rPr>
      </w:pPr>
    </w:p>
    <w:p>
      <w:pPr>
        <w:jc w:val="right"/>
        <w:ind w:left="5280" w:right="4759" w:hanging="4012"/>
        <w:spacing w:after="0" w:line="595" w:lineRule="auto"/>
        <w:tabs>
          <w:tab w:leader="none" w:pos="16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percentage of total portfolio at fair value.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68345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20" w:hanging="352"/>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money market accounts and U.S. treasury bills.</w:t>
      </w:r>
    </w:p>
    <w:p>
      <w:pPr>
        <w:spacing w:after="0" w:line="198"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equity investment in the Asset Manager Affiliates.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industry related information, based on the fair value of the Company’s investment portfolio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 and December 31, 2017, for our investment portfolio was as follows: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11"/>
                <w:szCs w:val="11"/>
                <w:b w:val="1"/>
                <w:bCs w:val="1"/>
                <w:color w:val="auto"/>
                <w:w w:val="82"/>
              </w:rPr>
              <w:t>(1)</w:t>
            </w:r>
          </w:p>
        </w:tc>
        <w:tc>
          <w:tcPr>
            <w:tcW w:w="2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11"/>
                <w:szCs w:val="11"/>
                <w:b w:val="1"/>
                <w:bCs w:val="1"/>
                <w:color w:val="auto"/>
                <w:w w:val="82"/>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5,434,927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4,049,940</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5,636,056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4,115,487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Asset Management Company</w:t>
            </w:r>
            <w:r>
              <w:rPr>
                <w:rFonts w:ascii="Times New Roman" w:cs="Times New Roman" w:eastAsia="Times New Roman" w:hAnsi="Times New Roman"/>
                <w:sz w:val="27"/>
                <w:szCs w:val="27"/>
                <w:color w:val="auto"/>
                <w:vertAlign w:val="superscript"/>
              </w:rPr>
              <w:t>(2)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17,791,230</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3,470,000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52,591,230</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38,849,000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 Finance, Insurance &amp; Real</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8,831,841</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8,733,933</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4,458,962</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4,418,391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5,963,334</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5,796,506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7,496,438</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7,435,050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10,888,432</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9,831,391</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5,454,621</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4,680,821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4,862,063</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4,801,645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55,480,626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44,325,000</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72,339,032</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51,678,673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&amp; Building</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1,400,223</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1,394,163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1,004,093</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999,872</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goods: Durable</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1,140,500</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364,240</w:t>
            </w:r>
          </w:p>
        </w:tc>
        <w:tc>
          <w:tcPr>
            <w:tcW w:w="62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1,071,340</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805,607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goods: Non-durable</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1,434,568</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1,440,525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691,234</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694,662</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3,007,500</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3,007,500</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Oil &amp; Gas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16,827,204</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8,946,568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14,932,542</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11,433,777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Industries</w:t>
            </w: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8,371,180</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6,939,794</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6,330,630</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5,766,437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Forest Products &amp; Paper</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1,564,583</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1,553,920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1,558,556</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1,600,960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&amp; Pharmaceuticals</w:t>
            </w: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38,638,822</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32,287,288</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30,367,449</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25,512,654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23,971,435</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23,662,459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18,229,229</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18,260,577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Gaming &amp; Leisure</w:t>
            </w: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24,914,858</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18,390,440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24,914,858</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21,516,000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Partnership</w:t>
            </w: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12,466,667</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12,466,667</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Advertising, Printing &amp;</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Publishing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6,113,852</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5,590,863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3,371,086</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3,318,296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Loans</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12,777,283</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12,777,283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Business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10,398,710</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9,213,416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3,563,574</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2,366,400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8,351,775</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8,343,919</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6,455,489</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6,466,949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Textiles and Leather</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10,140,662</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9,940,294</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7,950,994</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7,947,940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34,757,129</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34,757,129</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52,293,570</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52,293,570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 Cargo</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4,000,634</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4,000,400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4,000,901</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4,010,000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9,999,349</w:t>
            </w: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9,999,349</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4"/>
                <w:szCs w:val="24"/>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25,006,750</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25,006,750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327,152,104</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273,308,349</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u w:val="single" w:color="auto"/>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362,895,917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311,956,156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-5222240</wp:posOffset>
            </wp:positionV>
            <wp:extent cx="521398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178" w:lineRule="exact"/>
        <w:rPr>
          <w:sz w:val="20"/>
          <w:szCs w:val="20"/>
          <w:color w:val="auto"/>
        </w:rPr>
      </w:pPr>
    </w:p>
    <w:p>
      <w:pPr>
        <w:ind w:left="1620" w:hanging="352"/>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total portfolio at fair value.</w:t>
      </w:r>
    </w:p>
    <w:p>
      <w:pPr>
        <w:spacing w:after="0" w:line="198"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equity investment in the Asset Manager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Securities Portfolio</w:t>
      </w:r>
    </w:p>
    <w:p>
      <w:pPr>
        <w:spacing w:after="0" w:line="108" w:lineRule="exact"/>
        <w:rPr>
          <w:sz w:val="20"/>
          <w:szCs w:val="20"/>
          <w:color w:val="auto"/>
        </w:rPr>
      </w:pPr>
    </w:p>
    <w:p>
      <w:pPr>
        <w:jc w:val="both"/>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At December 31, 2018 and December 31, 2017, the weighted average contractual interest rate on our loans and debt securities was approximately 10.0% and 10.1%, respectively. At December 31, 2018 and December 31, 2017, the weighted average contractual interest rate on our loans and debt securities, adjusted for non-accrual and partial non-accrual investments, was approximately 9.1% and 9.6%, respectively.</w:t>
      </w:r>
    </w:p>
    <w:p>
      <w:pPr>
        <w:spacing w:after="0" w:line="7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 investment portfolio (excluding the Company’s investment in Asset Manager Affiliates, CLO Funds, Joint Venture and short-term investments) at December 31, 2018 was spread across 21 different industries and 51 different entities with an average par balance per entity of approximately $2.8 million. As of December 31, 2018, five of our investments were on non-accrual status.</w:t>
      </w:r>
    </w:p>
    <w:p>
      <w:pPr>
        <w:spacing w:after="0" w:line="72"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December 31, 2018 and December 31, 2017, the total amount of non-qualifying assets to total assets was approximately 28% and 23%, respectively. The majority of non-qualifying assets were foreign investments which were approximately 17% and 16% of the Company’s total assets December 31, 2018 and 2017, respectively (including the Company’s investments in CLO Funds, which are typically domiciled outside the U.S. and represented approximately 16% and 16%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108" w:lineRule="exact"/>
        <w:rPr>
          <w:sz w:val="20"/>
          <w:szCs w:val="20"/>
          <w:color w:val="auto"/>
        </w:rPr>
      </w:pPr>
    </w:p>
    <w:p>
      <w:pPr>
        <w:ind w:left="1260" w:right="819" w:firstLine="360"/>
        <w:spacing w:after="0" w:line="252" w:lineRule="auto"/>
        <w:rPr>
          <w:sz w:val="20"/>
          <w:szCs w:val="20"/>
          <w:color w:val="auto"/>
        </w:rPr>
      </w:pPr>
      <w:r>
        <w:rPr>
          <w:rFonts w:ascii="Times New Roman" w:cs="Times New Roman" w:eastAsia="Times New Roman" w:hAnsi="Times New Roman"/>
          <w:sz w:val="18"/>
          <w:szCs w:val="18"/>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As of December 31, 2018, our Asset Manager Affiliates had approximately $300 million of par value of assets under management on which they earned management fees, and were valued at approximately</w:t>
      </w:r>
    </w:p>
    <w:p>
      <w:pPr>
        <w:spacing w:after="0" w:line="7" w:lineRule="exact"/>
        <w:rPr>
          <w:sz w:val="20"/>
          <w:szCs w:val="20"/>
          <w:color w:val="auto"/>
        </w:rPr>
      </w:pPr>
    </w:p>
    <w:p>
      <w:pPr>
        <w:ind w:left="1260" w:right="819"/>
        <w:spacing w:after="0" w:line="255" w:lineRule="auto"/>
        <w:rPr>
          <w:sz w:val="20"/>
          <w:szCs w:val="20"/>
          <w:color w:val="auto"/>
        </w:rPr>
      </w:pPr>
      <w:r>
        <w:rPr>
          <w:rFonts w:ascii="Times New Roman" w:cs="Times New Roman" w:eastAsia="Times New Roman" w:hAnsi="Times New Roman"/>
          <w:sz w:val="18"/>
          <w:szCs w:val="18"/>
          <w:color w:val="auto"/>
        </w:rPr>
        <w:t>$3.5 million. As of December 31, 2017 our Asset Manager Affiliates had approximately $3.0 billion of par value of assets under management on which they earned management fees, and were valued at approximately $38.8 million.</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Fund Securities</w:t>
      </w:r>
    </w:p>
    <w:p>
      <w:pPr>
        <w:spacing w:after="0" w:line="108" w:lineRule="exact"/>
        <w:rPr>
          <w:sz w:val="20"/>
          <w:szCs w:val="20"/>
          <w:color w:val="auto"/>
        </w:rPr>
      </w:pPr>
    </w:p>
    <w:p>
      <w:pPr>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We have made minority investments in the subordinated securities or preferred stock of CLO Funds managed by the Disposed Manager Affiliates and may selectively invest in securities issued by CLO Funds managed by other asset management companies. As of December 31, 2018 and December 31, 2017, we had approximately $44 million and $52 million, respectively invested in CLO Fund Securities, issued primarily by CLO Funds managed by the Disposed Manager Affiliates.</w:t>
      </w:r>
    </w:p>
    <w:p>
      <w:pPr>
        <w:spacing w:after="0" w:line="76"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CLO Funds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68"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 — Risks Related to Our Investments — Our investments may be risky, and you could lose all or part of your investment.”</w:t>
      </w:r>
    </w:p>
    <w:p>
      <w:pPr>
        <w:spacing w:after="0" w:line="25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CLO Fund Securities as of December 31, 2018 and December 31, 2017 were as follows: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6"/>
        </w:trPr>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00" w:type="dxa"/>
            <w:vAlign w:val="bottom"/>
          </w:tcPr>
          <w:p>
            <w:pPr>
              <w:spacing w:after="0"/>
              <w:rPr>
                <w:sz w:val="14"/>
                <w:szCs w:val="14"/>
                <w:color w:val="auto"/>
              </w:rPr>
            </w:pPr>
          </w:p>
        </w:tc>
        <w:tc>
          <w:tcPr>
            <w:tcW w:w="1600" w:type="dxa"/>
            <w:vAlign w:val="bottom"/>
            <w:gridSpan w:val="3"/>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CLO Fund Securities</w:t>
            </w:r>
          </w:p>
        </w:tc>
        <w:tc>
          <w:tcPr>
            <w:tcW w:w="60" w:type="dxa"/>
            <w:vAlign w:val="bottom"/>
          </w:tcPr>
          <w:p>
            <w:pPr>
              <w:spacing w:after="0"/>
              <w:rPr>
                <w:sz w:val="12"/>
                <w:szCs w:val="12"/>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 w:type="dxa"/>
            <w:vAlign w:val="bottom"/>
            <w:vMerge w:val="restart"/>
          </w:tcPr>
          <w:p>
            <w:pPr>
              <w:spacing w:after="0"/>
              <w:rPr>
                <w:sz w:val="12"/>
                <w:szCs w:val="12"/>
                <w:color w:val="auto"/>
              </w:rPr>
            </w:pPr>
          </w:p>
        </w:tc>
        <w:tc>
          <w:tcPr>
            <w:tcW w:w="580" w:type="dxa"/>
            <w:vAlign w:val="bottom"/>
            <w:vMerge w:val="restart"/>
          </w:tcPr>
          <w:p>
            <w:pPr>
              <w:jc w:val="right"/>
              <w:ind w:right="85"/>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2"/>
                <w:szCs w:val="12"/>
                <w:color w:val="auto"/>
              </w:rPr>
            </w:pPr>
          </w:p>
        </w:tc>
        <w:tc>
          <w:tcPr>
            <w:tcW w:w="920" w:type="dxa"/>
            <w:vAlign w:val="bottom"/>
            <w:gridSpan w:val="2"/>
          </w:tcPr>
          <w:p>
            <w:pPr>
              <w:jc w:val="right"/>
              <w:ind w:right="25"/>
              <w:spacing w:after="0" w:line="143" w:lineRule="exact"/>
              <w:rPr>
                <w:sz w:val="20"/>
                <w:szCs w:val="20"/>
                <w:color w:val="auto"/>
              </w:rPr>
            </w:pPr>
            <w:r>
              <w:rPr>
                <w:rFonts w:ascii="Times New Roman" w:cs="Times New Roman" w:eastAsia="Times New Roman" w:hAnsi="Times New Roman"/>
                <w:sz w:val="13"/>
                <w:szCs w:val="13"/>
                <w:b w:val="1"/>
                <w:bCs w:val="1"/>
                <w:color w:val="auto"/>
                <w:w w:val="90"/>
              </w:rPr>
              <w:t>Cost/Amortized</w:t>
            </w:r>
          </w:p>
        </w:tc>
        <w:tc>
          <w:tcPr>
            <w:tcW w:w="80" w:type="dxa"/>
            <w:vAlign w:val="bottom"/>
          </w:tcPr>
          <w:p>
            <w:pPr>
              <w:spacing w:after="0"/>
              <w:rPr>
                <w:sz w:val="12"/>
                <w:szCs w:val="12"/>
                <w:color w:val="auto"/>
              </w:rPr>
            </w:pPr>
          </w:p>
        </w:tc>
        <w:tc>
          <w:tcPr>
            <w:tcW w:w="780" w:type="dxa"/>
            <w:vAlign w:val="bottom"/>
            <w:vMerge w:val="restart"/>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920" w:type="dxa"/>
            <w:vAlign w:val="bottom"/>
            <w:gridSpan w:val="2"/>
          </w:tcPr>
          <w:p>
            <w:pPr>
              <w:jc w:val="right"/>
              <w:ind w:right="25"/>
              <w:spacing w:after="0" w:line="143" w:lineRule="exact"/>
              <w:rPr>
                <w:sz w:val="20"/>
                <w:szCs w:val="20"/>
                <w:color w:val="auto"/>
              </w:rPr>
            </w:pPr>
            <w:r>
              <w:rPr>
                <w:rFonts w:ascii="Times New Roman" w:cs="Times New Roman" w:eastAsia="Times New Roman" w:hAnsi="Times New Roman"/>
                <w:sz w:val="13"/>
                <w:szCs w:val="13"/>
                <w:b w:val="1"/>
                <w:bCs w:val="1"/>
                <w:color w:val="auto"/>
                <w:w w:val="90"/>
              </w:rPr>
              <w:t>Cost/Amortized</w:t>
            </w:r>
          </w:p>
        </w:tc>
        <w:tc>
          <w:tcPr>
            <w:tcW w:w="100" w:type="dxa"/>
            <w:vAlign w:val="bottom"/>
          </w:tcPr>
          <w:p>
            <w:pPr>
              <w:spacing w:after="0"/>
              <w:rPr>
                <w:sz w:val="12"/>
                <w:szCs w:val="12"/>
                <w:color w:val="auto"/>
              </w:rPr>
            </w:pPr>
          </w:p>
        </w:tc>
        <w:tc>
          <w:tcPr>
            <w:tcW w:w="680" w:type="dxa"/>
            <w:vAlign w:val="bottom"/>
            <w:vMerge w:val="restart"/>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5"/>
                <w:szCs w:val="15"/>
                <w:color w:val="auto"/>
              </w:rPr>
              <w:t>Grant Grove CLO, Ltd.</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Subordinated Securities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  $</w:t>
            </w: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2,485,886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26"/>
        </w:trPr>
        <w:tc>
          <w:tcPr>
            <w:tcW w:w="2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Katonah III, Ltd.</w:t>
            </w:r>
          </w:p>
        </w:tc>
        <w:tc>
          <w:tcPr>
            <w:tcW w:w="6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 Shares</w:t>
            </w:r>
          </w:p>
        </w:tc>
        <w:tc>
          <w:tcPr>
            <w:tcW w:w="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1,287,155</w:t>
            </w:r>
          </w:p>
        </w:tc>
        <w:tc>
          <w:tcPr>
            <w:tcW w:w="8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369,280</w:t>
            </w:r>
          </w:p>
        </w:tc>
        <w:tc>
          <w:tcPr>
            <w:tcW w:w="100" w:type="dxa"/>
            <w:vAlign w:val="bottom"/>
          </w:tcPr>
          <w:p>
            <w:pPr>
              <w:spacing w:after="0"/>
              <w:rPr>
                <w:sz w:val="19"/>
                <w:szCs w:val="19"/>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1,287,155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369,280</w:t>
            </w:r>
          </w:p>
        </w:tc>
        <w:tc>
          <w:tcPr>
            <w:tcW w:w="0" w:type="dxa"/>
            <w:vAlign w:val="bottom"/>
          </w:tcPr>
          <w:p>
            <w:pPr>
              <w:spacing w:after="0"/>
              <w:rPr>
                <w:sz w:val="1"/>
                <w:szCs w:val="1"/>
                <w:color w:val="auto"/>
              </w:rPr>
            </w:pPr>
          </w:p>
        </w:tc>
      </w:tr>
      <w:tr>
        <w:trPr>
          <w:trHeight w:val="247"/>
        </w:trPr>
        <w:tc>
          <w:tcPr>
            <w:tcW w:w="242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5"/>
                <w:szCs w:val="15"/>
                <w:color w:val="auto"/>
              </w:rPr>
              <w:t>Katonah 2007-I CLO Ltd.</w:t>
            </w:r>
            <w:r>
              <w:rPr>
                <w:rFonts w:ascii="Times New Roman" w:cs="Times New Roman" w:eastAsia="Times New Roman" w:hAnsi="Times New Roman"/>
                <w:sz w:val="23"/>
                <w:szCs w:val="23"/>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w:t>
            </w:r>
          </w:p>
        </w:tc>
        <w:tc>
          <w:tcPr>
            <w:tcW w:w="5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20,524,908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10,770,486</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line="243" w:lineRule="exact"/>
              <w:rPr>
                <w:sz w:val="20"/>
                <w:szCs w:val="20"/>
                <w:color w:val="auto"/>
              </w:rPr>
            </w:pPr>
            <w:r>
              <w:rPr>
                <w:rFonts w:ascii="Times New Roman" w:cs="Times New Roman" w:eastAsia="Times New Roman" w:hAnsi="Times New Roman"/>
                <w:sz w:val="15"/>
                <w:szCs w:val="15"/>
                <w:color w:val="auto"/>
              </w:rPr>
              <w:t>Trimaran CLO VII, Ltd.</w:t>
            </w:r>
            <w:r>
              <w:rPr>
                <w:rFonts w:ascii="Times New Roman" w:cs="Times New Roman" w:eastAsia="Times New Roman" w:hAnsi="Times New Roman"/>
                <w:sz w:val="23"/>
                <w:szCs w:val="23"/>
                <w:color w:val="auto"/>
                <w:vertAlign w:val="superscript"/>
              </w:rPr>
              <w:t>(2),(3)</w:t>
            </w:r>
          </w:p>
        </w:tc>
        <w:tc>
          <w:tcPr>
            <w:tcW w:w="6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Notes</w:t>
            </w:r>
          </w:p>
        </w:tc>
        <w:tc>
          <w:tcPr>
            <w:tcW w:w="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379,830</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5"/>
                <w:szCs w:val="15"/>
                <w:color w:val="auto"/>
              </w:rPr>
              <w:t>Catamaran CLO 2012-1 Ltd.</w:t>
            </w:r>
            <w:r>
              <w:rPr>
                <w:rFonts w:ascii="Times New Roman" w:cs="Times New Roman" w:eastAsia="Times New Roman" w:hAnsi="Times New Roman"/>
                <w:sz w:val="23"/>
                <w:szCs w:val="23"/>
                <w:color w:val="auto"/>
                <w:vertAlign w:val="superscript"/>
              </w:rPr>
              <w:t>(2),(3)</w:t>
            </w:r>
          </w:p>
        </w:tc>
        <w:tc>
          <w:tcPr>
            <w:tcW w:w="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Subordinated Notes</w:t>
            </w:r>
          </w:p>
        </w:tc>
        <w:tc>
          <w:tcPr>
            <w:tcW w:w="5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5,847,802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2,320,783</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line="243" w:lineRule="exact"/>
              <w:rPr>
                <w:sz w:val="20"/>
                <w:szCs w:val="20"/>
                <w:color w:val="auto"/>
              </w:rPr>
            </w:pPr>
            <w:r>
              <w:rPr>
                <w:rFonts w:ascii="Times New Roman" w:cs="Times New Roman" w:eastAsia="Times New Roman" w:hAnsi="Times New Roman"/>
                <w:sz w:val="15"/>
                <w:szCs w:val="15"/>
                <w:color w:val="auto"/>
              </w:rPr>
              <w:t>Catamaran CLO 2013- 1 Ltd.</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Subordinated Notes</w:t>
            </w:r>
          </w:p>
        </w:tc>
        <w:tc>
          <w:tcPr>
            <w:tcW w:w="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6,378,611</w:t>
            </w:r>
          </w:p>
        </w:tc>
        <w:tc>
          <w:tcPr>
            <w:tcW w:w="80" w:type="dxa"/>
            <w:vAlign w:val="bottom"/>
          </w:tcPr>
          <w:p>
            <w:pPr>
              <w:spacing w:after="0"/>
              <w:rPr>
                <w:sz w:val="21"/>
                <w:szCs w:val="21"/>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7,016,733</w:t>
            </w: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5,017,307</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6,923,699</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5"/>
                <w:szCs w:val="15"/>
                <w:color w:val="auto"/>
              </w:rPr>
              <w:t>Dryden 30 Senior Loan Fund</w:t>
            </w:r>
            <w:r>
              <w:rPr>
                <w:rFonts w:ascii="Times New Roman" w:cs="Times New Roman" w:eastAsia="Times New Roman" w:hAnsi="Times New Roman"/>
                <w:sz w:val="23"/>
                <w:szCs w:val="23"/>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Subordinated Notes</w:t>
            </w:r>
          </w:p>
        </w:tc>
        <w:tc>
          <w:tcPr>
            <w:tcW w:w="5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1,438,701</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1,913,925</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1,353,852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1,820,000</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line="243" w:lineRule="exact"/>
              <w:rPr>
                <w:sz w:val="20"/>
                <w:szCs w:val="20"/>
                <w:color w:val="auto"/>
              </w:rPr>
            </w:pPr>
            <w:r>
              <w:rPr>
                <w:rFonts w:ascii="Times New Roman" w:cs="Times New Roman" w:eastAsia="Times New Roman" w:hAnsi="Times New Roman"/>
                <w:sz w:val="15"/>
                <w:szCs w:val="15"/>
                <w:color w:val="auto"/>
              </w:rPr>
              <w:t>Catamaran CLO 2014-1 Ltd.</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Subordinated Notes</w:t>
            </w:r>
          </w:p>
        </w:tc>
        <w:tc>
          <w:tcPr>
            <w:tcW w:w="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11,740,622</w:t>
            </w:r>
          </w:p>
        </w:tc>
        <w:tc>
          <w:tcPr>
            <w:tcW w:w="80" w:type="dxa"/>
            <w:vAlign w:val="bottom"/>
          </w:tcPr>
          <w:p>
            <w:pPr>
              <w:spacing w:after="0"/>
              <w:rPr>
                <w:sz w:val="21"/>
                <w:szCs w:val="21"/>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9,777,251</w:t>
            </w: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9,858,073</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8,230,178</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KCAP F3C Senior Funding LLC</w:t>
            </w:r>
          </w:p>
        </w:tc>
        <w:tc>
          <w:tcPr>
            <w:tcW w:w="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E Notes</w:t>
            </w:r>
          </w:p>
        </w:tc>
        <w:tc>
          <w:tcPr>
            <w:tcW w:w="5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27.4</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4,407,106</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4,473,840</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4,435,965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4,632,000</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line="243" w:lineRule="exact"/>
              <w:rPr>
                <w:sz w:val="20"/>
                <w:szCs w:val="20"/>
                <w:color w:val="auto"/>
              </w:rPr>
            </w:pPr>
            <w:r>
              <w:rPr>
                <w:rFonts w:ascii="Times New Roman" w:cs="Times New Roman" w:eastAsia="Times New Roman" w:hAnsi="Times New Roman"/>
                <w:sz w:val="15"/>
                <w:szCs w:val="15"/>
                <w:color w:val="auto"/>
              </w:rPr>
              <w:t>Catamaran CLO 2014- 2 Ltd.</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Subordinated Notes</w:t>
            </w:r>
          </w:p>
        </w:tc>
        <w:tc>
          <w:tcPr>
            <w:tcW w:w="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6,314,484</w:t>
            </w:r>
          </w:p>
        </w:tc>
        <w:tc>
          <w:tcPr>
            <w:tcW w:w="80" w:type="dxa"/>
            <w:vAlign w:val="bottom"/>
          </w:tcPr>
          <w:p>
            <w:pPr>
              <w:spacing w:after="0"/>
              <w:rPr>
                <w:sz w:val="21"/>
                <w:szCs w:val="21"/>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2,158,200</w:t>
            </w: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6,642,805</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4,500,962</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5"/>
                <w:szCs w:val="15"/>
                <w:color w:val="auto"/>
              </w:rPr>
              <w:t>Catamaran CLO 2015-1 Ltd.</w:t>
            </w:r>
            <w:r>
              <w:rPr>
                <w:rFonts w:ascii="Times New Roman" w:cs="Times New Roman" w:eastAsia="Times New Roman" w:hAnsi="Times New Roman"/>
                <w:sz w:val="23"/>
                <w:szCs w:val="23"/>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Subordinated Notes</w:t>
            </w:r>
          </w:p>
        </w:tc>
        <w:tc>
          <w:tcPr>
            <w:tcW w:w="5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4,353,347</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3,048,698</w:t>
            </w:r>
          </w:p>
        </w:tc>
        <w:tc>
          <w:tcPr>
            <w:tcW w:w="1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4,418,647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3,569,600</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line="243" w:lineRule="exact"/>
              <w:rPr>
                <w:sz w:val="20"/>
                <w:szCs w:val="20"/>
                <w:color w:val="auto"/>
              </w:rPr>
            </w:pPr>
            <w:r>
              <w:rPr>
                <w:rFonts w:ascii="Times New Roman" w:cs="Times New Roman" w:eastAsia="Times New Roman" w:hAnsi="Times New Roman"/>
                <w:sz w:val="15"/>
                <w:szCs w:val="15"/>
                <w:color w:val="auto"/>
              </w:rPr>
              <w:t>Catamaran CLO 2016-1 Ltd.</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Subordinated Notes</w:t>
            </w:r>
          </w:p>
        </w:tc>
        <w:tc>
          <w:tcPr>
            <w:tcW w:w="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9,717,150</w:t>
            </w:r>
          </w:p>
        </w:tc>
        <w:tc>
          <w:tcPr>
            <w:tcW w:w="80" w:type="dxa"/>
            <w:vAlign w:val="bottom"/>
          </w:tcPr>
          <w:p>
            <w:pPr>
              <w:spacing w:after="0"/>
              <w:rPr>
                <w:sz w:val="21"/>
                <w:szCs w:val="21"/>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7,067,073</w:t>
            </w:r>
          </w:p>
        </w:tc>
        <w:tc>
          <w:tcPr>
            <w:tcW w:w="10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10,086,802</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8,530,685</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5"/>
                <w:szCs w:val="15"/>
                <w:color w:val="auto"/>
              </w:rPr>
              <w:t>Catamaran CLO 2018-1 Ltd.</w:t>
            </w:r>
            <w:r>
              <w:rPr>
                <w:rFonts w:ascii="Times New Roman" w:cs="Times New Roman" w:eastAsia="Times New Roman" w:hAnsi="Times New Roman"/>
                <w:sz w:val="23"/>
                <w:szCs w:val="23"/>
                <w:color w:val="auto"/>
                <w:vertAlign w:val="superscript"/>
              </w:rPr>
              <w:t>(2)</w:t>
            </w:r>
          </w:p>
        </w:tc>
        <w:tc>
          <w:tcPr>
            <w:tcW w:w="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Subordinated Notes</w:t>
            </w:r>
          </w:p>
        </w:tc>
        <w:tc>
          <w:tcPr>
            <w:tcW w:w="5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24.8</w:t>
            </w: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9,843,450</w:t>
            </w: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8,500,000</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55,480,626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44,325,000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72,339,032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51,678,673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94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-2374900</wp:posOffset>
            </wp:positionV>
            <wp:extent cx="34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-2374900</wp:posOffset>
            </wp:positionV>
            <wp:extent cx="342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-2374900</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-2374900</wp:posOffset>
            </wp:positionV>
            <wp:extent cx="342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-2374900</wp:posOffset>
            </wp:positionV>
            <wp:extent cx="34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-2374900</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ind w:left="1620" w:hanging="352"/>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percentage of class held as of December 31, 2018.</w:t>
      </w:r>
    </w:p>
    <w:p>
      <w:pPr>
        <w:spacing w:after="0" w:line="198" w:lineRule="exact"/>
        <w:rPr>
          <w:rFonts w:ascii="Times New Roman" w:cs="Times New Roman" w:eastAsia="Times New Roman" w:hAnsi="Times New Roman"/>
          <w:sz w:val="18"/>
          <w:szCs w:val="18"/>
          <w:color w:val="auto"/>
        </w:rPr>
      </w:pPr>
    </w:p>
    <w:p>
      <w:pPr>
        <w:ind w:left="1620" w:right="959" w:hanging="352"/>
        <w:spacing w:after="0" w:line="266"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 Fund managed by a Disposed Manager Affiliate as of December 31, 2017. Other than KCAP F3C Senior Funding LLC, none of our CLO Fund securities investments were managed by affiliates as of December 31, 2018.</w:t>
      </w:r>
    </w:p>
    <w:p>
      <w:pPr>
        <w:spacing w:after="0" w:line="135"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CLO Fund Security was fully liquidated in 2018.</w:t>
      </w:r>
    </w:p>
    <w:p>
      <w:pPr>
        <w:spacing w:after="0" w:line="117"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81"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Similarly, during the fourth quarter of 2018, each of Grant Grove CLO, Ltd., Trimaran CLO VII, Ltd., and Catamaran 2012-1 Ltd. were fully liquidated and dissolved, and the Company recorded a realized loss of approximately $6.4 million and a corresponding unrealized gain of the same amount in order to revere the previously recorded unrealized depreciation with respect to these investments.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in Joint Venture</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KCAP F3C Senior Funding, L.L.C.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2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39" w:firstLine="360"/>
        <w:spacing w:after="0" w:line="257" w:lineRule="auto"/>
        <w:rPr>
          <w:sz w:val="20"/>
          <w:szCs w:val="20"/>
          <w:color w:val="auto"/>
        </w:rPr>
      </w:pPr>
      <w:r>
        <w:rPr>
          <w:rFonts w:ascii="Times New Roman" w:cs="Times New Roman" w:eastAsia="Times New Roman" w:hAnsi="Times New Roman"/>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w:t>
      </w:r>
    </w:p>
    <w:p>
      <w:pPr>
        <w:spacing w:after="0" w:line="2" w:lineRule="exact"/>
        <w:rPr>
          <w:sz w:val="20"/>
          <w:szCs w:val="20"/>
          <w:color w:val="auto"/>
        </w:rPr>
      </w:pPr>
    </w:p>
    <w:p>
      <w:pPr>
        <w:ind w:left="1260" w:right="999"/>
        <w:spacing w:after="0" w:line="253" w:lineRule="auto"/>
        <w:rPr>
          <w:sz w:val="20"/>
          <w:szCs w:val="20"/>
          <w:color w:val="auto"/>
        </w:rPr>
      </w:pPr>
      <w:r>
        <w:rPr>
          <w:rFonts w:ascii="Times New Roman" w:cs="Times New Roman" w:eastAsia="Times New Roman" w:hAnsi="Times New Roman"/>
          <w:sz w:val="18"/>
          <w:szCs w:val="18"/>
          <w:color w:val="auto"/>
        </w:rPr>
        <w:t>$11.8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79"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81"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7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Summarized Statement of Financial Consolidation</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at fair value</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32,621,188</w:t>
            </w:r>
          </w:p>
        </w:tc>
        <w:tc>
          <w:tcPr>
            <w:tcW w:w="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37,080,000</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right w:val="single" w:sz="8" w:color="CCEEFF"/>
            </w:tcBorders>
            <w:shd w:val="clear" w:color="auto" w:fill="CCEEFF"/>
          </w:tcPr>
          <w:p>
            <w:pPr>
              <w:spacing w:after="0"/>
              <w:rPr>
                <w:sz w:val="22"/>
                <w:szCs w:val="22"/>
                <w:color w:val="auto"/>
              </w:rPr>
            </w:pPr>
          </w:p>
        </w:tc>
        <w:tc>
          <w:tcPr>
            <w:tcW w:w="11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$32,621,188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37,081,717</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1,970,455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1,221,916</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30,650,733</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35,859,801</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32,621,188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37,081,717</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3220"/>
              <w:spacing w:after="0"/>
              <w:rPr>
                <w:sz w:val="20"/>
                <w:szCs w:val="20"/>
                <w:color w:val="auto"/>
              </w:rPr>
            </w:pPr>
            <w:r>
              <w:rPr>
                <w:rFonts w:ascii="Times New Roman" w:cs="Times New Roman" w:eastAsia="Times New Roman" w:hAnsi="Times New Roman"/>
                <w:sz w:val="18"/>
                <w:szCs w:val="18"/>
                <w:b w:val="1"/>
                <w:bCs w:val="1"/>
                <w:color w:val="auto"/>
              </w:rPr>
              <w:t>KCAP Freedom 3 LLC</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4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4,800,844</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2,531,331</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(126,786)</w:t>
            </w:r>
          </w:p>
        </w:tc>
        <w:tc>
          <w:tcPr>
            <w:tcW w:w="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(435,757)</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4,674,058</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2,095,574</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Unrealized depreciation on investments</w:t>
            </w:r>
          </w:p>
        </w:tc>
        <w:tc>
          <w:tcPr>
            <w:tcW w:w="24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(4,951,938)</w:t>
            </w:r>
          </w:p>
        </w:tc>
        <w:tc>
          <w:tcPr>
            <w:tcW w:w="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(5,063,254)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(277,880)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(2,967,680)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-2203450</wp:posOffset>
            </wp:positionV>
            <wp:extent cx="46393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-2572385</wp:posOffset>
            </wp:positionV>
            <wp:extent cx="46393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-2915285</wp:posOffset>
            </wp:positionV>
            <wp:extent cx="46310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310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52139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-882650</wp:posOffset>
            </wp:positionV>
            <wp:extent cx="46139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1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by Joint</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20" w:type="dxa"/>
            <w:vAlign w:val="bottom"/>
          </w:tcPr>
          <w:p>
            <w:pPr>
              <w:spacing w:after="0"/>
              <w:rPr>
                <w:sz w:val="16"/>
                <w:szCs w:val="16"/>
                <w:color w:val="auto"/>
              </w:rPr>
            </w:pPr>
          </w:p>
        </w:tc>
        <w:tc>
          <w:tcPr>
            <w:tcW w:w="24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Venture</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4"/>
        </w:trPr>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24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KCAP F3C Senior Funding,</w:t>
            </w:r>
          </w:p>
        </w:tc>
        <w:tc>
          <w:tcPr>
            <w:tcW w:w="2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Subordinated Securities,</w:t>
            </w:r>
          </w:p>
        </w:tc>
        <w:tc>
          <w:tcPr>
            <w:tcW w:w="960" w:type="dxa"/>
            <w:vAlign w:val="bottom"/>
            <w:tcBorders>
              <w:right w:val="single" w:sz="8" w:color="CCEEFF"/>
            </w:tcBorders>
            <w:gridSpan w:val="2"/>
            <w:shd w:val="clear" w:color="auto" w:fill="CCEEFF"/>
          </w:tcPr>
          <w:p>
            <w:pPr>
              <w:jc w:val="right"/>
              <w:ind w:right="240"/>
              <w:spacing w:after="0" w:line="183" w:lineRule="exact"/>
              <w:rPr>
                <w:sz w:val="20"/>
                <w:szCs w:val="20"/>
                <w:color w:val="auto"/>
              </w:rPr>
            </w:pPr>
            <w:r>
              <w:rPr>
                <w:rFonts w:ascii="Times New Roman" w:cs="Times New Roman" w:eastAsia="Times New Roman" w:hAnsi="Times New Roman"/>
                <w:sz w:val="18"/>
                <w:szCs w:val="18"/>
                <w:color w:val="auto"/>
              </w:rPr>
              <w:t>100.0%</w:t>
            </w:r>
          </w:p>
        </w:tc>
        <w:tc>
          <w:tcPr>
            <w:tcW w:w="940" w:type="dxa"/>
            <w:vAlign w:val="bottom"/>
            <w:tcBorders>
              <w:right w:val="single" w:sz="8" w:color="CCEEFF"/>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$42,636,380</w:t>
            </w:r>
          </w:p>
        </w:tc>
        <w:tc>
          <w:tcPr>
            <w:tcW w:w="24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$32,621,188</w:t>
            </w:r>
          </w:p>
        </w:tc>
      </w:tr>
      <w:tr>
        <w:trPr>
          <w:trHeight w:val="251"/>
        </w:trPr>
        <w:tc>
          <w:tcPr>
            <w:tcW w:w="2480" w:type="dxa"/>
            <w:vAlign w:val="bottom"/>
            <w:shd w:val="clear" w:color="auto" w:fill="CCEEFF"/>
          </w:tcPr>
          <w:p>
            <w:pPr>
              <w:ind w:left="180"/>
              <w:spacing w:after="0" w:line="251"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2"/>
                <w:szCs w:val="12"/>
                <w:color w:val="auto"/>
              </w:rPr>
              <w:t>(1)(2)</w:t>
            </w:r>
          </w:p>
        </w:tc>
        <w:tc>
          <w:tcPr>
            <w:tcW w:w="2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interest 11.5%, 12/29</w:t>
            </w:r>
          </w:p>
        </w:tc>
        <w:tc>
          <w:tcPr>
            <w:tcW w:w="7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1"/>
        </w:trPr>
        <w:tc>
          <w:tcPr>
            <w:tcW w:w="2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50"/>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42,636,380</w:t>
            </w:r>
          </w:p>
        </w:tc>
        <w:tc>
          <w:tcPr>
            <w:tcW w:w="2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32,621,188</w:t>
            </w:r>
          </w:p>
        </w:tc>
      </w:tr>
      <w:tr>
        <w:trPr>
          <w:trHeight w:val="20"/>
        </w:trPr>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-650875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-650875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-650875</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-650875</wp:posOffset>
            </wp:positionV>
            <wp:extent cx="137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3" w:lineRule="exact"/>
        <w:rPr>
          <w:sz w:val="20"/>
          <w:szCs w:val="20"/>
          <w:color w:val="auto"/>
        </w:rPr>
      </w:pPr>
    </w:p>
    <w:p>
      <w:pPr>
        <w:ind w:left="1620" w:right="879" w:hanging="352"/>
        <w:spacing w:after="0" w:line="258"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35" w:lineRule="exact"/>
        <w:rPr>
          <w:rFonts w:ascii="Times New Roman" w:cs="Times New Roman" w:eastAsia="Times New Roman" w:hAnsi="Times New Roman"/>
          <w:sz w:val="18"/>
          <w:szCs w:val="18"/>
          <w:color w:val="auto"/>
        </w:rPr>
      </w:pPr>
    </w:p>
    <w:p>
      <w:pPr>
        <w:ind w:left="1620" w:right="879" w:hanging="352"/>
        <w:spacing w:after="0" w:line="282"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1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by Joint</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20" w:type="dxa"/>
            <w:vAlign w:val="bottom"/>
          </w:tcPr>
          <w:p>
            <w:pPr>
              <w:spacing w:after="0"/>
              <w:rPr>
                <w:sz w:val="16"/>
                <w:szCs w:val="16"/>
                <w:color w:val="auto"/>
              </w:rPr>
            </w:pPr>
          </w:p>
        </w:tc>
        <w:tc>
          <w:tcPr>
            <w:tcW w:w="24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Venture</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4"/>
        </w:trPr>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24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KCAP F3C Senior Funding,</w:t>
            </w:r>
          </w:p>
        </w:tc>
        <w:tc>
          <w:tcPr>
            <w:tcW w:w="2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Subordinated Securities,</w:t>
            </w:r>
          </w:p>
        </w:tc>
        <w:tc>
          <w:tcPr>
            <w:tcW w:w="960" w:type="dxa"/>
            <w:vAlign w:val="bottom"/>
            <w:tcBorders>
              <w:right w:val="single" w:sz="8" w:color="CCEEFF"/>
            </w:tcBorders>
            <w:gridSpan w:val="2"/>
            <w:shd w:val="clear" w:color="auto" w:fill="CCEEFF"/>
          </w:tcPr>
          <w:p>
            <w:pPr>
              <w:jc w:val="right"/>
              <w:ind w:right="240"/>
              <w:spacing w:after="0" w:line="183" w:lineRule="exact"/>
              <w:rPr>
                <w:sz w:val="20"/>
                <w:szCs w:val="20"/>
                <w:color w:val="auto"/>
              </w:rPr>
            </w:pPr>
            <w:r>
              <w:rPr>
                <w:rFonts w:ascii="Times New Roman" w:cs="Times New Roman" w:eastAsia="Times New Roman" w:hAnsi="Times New Roman"/>
                <w:sz w:val="18"/>
                <w:szCs w:val="18"/>
                <w:color w:val="auto"/>
              </w:rPr>
              <w:t>100.0%</w:t>
            </w:r>
          </w:p>
        </w:tc>
        <w:tc>
          <w:tcPr>
            <w:tcW w:w="940" w:type="dxa"/>
            <w:vAlign w:val="bottom"/>
            <w:tcBorders>
              <w:right w:val="single" w:sz="8" w:color="CCEEFF"/>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$42,143,254</w:t>
            </w:r>
          </w:p>
        </w:tc>
        <w:tc>
          <w:tcPr>
            <w:tcW w:w="24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$37,080,000</w:t>
            </w:r>
          </w:p>
        </w:tc>
      </w:tr>
      <w:tr>
        <w:trPr>
          <w:trHeight w:val="251"/>
        </w:trPr>
        <w:tc>
          <w:tcPr>
            <w:tcW w:w="2480" w:type="dxa"/>
            <w:vAlign w:val="bottom"/>
            <w:shd w:val="clear" w:color="auto" w:fill="CCEEFF"/>
          </w:tcPr>
          <w:p>
            <w:pPr>
              <w:ind w:left="180"/>
              <w:spacing w:after="0" w:line="251"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2"/>
                <w:szCs w:val="12"/>
                <w:color w:val="auto"/>
              </w:rPr>
              <w:t>(1)(2)</w:t>
            </w:r>
          </w:p>
        </w:tc>
        <w:tc>
          <w:tcPr>
            <w:tcW w:w="2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interest 12.1%, 12/29</w:t>
            </w:r>
          </w:p>
        </w:tc>
        <w:tc>
          <w:tcPr>
            <w:tcW w:w="7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1"/>
        </w:trPr>
        <w:tc>
          <w:tcPr>
            <w:tcW w:w="2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50"/>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42,143,254</w:t>
            </w:r>
          </w:p>
        </w:tc>
        <w:tc>
          <w:tcPr>
            <w:tcW w:w="2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37,080,000</w:t>
            </w:r>
          </w:p>
        </w:tc>
      </w:tr>
      <w:tr>
        <w:trPr>
          <w:trHeight w:val="20"/>
        </w:trPr>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-650875</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-650875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-650875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-650875</wp:posOffset>
            </wp:positionV>
            <wp:extent cx="137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3" w:lineRule="exact"/>
        <w:rPr>
          <w:sz w:val="20"/>
          <w:szCs w:val="20"/>
          <w:color w:val="auto"/>
        </w:rPr>
      </w:pPr>
    </w:p>
    <w:p>
      <w:pPr>
        <w:ind w:left="1620" w:right="879" w:hanging="352"/>
        <w:spacing w:after="0" w:line="258"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35" w:lineRule="exact"/>
        <w:rPr>
          <w:rFonts w:ascii="Times New Roman" w:cs="Times New Roman" w:eastAsia="Times New Roman" w:hAnsi="Times New Roman"/>
          <w:sz w:val="18"/>
          <w:szCs w:val="18"/>
          <w:color w:val="auto"/>
        </w:rPr>
      </w:pPr>
    </w:p>
    <w:p>
      <w:pPr>
        <w:ind w:left="1620" w:right="919" w:hanging="352"/>
        <w:spacing w:after="0" w:line="282"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this investment was determined using significant unobservable inputs, including a third-party broker quote.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0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On March 1, 2018, KCAP Funding I, LLC (“Funding”), a wholly-owned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7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w:t>
      </w:r>
    </w:p>
    <w:p>
      <w:pPr>
        <w:spacing w:after="0" w:line="3" w:lineRule="exact"/>
        <w:rPr>
          <w:sz w:val="20"/>
          <w:szCs w:val="20"/>
          <w:color w:val="auto"/>
        </w:rPr>
      </w:pPr>
    </w:p>
    <w:p>
      <w:pPr>
        <w:ind w:left="1260" w:right="859"/>
        <w:spacing w:after="0" w:line="261" w:lineRule="auto"/>
        <w:rPr>
          <w:sz w:val="20"/>
          <w:szCs w:val="20"/>
          <w:color w:val="auto"/>
        </w:rPr>
      </w:pPr>
      <w:r>
        <w:rPr>
          <w:rFonts w:ascii="Times New Roman" w:cs="Times New Roman" w:eastAsia="Times New Roman" w:hAnsi="Times New Roman"/>
          <w:sz w:val="18"/>
          <w:szCs w:val="18"/>
          <w:color w:val="auto"/>
        </w:rPr>
        <w:t>0.375% per annum; provided that if 50% or less of the Revolving Credit Facility is drawn, the fee will be 0.50% per annum.</w:t>
      </w:r>
    </w:p>
    <w:p>
      <w:pPr>
        <w:sectPr>
          <w:pgSz w:w="11900" w:h="16838" w:orient="portrait"/>
          <w:cols w:equalWidth="0" w:num="1">
            <w:col w:w="10219"/>
          </w:cols>
          <w:pgMar w:left="240" w:top="114" w:right="1440" w:bottom="1440" w:gutter="0" w:footer="0" w:header="0"/>
        </w:sectPr>
      </w:pPr>
    </w:p>
    <w:p>
      <w:pPr>
        <w:spacing w:after="0" w:line="24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6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maturity date is the earlier of: (a) March 1, 2022 and (b) the date upon which all loans shall become due and payable in full, whether by acceleration or otherwise, as a result of a default by the Company, as defined in the Revolving Credit Facility.</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Borrowings under the Revolving Credit Facility are repayable by the Company at any time.</w:t>
      </w:r>
    </w:p>
    <w:p>
      <w:pPr>
        <w:spacing w:after="0" w:line="117"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December 31, 2018, Funding was in compliance with all of its debt covenants.</w:t>
      </w:r>
    </w:p>
    <w:p>
      <w:pPr>
        <w:spacing w:after="0" w:line="80"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2018, $26.4 million principal amount of borrowings was outstanding under the Revolving Credit Facility.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a discussion of our results of operations for December 31, 2018, 2017, and 2016.</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4"/>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7"/>
                <w:szCs w:val="17"/>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from investments in debt securities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$16,005,663</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$15,063,193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$20,828,916</w:t>
            </w:r>
          </w:p>
        </w:tc>
      </w:tr>
      <w:tr>
        <w:trPr>
          <w:trHeight w:val="225"/>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from U.S. Treasury Bills and money market</w:t>
            </w: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8"/>
        </w:trPr>
        <w:tc>
          <w:tcPr>
            <w:tcW w:w="50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76,055</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71,934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29,383</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on CLO Fund Securities managed by</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1"/>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6,024,935</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10,807,490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12,642,625</w:t>
            </w:r>
          </w:p>
        </w:tc>
      </w:tr>
      <w:tr>
        <w:trPr>
          <w:trHeight w:val="232"/>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 on CLO Fund Securities managed by non-</w:t>
            </w: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8"/>
        </w:trPr>
        <w:tc>
          <w:tcPr>
            <w:tcW w:w="50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affiliates</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388,237</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420,766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630,647</w:t>
            </w: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from Asset Manager Affiliates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1,246,510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460,000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r>
      <w:tr>
        <w:trPr>
          <w:trHeight w:val="257"/>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3,100,000</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949,037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structuring service fees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245,393</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491,279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668,527</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57"/>
        </w:trPr>
        <w:tc>
          <w:tcPr>
            <w:tcW w:w="50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27,086,793</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28,263,699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36,200,098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-196850</wp:posOffset>
            </wp:positionV>
            <wp:extent cx="1460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9192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-1929130</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-1929130</wp:posOffset>
            </wp:positionV>
            <wp:extent cx="39103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91"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Revenues consist primarily of investment income from interest and dividends on our investment portfolio and various ancillary fees related to our investment holdings.</w:t>
      </w:r>
    </w:p>
    <w:p>
      <w:pPr>
        <w:spacing w:after="0" w:line="52" w:lineRule="exact"/>
        <w:rPr>
          <w:sz w:val="20"/>
          <w:szCs w:val="20"/>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Interest from Investments in Debt Securities</w:t>
      </w:r>
      <w:r>
        <w:rPr>
          <w:rFonts w:ascii="Times New Roman" w:cs="Times New Roman" w:eastAsia="Times New Roman" w:hAnsi="Times New Roman"/>
          <w:sz w:val="18"/>
          <w:szCs w:val="18"/>
          <w:color w:val="auto"/>
        </w:rPr>
        <w:t>. We generate interest income from our investments in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consist primarily of senior and 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23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Investment Income on Investments in CLO Fund Securities</w:t>
      </w:r>
      <w:r>
        <w:rPr>
          <w:rFonts w:ascii="Times New Roman" w:cs="Times New Roman" w:eastAsia="Times New Roman" w:hAnsi="Times New Roman"/>
          <w:sz w:val="18"/>
          <w:szCs w:val="18"/>
          <w:color w:val="auto"/>
        </w:rPr>
        <w:t>. We generate investment income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the securities (typically preferred shares or subordinated securities) of CLO Funds. The Company distinguishes CLO Funds managed by its Asset Manager Affiliates as “CLO Fund Securities Managed by Affiliates”, in its consolidated financial statements. Since the Asset Manager Affiliates were owned throughout 2018 and sold on December 31, 2018, investment income on these CLO Fund securities is reflected on the statement of operations for the year December 31, 2018 as “managed by affiliates”, while on the consolidated balance sheet at December 31, 2018 these investments are reflected as “managed by non-affiliates”.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86"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7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For non-junior class CLO Fund Securities, such as our investment in the Class E notes of KCAP F3C Senior Funding, L.L.C., interest is earned at a fixed spread relative to the LIBOR index.</w:t>
      </w:r>
    </w:p>
    <w:p>
      <w:pPr>
        <w:spacing w:after="0" w:line="52"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Distributions from Asset Manager Affiliates. </w:t>
      </w:r>
      <w:r>
        <w:rPr>
          <w:rFonts w:ascii="Times New Roman" w:cs="Times New Roman" w:eastAsia="Times New Roman" w:hAnsi="Times New Roman"/>
          <w:sz w:val="18"/>
          <w:szCs w:val="18"/>
          <w:color w:val="auto"/>
        </w:rPr>
        <w:t>Substantially all of the investment in the Asset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was sold on December 31, 2018. Prior thereto, we have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79"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As a result of tax-basis goodwill amortization and certain other tax-related adjustments, portions of distributions received from the Asset Manager Affiliates are deemed return of capital. The fair value of our investment in our Asset Manager Affiliates was approximately $3.5 million at December 31, 2018 with an unrealized depreciation for the year ending December 31, 2018 of approximately $579,000. The fair value of our investment in our Asset Manager Affiliates was approximately $38.8 million at December 31, 2017, with an unrealized appreciation for the year ending December 31, 2017 of approximately $1.4 million. For the years ended December 31, 2018, 2017, and 2016, we recognized dividend income of $1.2 million, $460,000 and $1.4 million from the Asset Manager Affiliates, respectively, while cash distributions received were approximately $36.0 million, $3.2 million and $2.7 million for those years, respectively. The difference between cash distributions received and the tax-basis earnings and profits is recorded as an adjustment to the cost basis of the investment in the Asset Manager Affiliates. For interim periods, the Company estimates the tax attributes of any distributions as being either tax-basis earnings and profits (i.e., dividend</w:t>
      </w:r>
    </w:p>
    <w:p>
      <w:pPr>
        <w:spacing w:after="0" w:line="2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899"/>
        <w:spacing w:after="0" w:line="257" w:lineRule="auto"/>
        <w:rPr>
          <w:sz w:val="20"/>
          <w:szCs w:val="20"/>
          <w:color w:val="auto"/>
        </w:rPr>
      </w:pPr>
      <w:r>
        <w:rPr>
          <w:rFonts w:ascii="Times New Roman" w:cs="Times New Roman" w:eastAsia="Times New Roman" w:hAnsi="Times New Roman"/>
          <w:sz w:val="18"/>
          <w:szCs w:val="18"/>
          <w:color w:val="auto"/>
        </w:rPr>
        <w:t>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w:t>
      </w:r>
    </w:p>
    <w:p>
      <w:pPr>
        <w:spacing w:after="0" w:line="2" w:lineRule="exact"/>
        <w:rPr>
          <w:sz w:val="20"/>
          <w:szCs w:val="20"/>
          <w:color w:val="auto"/>
        </w:rPr>
      </w:pPr>
    </w:p>
    <w:p>
      <w:pPr>
        <w:ind w:left="1260" w:right="939"/>
        <w:spacing w:after="0" w:line="252" w:lineRule="auto"/>
        <w:rPr>
          <w:sz w:val="20"/>
          <w:szCs w:val="20"/>
          <w:color w:val="auto"/>
        </w:rPr>
      </w:pPr>
      <w:r>
        <w:rPr>
          <w:rFonts w:ascii="Times New Roman" w:cs="Times New Roman" w:eastAsia="Times New Roman" w:hAnsi="Times New Roman"/>
          <w:sz w:val="18"/>
          <w:szCs w:val="18"/>
          <w:color w:val="auto"/>
        </w:rPr>
        <w:t>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$300 million and $3.0 billion as of December 31, 2018 and 2017, respectively.</w:t>
      </w:r>
    </w:p>
    <w:p>
      <w:pPr>
        <w:spacing w:after="0" w:line="78"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in Joint Venture. </w:t>
      </w:r>
      <w:r>
        <w:rPr>
          <w:rFonts w:ascii="Times New Roman" w:cs="Times New Roman" w:eastAsia="Times New Roman" w:hAnsi="Times New Roman"/>
          <w:sz w:val="18"/>
          <w:szCs w:val="18"/>
          <w:color w:val="auto"/>
        </w:rPr>
        <w:t>For the year ended December 31, 2018 and 2017, the Company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million and $949,000 in investment income from its investment in the Joint Venture. As of December 31, 2018 and 2017, the fair value of the Company’s investment in Joint venture was $18.4 million and $21.5 million, respectively. For interim periods, the Company recognizes investment income on its investment in the Joint Venture based upon its share of the estimated earnings and profits of the Joint Venture.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1" w:lineRule="exact"/>
        <w:rPr>
          <w:sz w:val="20"/>
          <w:szCs w:val="20"/>
          <w:color w:val="auto"/>
        </w:rPr>
      </w:pPr>
    </w:p>
    <w:p>
      <w:pPr>
        <w:ind w:left="1260" w:right="1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Capital Structuring Service Fees</w:t>
      </w:r>
      <w:r>
        <w:rPr>
          <w:rFonts w:ascii="Times New Roman" w:cs="Times New Roman" w:eastAsia="Times New Roman" w:hAnsi="Times New Roman"/>
          <w:sz w:val="18"/>
          <w:szCs w:val="18"/>
          <w:color w:val="auto"/>
        </w:rPr>
        <w:t>. We may earn ancillary structuring and other fees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origination, investment, disposition or liquidation of debt and investment securities.</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Investment income for the years ended December 31, 2018, 2017, and 2016 was approximately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$27.1 million, $28.3 million, and $36.2 million, respectively. Of these amounts, approximately $16.0 million,</w:t>
      </w:r>
    </w:p>
    <w:p>
      <w:pPr>
        <w:spacing w:after="0" w:line="9" w:lineRule="exact"/>
        <w:rPr>
          <w:sz w:val="20"/>
          <w:szCs w:val="20"/>
          <w:color w:val="auto"/>
        </w:rPr>
      </w:pPr>
    </w:p>
    <w:p>
      <w:pPr>
        <w:ind w:left="1260" w:right="799"/>
        <w:spacing w:after="0" w:line="261" w:lineRule="auto"/>
        <w:rPr>
          <w:sz w:val="20"/>
          <w:szCs w:val="20"/>
          <w:color w:val="auto"/>
        </w:rPr>
      </w:pPr>
      <w:r>
        <w:rPr>
          <w:rFonts w:ascii="Times New Roman" w:cs="Times New Roman" w:eastAsia="Times New Roman" w:hAnsi="Times New Roman"/>
          <w:sz w:val="18"/>
          <w:szCs w:val="18"/>
          <w:color w:val="auto"/>
        </w:rPr>
        <w:t>$15.1 million and $20.8 million, was attributable to interest income on our Debt Securities Portfolio for the years ended December 31, 2018, 2017, and 2016.</w:t>
      </w:r>
    </w:p>
    <w:p>
      <w:pPr>
        <w:spacing w:after="0" w:line="72"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As of December 31, 2018, five of our debt securities were on non-accrual status. The weighted average contractual interest rate on our loans and debt securities was approximately 10.0% and 10.1% as of December 31, 2018 and December 31, 2017, respectively. The weighted average contractual interest rate on our loans and debt securities, adjusted for non-accrual and partial non-accrual investments, was approximately 9.1% and 9.6% as of December 31, 2018 and December 31, 2017, respectively. For the year ended December 31, 2018, our total net asset value return per share was (4.7)% and our total market return based on stock price was 13.2%. For the year ended December 31, 2017, our total net asset value return per share was 2.0% and our total market return based on stock price was (2.3)%. Total net asset value return per share and total market return based on stock price do not reflect the sales load paid by stockholders.</w:t>
      </w:r>
    </w:p>
    <w:p>
      <w:pPr>
        <w:spacing w:after="0" w:line="81"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Investment income is primarily dependent on the composition and credit quality of our investment portfolio. Generally, our Debt Securities Portfolio is expected to generate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years ended December 31, 2018, 2017, and 2016, approximately $6.4 million, $11.2 million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$13.3 million, respectively, of investment income was attributable to investments in CLO Fund Securities. On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basis, the Company recognized $3.5 million, $5.3 million and $10.1 million of taxable distributable income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 distributions from our CLO Fund Securities during the years ended December 31, 2018, 2017, and 2016,</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respectively. Investment income, tax-basis earnings and cash distributions from CLO Fund Securities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dependent on the performance of the underlying assets in each CLO Fund; interest payments, principal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amortization and prepayments of the underlying loans in each CLO Fund are primary factors which determine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level of distributions on our CLO Fund Securities. The level of excess spread from CLO Fund Securities can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impacted by the timing and level of the resetting of the benchmark</w:t>
      </w:r>
    </w:p>
    <w:p>
      <w:pPr>
        <w:spacing w:after="0" w:line="27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99"/>
        <w:spacing w:after="0" w:line="261" w:lineRule="auto"/>
        <w:rPr>
          <w:sz w:val="20"/>
          <w:szCs w:val="20"/>
          <w:color w:val="auto"/>
        </w:rPr>
      </w:pPr>
      <w:r>
        <w:rPr>
          <w:rFonts w:ascii="Times New Roman" w:cs="Times New Roman" w:eastAsia="Times New Roman" w:hAnsi="Times New Roman"/>
          <w:sz w:val="18"/>
          <w:szCs w:val="18"/>
          <w:color w:val="auto"/>
        </w:rPr>
        <w:t>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7"/>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4"/>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amortization of debt issuance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7,403,436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7,661,407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9,110,603</w:t>
            </w:r>
          </w:p>
        </w:tc>
      </w:tr>
      <w:tr>
        <w:trPr>
          <w:trHeight w:val="257"/>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4,012,743</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4,571,309</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4,103,558</w:t>
            </w: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3,470,269</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2,942,059</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2,391,038</w:t>
            </w:r>
          </w:p>
        </w:tc>
      </w:tr>
      <w:tr>
        <w:trPr>
          <w:trHeight w:val="257"/>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321,268</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347,175</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412,764</w:t>
            </w:r>
          </w:p>
        </w:tc>
      </w:tr>
      <w:tr>
        <w:trPr>
          <w:trHeight w:val="26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and other</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1,874,600</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1,722,618</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1,692,140</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57"/>
        </w:trPr>
        <w:tc>
          <w:tcPr>
            <w:tcW w:w="50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17,082,316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17,244,568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17,710,103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-196850</wp:posOffset>
            </wp:positionV>
            <wp:extent cx="1460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9192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-1191260</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-1191260</wp:posOffset>
            </wp:positionV>
            <wp:extent cx="39103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32"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Because we are internally managed by our executive officers under the supervision of our Board of Directors, we incur the operating costs associated with employing investment and portfolio management professionals.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74"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Interest and Amortization of Debt Issuance Costs</w:t>
      </w:r>
      <w:r>
        <w:rPr>
          <w:rFonts w:ascii="Times New Roman" w:cs="Times New Roman" w:eastAsia="Times New Roman" w:hAnsi="Times New Roman"/>
          <w:sz w:val="18"/>
          <w:szCs w:val="18"/>
          <w:color w:val="auto"/>
        </w:rPr>
        <w:t>. Interest expense is dependent on the average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on our borrowings and the base index rate for the period. Debt issuance costs represent fees and other direct costs incurred in connection with the Company’s borrowings. These amounts are capitalized and amortized over the expected term of the borrowing.</w:t>
      </w:r>
    </w:p>
    <w:p>
      <w:pPr>
        <w:spacing w:after="0" w:line="72"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Compensation Expense. </w:t>
      </w:r>
      <w:r>
        <w:rPr>
          <w:rFonts w:ascii="Times New Roman" w:cs="Times New Roman" w:eastAsia="Times New Roman" w:hAnsi="Times New Roman"/>
          <w:sz w:val="18"/>
          <w:szCs w:val="18"/>
          <w:color w:val="auto"/>
        </w:rPr>
        <w:t>Compensation expense includes base salaries, bonuses, stock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75" w:lineRule="exact"/>
        <w:rPr>
          <w:sz w:val="20"/>
          <w:szCs w:val="20"/>
          <w:color w:val="auto"/>
        </w:rPr>
      </w:pPr>
    </w:p>
    <w:p>
      <w:pPr>
        <w:ind w:left="1260" w:right="10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Fees and General and Administrative Expenses. </w:t>
      </w:r>
      <w:r>
        <w:rPr>
          <w:rFonts w:ascii="Times New Roman" w:cs="Times New Roman" w:eastAsia="Times New Roman" w:hAnsi="Times New Roman"/>
          <w:sz w:val="18"/>
          <w:szCs w:val="18"/>
          <w:color w:val="auto"/>
        </w:rPr>
        <w:t>The balance of our expenses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(primarily legal, accounting, valuation and other professional services), occupancy costs and general administrative and other costs.</w:t>
      </w:r>
    </w:p>
    <w:p>
      <w:pPr>
        <w:spacing w:after="0" w:line="67" w:lineRule="exact"/>
        <w:rPr>
          <w:sz w:val="20"/>
          <w:szCs w:val="20"/>
          <w:color w:val="auto"/>
        </w:rPr>
      </w:pPr>
    </w:p>
    <w:p>
      <w:pPr>
        <w:ind w:left="1260" w:right="899" w:firstLine="360"/>
        <w:spacing w:after="0" w:line="257" w:lineRule="auto"/>
        <w:rPr>
          <w:sz w:val="20"/>
          <w:szCs w:val="20"/>
          <w:color w:val="auto"/>
        </w:rPr>
      </w:pPr>
      <w:r>
        <w:rPr>
          <w:rFonts w:ascii="Times New Roman" w:cs="Times New Roman" w:eastAsia="Times New Roman" w:hAnsi="Times New Roman"/>
          <w:sz w:val="18"/>
          <w:szCs w:val="18"/>
          <w:color w:val="auto"/>
        </w:rPr>
        <w:t>Total expenses for the years ended December 31, 2018, 2017, and 2016 were approximately $17.1 million, $17.2 million, and $17.7 million, respectively. Interest expense and amortization on debt issuance costs for the years ended December 31, 2018, 2017, and 2016, was approximately $7.4 million, $7.7 million, and</w:t>
      </w:r>
    </w:p>
    <w:p>
      <w:pPr>
        <w:spacing w:after="0" w:line="2" w:lineRule="exact"/>
        <w:rPr>
          <w:sz w:val="20"/>
          <w:szCs w:val="20"/>
          <w:color w:val="auto"/>
        </w:rPr>
      </w:pPr>
    </w:p>
    <w:p>
      <w:pPr>
        <w:ind w:left="1260" w:right="1419"/>
        <w:spacing w:after="0" w:line="261" w:lineRule="auto"/>
        <w:rPr>
          <w:sz w:val="20"/>
          <w:szCs w:val="20"/>
          <w:color w:val="auto"/>
        </w:rPr>
      </w:pPr>
      <w:r>
        <w:rPr>
          <w:rFonts w:ascii="Times New Roman" w:cs="Times New Roman" w:eastAsia="Times New Roman" w:hAnsi="Times New Roman"/>
          <w:sz w:val="18"/>
          <w:szCs w:val="18"/>
          <w:color w:val="auto"/>
        </w:rPr>
        <w:t>$9.1 million, respectively, on average debt outstanding of $105 million, $134 million, and $190 million, respectively.</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years ended December 31, 2018, 2017, and 2016, approximately $4.0 million, $4.6 million,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$4.1 million, respectively, of expenses were attributable to employee compensation, including salaries, bonuses,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 benefits, payroll taxes and stock-based compensation expense. For the years ended December 31, 2018,</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2017, and 2016, professional fees and insurance expenses totaled approximately $3.8 million, $3.3 million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$2.8 million, respectively. Administrative costs, which include occupancy expense, technology and other office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totaled approximately $1.9 million, $1.7 million and $1.7 million for the years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Gains (Losses)</w:t>
      </w:r>
    </w:p>
    <w:p>
      <w:pPr>
        <w:spacing w:after="0" w:line="108"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Net investment income and net realized gains (losses) represents the stockholder’s equity before net unrealized appreciation or depreciation on investments. For the years ended December 31, 2018, 2017, and 2016, net investment income and net realized losses were approximately ($6.5 million), $4.1 million and $12.3 million, respectively, or ($0.17), $0.11, and $0.33 per basic share, respectively. Net investment income represents the income earned on our investments less operating and interest expense before net realized gains or losses and unrealized appreciation or depreciation on investments. 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year ended December 31, 2018, GAAP-basis net investment income was approximately $10.0 million, or $0.27 per basic share, while tax-basis distributable income was approximately $9.2 million or $0.25 per share, respectively.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Unrealized (Depreciation) Appreciation on Investments</w:t>
      </w:r>
    </w:p>
    <w:p>
      <w:pPr>
        <w:spacing w:after="0" w:line="11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33655</wp:posOffset>
            </wp:positionV>
            <wp:extent cx="20497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6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6"/>
                <w:szCs w:val="16"/>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6"/>
                <w:szCs w:val="16"/>
                <w:color w:val="auto"/>
              </w:rPr>
            </w:pPr>
          </w:p>
        </w:tc>
      </w:tr>
      <w:tr>
        <w:trPr>
          <w:trHeight w:val="24"/>
        </w:trPr>
        <w:tc>
          <w:tcPr>
            <w:tcW w:w="50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Gains (Losses) On Investments:</w:t>
            </w: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w:t>
            </w: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(7,420,747)</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$ 4,194,914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2,492,707</w:t>
            </w:r>
          </w:p>
        </w:tc>
        <w:tc>
          <w:tcPr>
            <w:tcW w:w="60" w:type="dxa"/>
            <w:vAlign w:val="bottom"/>
          </w:tcPr>
          <w:p>
            <w:pPr>
              <w:spacing w:after="0"/>
              <w:rPr>
                <w:sz w:val="22"/>
                <w:szCs w:val="22"/>
                <w:color w:val="auto"/>
              </w:rPr>
            </w:pPr>
          </w:p>
        </w:tc>
      </w:tr>
      <w:tr>
        <w:trPr>
          <w:trHeight w:val="257"/>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(1,283,420)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(823,671)</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(4,413,354)</w:t>
            </w:r>
          </w:p>
        </w:tc>
      </w:tr>
      <w:tr>
        <w:trPr>
          <w:trHeight w:val="257"/>
        </w:trPr>
        <w:tc>
          <w:tcPr>
            <w:tcW w:w="5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 Fund Securities managed by affiliates</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17,790,480</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2,102,279</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4,380,974</w:t>
            </w:r>
          </w:p>
        </w:tc>
        <w:tc>
          <w:tcPr>
            <w:tcW w:w="60" w:type="dxa"/>
            <w:vAlign w:val="bottom"/>
          </w:tcPr>
          <w:p>
            <w:pPr>
              <w:spacing w:after="0"/>
              <w:rPr>
                <w:sz w:val="22"/>
                <w:szCs w:val="22"/>
                <w:color w:val="auto"/>
              </w:rPr>
            </w:pPr>
          </w:p>
        </w:tc>
      </w:tr>
      <w:tr>
        <w:trPr>
          <w:trHeight w:val="257"/>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 Fund Securities managed by non-affiliates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(8,285,747)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(85,671)</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284,625</w:t>
            </w:r>
          </w:p>
        </w:tc>
      </w:tr>
      <w:tr>
        <w:trPr>
          <w:trHeight w:val="257"/>
        </w:trPr>
        <w:tc>
          <w:tcPr>
            <w:tcW w:w="50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Manager Affiliates investments</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(579,000)</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1,401,000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(15,933,000)</w:t>
            </w:r>
          </w:p>
        </w:tc>
        <w:tc>
          <w:tcPr>
            <w:tcW w:w="60" w:type="dxa"/>
            <w:vAlign w:val="bottom"/>
          </w:tcPr>
          <w:p>
            <w:pPr>
              <w:spacing w:after="0"/>
              <w:rPr>
                <w:sz w:val="22"/>
                <w:szCs w:val="22"/>
                <w:color w:val="auto"/>
              </w:rPr>
            </w:pPr>
          </w:p>
        </w:tc>
      </w:tr>
      <w:tr>
        <w:trPr>
          <w:trHeight w:val="26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 Investment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(3,125,560)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(3,398,858)</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unrealized gain (loss) from investment transactions</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(2,903,994)</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$ 3,389,993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(13,188,048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-196850</wp:posOffset>
            </wp:positionV>
            <wp:extent cx="1460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8931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93185"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-1517015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-1517015</wp:posOffset>
            </wp:positionV>
            <wp:extent cx="38849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year ended December 31, 2018, our total investments had net unrealized depreciation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$2.9 million. Included in the net unrealized loss in 2018 are unrealized appreciation on CLO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Fund Securities of approximately $9.5 million, and unrealized depreciation of the Asset Manager Affiliates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$579,000, as well as unrealized depreciation on our Debt Securities Portfolio of $7.4 million, unrealized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 on equity securities of approximately $1.3 million and unrealized depreciation on our Joint Venture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of approximately $3,126,000. During the year ended December 31, 2017, our total investments had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unrealized appreciation of approximately $3.4 million, including net unrealized gains of approximately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 million on CLO Fund Securities and unrealized appreciation of the Asset Manager Affiliates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$1.4 million, net unrealized appreciation on the Debt Securities Portfolio of approximately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$4.2 million and net unrealized losses on equity securities of $824,000 and unrealized depreciation on our Joint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Venture investment of approximately $3.4 million. During the year ended December 31, 2016, our total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investments had net unrealized depreciation of $13 million, including approximately $2.5 million of unrealized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gains on the Debt Securities Portfolio, net unrealized loss of the Asset Manager Affiliates of approximately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$15.9 million, and net unrealized losses on equity securities of $4.4 million, and net unrealized gains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$4.7 million related to CLO Fund Securities.</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Change in Stockholder’s Equity Resulting From Operations</w:t>
      </w:r>
    </w:p>
    <w:p>
      <w:pPr>
        <w:spacing w:after="0" w:line="108"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The net decrease in stockholders’ equity resulting from operations for the year ended December 31, 2018 was approximately $9.6 million, or $0.26 per basic share. Net increase in stockholders’ equity resulting from operations for the year ended December 31, 2017 was approximately $3.4 million, or $0.09 per basic share, and the net decrease in stockholders’ equity resulting from operations for the year ended December 31, 2016 was approximately $1.0 million, or $0.03 per basic share.</w:t>
      </w:r>
    </w:p>
    <w:p>
      <w:pPr>
        <w:spacing w:after="0" w:line="23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81"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81"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received a cash distribution of $33.8 million from its wholly-owned subsidiary Commodore Holdings, LLC.</w:t>
      </w: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2018 and December 31, 2017, the fair value of investments and cash were as follows: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5"/>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r>
      <w:tr>
        <w:trPr>
          <w:trHeight w:val="24"/>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17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6"/>
                <w:szCs w:val="16"/>
                <w:color w:val="auto"/>
              </w:rPr>
            </w:pPr>
          </w:p>
        </w:tc>
        <w:tc>
          <w:tcPr>
            <w:tcW w:w="9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5,417,125</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2,034,095</w:t>
            </w:r>
          </w:p>
        </w:tc>
      </w:tr>
      <w:tr>
        <w:trPr>
          <w:trHeight w:val="25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3,907,341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44,756,478</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77,300,320</w:t>
            </w:r>
          </w:p>
        </w:tc>
      </w:tr>
      <w:tr>
        <w:trPr>
          <w:trHeight w:val="25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Loan</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77,616,209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44,960,146</w:t>
            </w:r>
          </w:p>
        </w:tc>
      </w:tr>
      <w:tr>
        <w:trPr>
          <w:trHeight w:val="257"/>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Secured Loan</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70,245,535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58,941,300</w:t>
            </w:r>
          </w:p>
        </w:tc>
      </w:tr>
      <w:tr>
        <w:trPr>
          <w:trHeight w:val="25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Unsecured Loan</w:t>
            </w:r>
          </w:p>
        </w:tc>
        <w:tc>
          <w:tcPr>
            <w:tcW w:w="10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12,777,283</w:t>
            </w:r>
          </w:p>
        </w:tc>
      </w:tr>
      <w:tr>
        <w:trPr>
          <w:trHeight w:val="257"/>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Bond</w:t>
            </w: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1,518,750</w:t>
            </w:r>
          </w:p>
        </w:tc>
      </w:tr>
      <w:tr>
        <w:trPr>
          <w:trHeight w:val="25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44,325,000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51,678,673</w:t>
            </w:r>
          </w:p>
        </w:tc>
      </w:tr>
      <w:tr>
        <w:trPr>
          <w:trHeight w:val="257"/>
        </w:trPr>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14,504,687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4,414,684</w:t>
            </w:r>
          </w:p>
        </w:tc>
      </w:tr>
      <w:tr>
        <w:trPr>
          <w:trHeight w:val="25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18,390,440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21,516,000</w:t>
            </w:r>
          </w:p>
        </w:tc>
      </w:tr>
      <w:tr>
        <w:trPr>
          <w:trHeight w:val="27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Manager Affiliates</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3,470,000</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38,849,000</w:t>
            </w:r>
          </w:p>
        </w:tc>
      </w:tr>
      <w:tr>
        <w:trPr>
          <w:trHeight w:val="270"/>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282,632,815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313,990,251</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-2023110</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-2023110</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7"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(or the 150% asset coverage ratio effective as of March 29, 2019) after such borrowing. As of December 31, 2018, we had approximately $104 million of par value of outstanding borrowings and our asset coverage ratio of total assets to total borrowings was 249%, compliant with the minimum asset coverage level of 200% (or the 150% asset coverage ratio effective as of March 29, 2019) required for a BDC by the 1940 Act. We may also borrow amounts of up to 5% of the value of our total assets for temporary purposes.</w:t>
      </w:r>
    </w:p>
    <w:p>
      <w:pPr>
        <w:spacing w:after="0" w:line="77" w:lineRule="exact"/>
        <w:rPr>
          <w:sz w:val="20"/>
          <w:szCs w:val="20"/>
          <w:color w:val="auto"/>
        </w:rPr>
      </w:pPr>
    </w:p>
    <w:p>
      <w:pPr>
        <w:ind w:left="1260" w:right="779" w:firstLine="360"/>
        <w:spacing w:after="0" w:line="253" w:lineRule="auto"/>
        <w:rPr>
          <w:sz w:val="20"/>
          <w:szCs w:val="20"/>
          <w:color w:val="auto"/>
        </w:rPr>
      </w:pPr>
      <w:r>
        <w:rPr>
          <w:rFonts w:ascii="Times New Roman" w:cs="Times New Roman" w:eastAsia="Times New Roman" w:hAnsi="Times New Roman"/>
          <w:sz w:val="18"/>
          <w:szCs w:val="18"/>
          <w:color w:val="auto"/>
        </w:rPr>
        <w:t>During the third quarter of 2017, the company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of the Company. In addition, due to the asset coverage requirement applicable to the Company as a BDC and a covenant that the Company agreed to in connection with the issuance of the 6.125% Notes Due 2022, the Company is limited in its ability to make distributions if its asset coverage, as defined in the 1940 Act, is below 200% at the time of the declaration of the distribution. At December 31, 2018, the Company was in compliance with all of its debt covenants. The indenture governing the 6.125% Notes Due 2022 contains certain restrictive covenants, including compliance with certain provisions of the 1940 Act relating to borrowing and dividends.</w:t>
      </w:r>
    </w:p>
    <w:p>
      <w:pPr>
        <w:spacing w:after="0" w:line="69"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On October 10, 2012, the Company issued $41.4 million in aggregate principal amount of unsecured 7.375% Notes due 2019 (the “7.375% Notes Due 2019”). The net proceeds for the 7.375% Notes Due 2019,</w:t>
      </w:r>
    </w:p>
    <w:p>
      <w:pPr>
        <w:spacing w:after="0" w:line="22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99"/>
        <w:spacing w:after="0" w:line="257" w:lineRule="auto"/>
        <w:rPr>
          <w:sz w:val="20"/>
          <w:szCs w:val="20"/>
          <w:color w:val="auto"/>
        </w:rPr>
      </w:pPr>
      <w:r>
        <w:rPr>
          <w:rFonts w:ascii="Times New Roman" w:cs="Times New Roman" w:eastAsia="Times New Roman" w:hAnsi="Times New Roman"/>
          <w:sz w:val="18"/>
          <w:szCs w:val="18"/>
          <w:color w:val="auto"/>
        </w:rPr>
        <w:t>following underwriting expenses, were approximately $39.9 million. As of December 31, 2018 there were no 7.375% Notes Due 2019 outstanding. Interest on the 7.375% Notes Due 2019 is paid quarterly in arrears on March 30, June 30, September 30 and December 30, at a rate of 7.375%, commencing December 30, 2012. The</w:t>
      </w:r>
    </w:p>
    <w:p>
      <w:pPr>
        <w:spacing w:after="0" w:line="2" w:lineRule="exact"/>
        <w:rPr>
          <w:sz w:val="20"/>
          <w:szCs w:val="20"/>
          <w:color w:val="auto"/>
        </w:rPr>
      </w:pPr>
    </w:p>
    <w:p>
      <w:pPr>
        <w:ind w:left="1260" w:right="739"/>
        <w:spacing w:after="0" w:line="250" w:lineRule="auto"/>
        <w:rPr>
          <w:sz w:val="20"/>
          <w:szCs w:val="20"/>
          <w:color w:val="auto"/>
        </w:rPr>
      </w:pPr>
      <w:r>
        <w:rPr>
          <w:rFonts w:ascii="Times New Roman" w:cs="Times New Roman" w:eastAsia="Times New Roman" w:hAnsi="Times New Roman"/>
          <w:sz w:val="18"/>
          <w:szCs w:val="18"/>
          <w:color w:val="auto"/>
        </w:rPr>
        <w:t>7.375% Notes Due 2019 had a maturity date of September 30, 2019, and were senior unsecured obligations of the Company. In addition, due to the asset coverage requirement applicable to the Company as a BDC and a covenant that the Company agreed to in connection with the issuance of the 7.375% Notes Due 2019, the Company was limited in its ability to make distributions if its asset coverage, as defined in the 1940 Act, is below 200% at the time of the declaration of the distribution.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 2019 at a weighted average price of $25.23 per $25.00 note, resulting in a realized loss on extinguishment of $71,190. The Company subsequently surrendered these Notes to U.S. Bank National Association, as trustee (the “Trustee”) for cancellation. During the third quarter of 2016, the Company redeemed $5.0 million par value of the 7.375% Notes Due 2019 was redeemed by the Company, resulting in a realized loss on extinguishment of $88,015. During the fourth quarter of 2016, the Company redeemed $469,000 par value of the 7.375% Notes Due 2019, resulting in a realized loss on extinguishment of $15,000. During the second quarter of 2017, the Company redeemed $6.5 million par value of the 7.375% Notes Due 2019 resulting in a realized loss on extinguishment of debt of $107,276. KCAP subsequently surrendered all of these Notes to the Trustee for cancellation. During the first quarter of 2018, approximately $20 million par value of the 7.375% Notes Due</w:t>
      </w:r>
    </w:p>
    <w:p>
      <w:pPr>
        <w:spacing w:after="0" w:line="8" w:lineRule="exact"/>
        <w:rPr>
          <w:sz w:val="20"/>
          <w:szCs w:val="20"/>
          <w:color w:val="auto"/>
        </w:rPr>
      </w:pPr>
    </w:p>
    <w:p>
      <w:pPr>
        <w:ind w:left="1260" w:right="899"/>
        <w:spacing w:after="0" w:line="252" w:lineRule="auto"/>
        <w:rPr>
          <w:sz w:val="20"/>
          <w:szCs w:val="20"/>
          <w:color w:val="auto"/>
        </w:rPr>
      </w:pPr>
      <w:r>
        <w:rPr>
          <w:rFonts w:ascii="Times New Roman" w:cs="Times New Roman" w:eastAsia="Times New Roman" w:hAnsi="Times New Roman"/>
          <w:sz w:val="18"/>
          <w:szCs w:val="18"/>
          <w:color w:val="auto"/>
        </w:rPr>
        <w:t>2019 was redeemed by the Company, resulting in a realized loss on extinguishment of approximately $169,000. The Company subsequently surrendered these notes to the Trustee for cancellation. During the fourth quarter of 2018, the remaining outstanding balance of approximately $7 million par value of the 7.375% Notes Due 2019 was redeemed by the Company, resulting in a realized loss on extinguishment of approximately $28,000. The Company subsequently surrendered these notes to the Trustee for cancellation. As of December 31, 2018 there were no 7.375% Notes Due 2019 outstanding.</w:t>
      </w:r>
    </w:p>
    <w:p>
      <w:pPr>
        <w:spacing w:after="0" w:line="8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On July 20, 2017, $147.4 million par value of notes issued by KCAP Senior Funding were repaid in full, resulting in a realized loss on extinguishment of debt of $4.1 million.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in Joint Venture</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a new fund (the “Fund”) managed by KCAP Management, LLC, one of the Company’s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time-to-time and sell them to the Fund.</w:t>
      </w:r>
    </w:p>
    <w:p>
      <w:pPr>
        <w:spacing w:after="0" w:line="7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2017, the Fund was refinanced through the issuance of senior and subordinated notes. The Joint Venture purchased 100% of the subordinated notes issued by the Fund. In connection with the refinancing, KCAP received a cash distribution of $12.6 million, $11.8 million of which was a return of capital.</w:t>
      </w:r>
    </w:p>
    <w:p>
      <w:pPr>
        <w:spacing w:after="0" w:line="68"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24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in Great Lakes and Asset Purchase Letter Agreement</w:t>
      </w:r>
    </w:p>
    <w:p>
      <w:pPr>
        <w:spacing w:after="0" w:line="108" w:lineRule="exact"/>
        <w:rPr>
          <w:sz w:val="20"/>
          <w:szCs w:val="20"/>
          <w:color w:val="auto"/>
        </w:rPr>
      </w:pPr>
    </w:p>
    <w:p>
      <w:pPr>
        <w:ind w:left="1260" w:right="799" w:firstLine="360"/>
        <w:spacing w:after="0" w:line="268" w:lineRule="auto"/>
        <w:rPr>
          <w:sz w:val="20"/>
          <w:szCs w:val="20"/>
          <w:color w:val="auto"/>
        </w:rPr>
      </w:pPr>
      <w:r>
        <w:rPr>
          <w:rFonts w:ascii="Times New Roman" w:cs="Times New Roman" w:eastAsia="Times New Roman" w:hAnsi="Times New Roman"/>
          <w:sz w:val="17"/>
          <w:szCs w:val="17"/>
          <w:color w:val="auto"/>
        </w:rPr>
        <w:t>On November 27, 2018, we and BCP Great Lakes Fund LP, a Cayman Islands exempted limited partnership (“Great Lakes”) managed by BCP Great Lakes GP LP (“Great Lakes GP”), an affiliate of BCP, entered into a subscription agreement pursuant to which we agreed to make aggregate capital contributions to Great Lakes of $25 million. As of December 31, 2018, we had invested approximately $12.5 million in Great Lakes. In addition, on November 27, 2018, we and Great Lakes GP entered into a letter agreement (the “Great Lakes Fee Letter”), pursuant to which we and Great Lakes GP agreed that (i) if the Closing occurs and the Adviser becomes our investment adviser, all accrued fees otherwise payable in connection with our investment in Great Lakes will be waived, and thereafter we will pay no management fees in connection with our investment in Great Lakes, and</w:t>
      </w:r>
    </w:p>
    <w:p>
      <w:pPr>
        <w:spacing w:after="0" w:line="1" w:lineRule="exact"/>
        <w:rPr>
          <w:sz w:val="20"/>
          <w:szCs w:val="20"/>
          <w:color w:val="auto"/>
        </w:rPr>
      </w:pPr>
    </w:p>
    <w:p>
      <w:pPr>
        <w:ind w:left="1260" w:right="979" w:firstLine="8"/>
        <w:spacing w:after="0" w:line="255" w:lineRule="auto"/>
        <w:tabs>
          <w:tab w:leader="none" w:pos="15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does not occur, we will be obligated pay the management fee applicable to Great Lakes investors generally, and a portion of those management fees ($1 million) will be paid in advance and thereafter credited against the management fees that subsequently accrue.</w:t>
      </w:r>
    </w:p>
    <w:p>
      <w:pPr>
        <w:spacing w:after="0" w:line="78" w:lineRule="exact"/>
        <w:rPr>
          <w:sz w:val="20"/>
          <w:szCs w:val="20"/>
          <w:color w:val="auto"/>
        </w:rPr>
      </w:pPr>
    </w:p>
    <w:p>
      <w:pPr>
        <w:ind w:left="1260" w:right="779" w:firstLine="360"/>
        <w:spacing w:after="0" w:line="253" w:lineRule="auto"/>
        <w:rPr>
          <w:sz w:val="20"/>
          <w:szCs w:val="20"/>
          <w:color w:val="auto"/>
        </w:rPr>
      </w:pPr>
      <w:r>
        <w:rPr>
          <w:rFonts w:ascii="Times New Roman" w:cs="Times New Roman" w:eastAsia="Times New Roman" w:hAnsi="Times New Roman"/>
          <w:sz w:val="18"/>
          <w:szCs w:val="18"/>
          <w:color w:val="auto"/>
        </w:rPr>
        <w:t>On December 12, 2018, we and BCP entered into a letter agreement (the “Asset Purchase Letter Agreement”) pursuant to which we and BCP each agreed to use commercially reasonable efforts to effect the sale by BCP (or its affiliates or advisory clients of its affiliates), in one or more transactions, of certain assets held by BCP (or its affiliates or advisory clients thereof) that, taken together, have an aggregate principal amount of approximately $75 million, less the aggregate amount of capital contributions made by us to Great Lakes. As of December 31, 2018, we had purchased or entered into agreements to purchase loans for an aggregate purchase price of approximately $8 million. If the Closing does not occur, BCP may, at its option, repurchase (or cause its affiliate or fund it manages to repurchase) some or all of the investment assets previously purchased by us at a purchase price equal to (i) the fair market value of such purchased asset as reported by us in our then-most recent Form 10-K or Form 10-Q (as applicable), or (ii) if such fair market value has not yet been reported, the cost of such investment asset when sold to us, and in the case of each of clauses (i) and (ii), without additional interest, fees or other charges.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Distributions</w:t>
      </w:r>
    </w:p>
    <w:p>
      <w:pPr>
        <w:spacing w:after="0" w:line="10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49" w:lineRule="exact"/>
        <w:rPr>
          <w:sz w:val="20"/>
          <w:szCs w:val="20"/>
          <w:color w:val="auto"/>
        </w:rPr>
      </w:pPr>
    </w:p>
    <w:p>
      <w:pPr>
        <w:ind w:left="1980" w:hanging="352"/>
        <w:spacing w:after="0"/>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ordinary net taxable income for the calendar year;</w:t>
      </w:r>
    </w:p>
    <w:p>
      <w:pPr>
        <w:spacing w:after="0" w:line="184" w:lineRule="exact"/>
        <w:rPr>
          <w:rFonts w:ascii="Times New Roman" w:cs="Times New Roman" w:eastAsia="Times New Roman" w:hAnsi="Times New Roman"/>
          <w:sz w:val="18"/>
          <w:szCs w:val="18"/>
          <w:color w:val="auto"/>
        </w:rPr>
      </w:pPr>
    </w:p>
    <w:p>
      <w:pPr>
        <w:ind w:left="1980" w:right="1439" w:hanging="352"/>
        <w:spacing w:after="0" w:line="282"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gains, if any, in excess of capital losses for the one-year period ending on October 31 of the calendar year; and</w:t>
      </w:r>
    </w:p>
    <w:p>
      <w:pPr>
        <w:spacing w:after="0" w:line="121" w:lineRule="exact"/>
        <w:rPr>
          <w:rFonts w:ascii="Times New Roman" w:cs="Times New Roman" w:eastAsia="Times New Roman" w:hAnsi="Times New Roman"/>
          <w:sz w:val="18"/>
          <w:szCs w:val="18"/>
          <w:color w:val="auto"/>
        </w:rPr>
      </w:pPr>
    </w:p>
    <w:p>
      <w:pPr>
        <w:ind w:left="1980" w:right="1019" w:hanging="352"/>
        <w:spacing w:after="0" w:line="282"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ordinary income and net capital gains for the preceding year that were not distributed during such year and on which we do not pay corporate tax.</w:t>
      </w:r>
    </w:p>
    <w:p>
      <w:pPr>
        <w:spacing w:after="0" w:line="5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may choose to carry forward taxable income in excess of current year distributions into the next tax year and pay a 4% excise tax on such income, to the extent required.</w:t>
      </w:r>
    </w:p>
    <w:p>
      <w:pPr>
        <w:spacing w:after="0" w:line="54"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amount of our declared distributions, as evaluated by management and approved by our Board of Directors, is based primarily on our evaluation of our net investment income, distributable taxable income and the after-tax free cash flow from our Asset Manager Affiliates.</w:t>
      </w:r>
    </w:p>
    <w:p>
      <w:pPr>
        <w:spacing w:after="0" w:line="68" w:lineRule="exact"/>
        <w:rPr>
          <w:sz w:val="20"/>
          <w:szCs w:val="20"/>
          <w:color w:val="auto"/>
        </w:rPr>
      </w:pPr>
    </w:p>
    <w:p>
      <w:pPr>
        <w:ind w:left="1260" w:right="859" w:firstLine="360"/>
        <w:spacing w:after="0" w:line="255" w:lineRule="auto"/>
        <w:rPr>
          <w:sz w:val="20"/>
          <w:szCs w:val="20"/>
          <w:color w:val="auto"/>
        </w:rPr>
      </w:pPr>
      <w:r>
        <w:rPr>
          <w:rFonts w:ascii="Times New Roman" w:cs="Times New Roman" w:eastAsia="Times New Roman" w:hAnsi="Times New Roman"/>
          <w:sz w:val="18"/>
          <w:szCs w:val="18"/>
          <w:color w:val="auto"/>
        </w:rPr>
        <w:t>On March 29, 2018, our Board of Directors,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will be changed from 200% to 150%, effective as of March 29, 2019. However, despite the SBCA, we will continue to be prohibited by the indentures governing our 6.125% Notes Due 2022 from making distributions on our common stock if our asset coverage, as defined in the 1940 Act, falls below 200%. In any such event, we would be prohibited from making distributions required in order to maintain our status as a RIC.</w:t>
      </w:r>
    </w:p>
    <w:p>
      <w:pPr>
        <w:spacing w:after="0" w:line="25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the quarterly distributions declared by us since 2017.</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Pay Date</w:t>
            </w:r>
          </w:p>
        </w:tc>
      </w:tr>
      <w:tr>
        <w:trPr>
          <w:trHeight w:val="24"/>
        </w:trPr>
        <w:tc>
          <w:tcPr>
            <w:tcW w:w="19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7"/>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12/12/2018</w:t>
            </w:r>
          </w:p>
        </w:tc>
        <w:tc>
          <w:tcPr>
            <w:tcW w:w="220" w:type="dxa"/>
            <w:vAlign w:val="bottom"/>
          </w:tcPr>
          <w:p>
            <w:pPr>
              <w:spacing w:after="0"/>
              <w:rPr>
                <w:sz w:val="22"/>
                <w:szCs w:val="22"/>
                <w:color w:val="auto"/>
              </w:rPr>
            </w:pPr>
          </w:p>
        </w:tc>
        <w:tc>
          <w:tcPr>
            <w:tcW w:w="1060" w:type="dxa"/>
            <w:vAlign w:val="bottom"/>
            <w:gridSpan w:val="2"/>
          </w:tcPr>
          <w:p>
            <w:pPr>
              <w:jc w:val="right"/>
              <w:ind w:right="60"/>
              <w:spacing w:after="0" w:line="257" w:lineRule="exact"/>
              <w:rPr>
                <w:sz w:val="20"/>
                <w:szCs w:val="20"/>
                <w:color w:val="auto"/>
              </w:rPr>
            </w:pPr>
            <w:r>
              <w:rPr>
                <w:rFonts w:ascii="Times New Roman" w:cs="Times New Roman" w:eastAsia="Times New Roman" w:hAnsi="Times New Roman"/>
                <w:sz w:val="18"/>
                <w:szCs w:val="18"/>
                <w:color w:val="auto"/>
              </w:rPr>
              <w:t>1/7/2019</w:t>
            </w:r>
            <w:r>
              <w:rPr>
                <w:rFonts w:ascii="Times New Roman" w:cs="Times New Roman" w:eastAsia="Times New Roman" w:hAnsi="Times New Roman"/>
                <w:sz w:val="27"/>
                <w:szCs w:val="27"/>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1/31/2019</w:t>
            </w:r>
          </w:p>
        </w:tc>
      </w:tr>
      <w:tr>
        <w:trPr>
          <w:trHeight w:val="257"/>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9/18/2018</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10/9/2018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10/29/2018</w:t>
            </w:r>
          </w:p>
        </w:tc>
      </w:tr>
      <w:tr>
        <w:trPr>
          <w:trHeight w:val="257"/>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6/19/2018</w:t>
            </w:r>
          </w:p>
        </w:tc>
        <w:tc>
          <w:tcPr>
            <w:tcW w:w="2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7/6/2018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7/26/2018</w:t>
            </w:r>
          </w:p>
        </w:tc>
      </w:tr>
      <w:tr>
        <w:trPr>
          <w:trHeight w:val="264"/>
        </w:trPr>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3/20/2018</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4/6/2018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4/27/2018</w:t>
            </w:r>
          </w:p>
        </w:tc>
      </w:tr>
      <w:tr>
        <w:trPr>
          <w:trHeight w:val="30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declared for 2018</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8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r>
      <w:tr>
        <w:trPr>
          <w:trHeight w:val="257"/>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12/13/2017</w:t>
            </w:r>
          </w:p>
        </w:tc>
        <w:tc>
          <w:tcPr>
            <w:tcW w:w="220" w:type="dxa"/>
            <w:vAlign w:val="bottom"/>
          </w:tcPr>
          <w:p>
            <w:pPr>
              <w:spacing w:after="0"/>
              <w:rPr>
                <w:sz w:val="22"/>
                <w:szCs w:val="22"/>
                <w:color w:val="auto"/>
              </w:rPr>
            </w:pPr>
          </w:p>
        </w:tc>
        <w:tc>
          <w:tcPr>
            <w:tcW w:w="1060" w:type="dxa"/>
            <w:vAlign w:val="bottom"/>
            <w:gridSpan w:val="2"/>
          </w:tcPr>
          <w:p>
            <w:pPr>
              <w:jc w:val="right"/>
              <w:ind w:right="60"/>
              <w:spacing w:after="0" w:line="257" w:lineRule="exact"/>
              <w:rPr>
                <w:sz w:val="20"/>
                <w:szCs w:val="20"/>
                <w:color w:val="auto"/>
              </w:rPr>
            </w:pPr>
            <w:r>
              <w:rPr>
                <w:rFonts w:ascii="Times New Roman" w:cs="Times New Roman" w:eastAsia="Times New Roman" w:hAnsi="Times New Roman"/>
                <w:sz w:val="18"/>
                <w:szCs w:val="18"/>
                <w:color w:val="auto"/>
              </w:rPr>
              <w:t>1/5/2018</w:t>
            </w:r>
            <w:r>
              <w:rPr>
                <w:rFonts w:ascii="Times New Roman" w:cs="Times New Roman" w:eastAsia="Times New Roman" w:hAnsi="Times New Roman"/>
                <w:sz w:val="27"/>
                <w:szCs w:val="27"/>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1/25/2018</w:t>
            </w:r>
          </w:p>
        </w:tc>
      </w:tr>
      <w:tr>
        <w:trPr>
          <w:trHeight w:val="257"/>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9/22/2017</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10/10/2017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10/26/2017</w:t>
            </w:r>
          </w:p>
        </w:tc>
      </w:tr>
      <w:tr>
        <w:trPr>
          <w:trHeight w:val="257"/>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6/20/2017</w:t>
            </w:r>
          </w:p>
        </w:tc>
        <w:tc>
          <w:tcPr>
            <w:tcW w:w="2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7/7/2017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7/27/2017</w:t>
            </w:r>
          </w:p>
        </w:tc>
      </w:tr>
      <w:tr>
        <w:trPr>
          <w:trHeight w:val="277"/>
        </w:trPr>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Borders>
              <w:bottom w:val="single" w:sz="8" w:color="CCEEFF"/>
            </w:tcBorders>
            <w:gridSpan w:val="2"/>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3/21/2017</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4/7/2017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4/28/2017</w:t>
            </w:r>
          </w:p>
        </w:tc>
      </w:tr>
      <w:tr>
        <w:trPr>
          <w:trHeight w:val="270"/>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declared for 2017</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0.46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0"/>
        </w:trPr>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1940" w:type="dxa"/>
            <w:vAlign w:val="bottom"/>
            <w:tcBorders>
              <w:bottom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-2272030</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-2272030</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-2272030</wp:posOffset>
            </wp:positionV>
            <wp:extent cx="32073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Since the record date of this distribution is subsequent to year-end, it is a subsequent year tax event.</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2018 and December 31, 2017, the Company had $12.9 million and $0 commitments to fund investments,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contractual cash obligations and other commercial commitments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8"/>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r>
      <w:tr>
        <w:trPr>
          <w:trHeight w:val="171"/>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90"/>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2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2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tcPr>
          <w:p>
            <w:pPr>
              <w:spacing w:after="0"/>
              <w:rPr>
                <w:sz w:val="16"/>
                <w:szCs w:val="16"/>
                <w:color w:val="auto"/>
              </w:rPr>
            </w:pPr>
          </w:p>
        </w:tc>
        <w:tc>
          <w:tcPr>
            <w:tcW w:w="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8"/>
              </w:rPr>
              <w:t>5 years</w:t>
            </w:r>
          </w:p>
        </w:tc>
      </w:tr>
      <w:tr>
        <w:trPr>
          <w:trHeight w:val="24"/>
        </w:trPr>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103,763,285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103,763,285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under long-term lease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4,310,040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774,781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1,600,872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1,600,872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333,515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-334010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-334010</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-334010</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-334010</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-334010</wp:posOffset>
            </wp:positionV>
            <wp:extent cx="1200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Valuation of Portfolio Investments</w:t>
      </w:r>
    </w:p>
    <w:p>
      <w:pPr>
        <w:spacing w:after="0" w:line="108" w:lineRule="exact"/>
        <w:rPr>
          <w:sz w:val="20"/>
          <w:szCs w:val="20"/>
          <w:color w:val="auto"/>
        </w:rPr>
      </w:pPr>
    </w:p>
    <w:p>
      <w:pPr>
        <w:jc w:val="both"/>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ectPr>
          <w:pgSz w:w="11900" w:h="16838" w:orient="portrait"/>
          <w:cols w:equalWidth="0" w:num="1">
            <w:col w:w="10219"/>
          </w:cols>
          <w:pgMar w:left="240" w:top="114" w:right="1440" w:bottom="1440" w:gutter="0" w:footer="0" w:header="0"/>
        </w:sectPr>
      </w:pP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77"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7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See Note 4 to the consolidated financial statements for the additional information about the level of market observability associated with investments carried at fair value.</w:t>
      </w:r>
    </w:p>
    <w:p>
      <w:pPr>
        <w:spacing w:after="0" w:line="54"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The Company follows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89"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ASC 820: Fair Value establishes the following three-level hierarchy, based upon the transparency of inputs to the fair value measurement of an asset or liability as of the measurement date:</w:t>
      </w:r>
    </w:p>
    <w:p>
      <w:pPr>
        <w:spacing w:after="0" w:line="54" w:lineRule="exact"/>
        <w:rPr>
          <w:sz w:val="20"/>
          <w:szCs w:val="20"/>
          <w:color w:val="auto"/>
        </w:rPr>
      </w:pPr>
    </w:p>
    <w:p>
      <w:pPr>
        <w:ind w:left="1260" w:right="999" w:firstLine="360"/>
        <w:spacing w:after="0" w:line="261" w:lineRule="auto"/>
        <w:rPr>
          <w:sz w:val="20"/>
          <w:szCs w:val="20"/>
          <w:color w:val="auto"/>
        </w:rPr>
      </w:pPr>
      <w:r>
        <w:rPr>
          <w:rFonts w:ascii="Times New Roman" w:cs="Times New Roman" w:eastAsia="Times New Roman" w:hAnsi="Times New Roman"/>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2" w:lineRule="exact"/>
        <w:rPr>
          <w:sz w:val="20"/>
          <w:szCs w:val="20"/>
          <w:color w:val="auto"/>
        </w:rPr>
      </w:pPr>
    </w:p>
    <w:p>
      <w:pPr>
        <w:ind w:left="1260" w:right="959" w:firstLine="360"/>
        <w:spacing w:after="0" w:line="255" w:lineRule="auto"/>
        <w:rPr>
          <w:sz w:val="20"/>
          <w:szCs w:val="20"/>
          <w:color w:val="auto"/>
        </w:rPr>
      </w:pPr>
      <w:r>
        <w:rPr>
          <w:rFonts w:ascii="Times New Roman" w:cs="Times New Roman" w:eastAsia="Times New Roman" w:hAnsi="Times New Roman"/>
          <w:sz w:val="18"/>
          <w:szCs w:val="18"/>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81"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2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83" w:lineRule="exact"/>
        <w:rPr>
          <w:sz w:val="20"/>
          <w:szCs w:val="20"/>
          <w:color w:val="auto"/>
        </w:rPr>
      </w:pPr>
    </w:p>
    <w:p>
      <w:pPr>
        <w:ind w:left="1260" w:right="1039" w:firstLine="360"/>
        <w:spacing w:after="0" w:line="258" w:lineRule="auto"/>
        <w:rPr>
          <w:sz w:val="20"/>
          <w:szCs w:val="20"/>
          <w:color w:val="auto"/>
        </w:rPr>
      </w:pPr>
      <w:r>
        <w:rPr>
          <w:rFonts w:ascii="Times New Roman" w:cs="Times New Roman" w:eastAsia="Times New Roman" w:hAnsi="Times New Roman"/>
          <w:sz w:val="18"/>
          <w:szCs w:val="18"/>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76" w:lineRule="exact"/>
        <w:rPr>
          <w:sz w:val="20"/>
          <w:szCs w:val="20"/>
          <w:color w:val="auto"/>
        </w:rPr>
      </w:pPr>
    </w:p>
    <w:p>
      <w:pPr>
        <w:ind w:left="1260" w:right="759" w:firstLine="360"/>
        <w:spacing w:after="0" w:line="268" w:lineRule="auto"/>
        <w:rPr>
          <w:sz w:val="20"/>
          <w:szCs w:val="20"/>
          <w:color w:val="auto"/>
        </w:rPr>
      </w:pPr>
      <w:r>
        <w:rPr>
          <w:rFonts w:ascii="Times New Roman" w:cs="Times New Roman" w:eastAsia="Times New Roman" w:hAnsi="Times New Roman"/>
          <w:sz w:val="17"/>
          <w:szCs w:val="17"/>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w:t>
      </w:r>
    </w:p>
    <w:p>
      <w:pPr>
        <w:spacing w:after="0" w:line="1" w:lineRule="exact"/>
        <w:rPr>
          <w:sz w:val="20"/>
          <w:szCs w:val="20"/>
          <w:color w:val="auto"/>
        </w:rPr>
      </w:pPr>
    </w:p>
    <w:p>
      <w:pPr>
        <w:ind w:left="1260" w:right="759" w:firstLine="8"/>
        <w:spacing w:after="0" w:line="252" w:lineRule="auto"/>
        <w:tabs>
          <w:tab w:leader="none" w:pos="15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81"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The Company’s investment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81"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Company carries investments in joint ventures at fair value based upon the fair value of the investments held by the joint venture.</w:t>
      </w:r>
    </w:p>
    <w:p>
      <w:pPr>
        <w:spacing w:after="0" w:line="54"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w:t>
      </w:r>
    </w:p>
    <w:p>
      <w:pPr>
        <w:spacing w:after="0" w:line="2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6"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81" w:lineRule="exact"/>
        <w:rPr>
          <w:sz w:val="20"/>
          <w:szCs w:val="20"/>
          <w:color w:val="auto"/>
        </w:rPr>
      </w:pPr>
    </w:p>
    <w:p>
      <w:pPr>
        <w:ind w:left="1260" w:right="1159" w:firstLine="360"/>
        <w:spacing w:after="0" w:line="261" w:lineRule="auto"/>
        <w:rPr>
          <w:sz w:val="20"/>
          <w:szCs w:val="20"/>
          <w:color w:val="auto"/>
        </w:rPr>
      </w:pPr>
      <w:r>
        <w:rPr>
          <w:rFonts w:ascii="Times New Roman" w:cs="Times New Roman" w:eastAsia="Times New Roman" w:hAnsi="Times New Roman"/>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72"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76"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may consider other methods of valuation to determine the fair value of investments as appropriate in conformity with GAAP.</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Times New Roman" w:cs="Times New Roman" w:eastAsia="Times New Roman" w:hAnsi="Times New Roman"/>
          <w:sz w:val="18"/>
          <w:szCs w:val="18"/>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2018, five of our investments were on non-accrual status. As of December 31, 2017, two of our investments were on partial non-accrual status, whereby we have recognized income on a portion of contractual PIK amounts due.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Income on CLO Fund Securities</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Times New Roman" w:cs="Times New Roman" w:eastAsia="Times New Roman" w:hAnsi="Times New Roman"/>
          <w:sz w:val="18"/>
          <w:szCs w:val="18"/>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2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77"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For non-junior class CLO Fund Securities, such as our investment in the class E notes of KCAP F3C Senior Funding, L.L.C., interest is earned at a fixed spread relative to the LIBOR index.</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Asset Manager Affiliates</w:t>
      </w:r>
    </w:p>
    <w:p>
      <w:pPr>
        <w:spacing w:after="0" w:line="108"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We record distributions from the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in Kind Interest</w:t>
      </w:r>
    </w:p>
    <w:p>
      <w:pPr>
        <w:spacing w:after="0" w:line="108" w:lineRule="exact"/>
        <w:rPr>
          <w:sz w:val="20"/>
          <w:szCs w:val="20"/>
          <w:color w:val="auto"/>
        </w:rPr>
      </w:pPr>
    </w:p>
    <w:p>
      <w:pPr>
        <w:ind w:left="1260" w:right="879" w:firstLine="360"/>
        <w:spacing w:after="0" w:line="281" w:lineRule="auto"/>
        <w:rPr>
          <w:sz w:val="20"/>
          <w:szCs w:val="20"/>
          <w:color w:val="auto"/>
        </w:rPr>
      </w:pPr>
      <w:r>
        <w:rPr>
          <w:rFonts w:ascii="Times New Roman" w:cs="Times New Roman" w:eastAsia="Times New Roman" w:hAnsi="Times New Roman"/>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08"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 Compensation</w:t>
      </w:r>
    </w:p>
    <w:p>
      <w:pPr>
        <w:spacing w:after="0" w:line="108"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We may issue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68" w:lineRule="exact"/>
        <w:rPr>
          <w:sz w:val="20"/>
          <w:szCs w:val="20"/>
          <w:color w:val="auto"/>
        </w:rPr>
      </w:pPr>
    </w:p>
    <w:p>
      <w:pPr>
        <w:ind w:left="1260" w:right="919" w:firstLine="360"/>
        <w:spacing w:after="0" w:line="256" w:lineRule="auto"/>
        <w:rPr>
          <w:sz w:val="20"/>
          <w:szCs w:val="20"/>
          <w:color w:val="auto"/>
        </w:rPr>
      </w:pPr>
      <w:r>
        <w:rPr>
          <w:rFonts w:ascii="Times New Roman" w:cs="Times New Roman" w:eastAsia="Times New Roman" w:hAnsi="Times New Roman"/>
          <w:sz w:val="18"/>
          <w:szCs w:val="18"/>
          <w:color w:val="auto"/>
        </w:rPr>
        <w:t>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the Company’s common stock granted under the Company’s 2008 Non-Employee Director Plan that is outstanding immediately prior to the Externalization (each, a “Company Stock Option”) will be cancelled in exchange for the payment in cash to the holder thereof.</w:t>
      </w:r>
    </w:p>
    <w:p>
      <w:pPr>
        <w:spacing w:after="0" w:line="80"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each restricted share of the Company (the “Company Restricted Share”) outstanding and not previously forfeited under the Company’s Equity Incentive Plan and the Company’s Non-Employee Director Plan shall become fully vested, all restrictions with respect to such Company Restricted Shares shall lapse, and the holders of such Company Restricted Shares shall be entitled to receive a pro rata share of the Stockholder Payment. In certain circumstances, the Company will, in</w:t>
      </w:r>
    </w:p>
    <w:p>
      <w:pPr>
        <w:spacing w:after="0" w:line="25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39"/>
        <w:spacing w:after="0" w:line="256" w:lineRule="auto"/>
        <w:rPr>
          <w:sz w:val="20"/>
          <w:szCs w:val="20"/>
          <w:color w:val="auto"/>
        </w:rPr>
      </w:pPr>
      <w:r>
        <w:rPr>
          <w:rFonts w:ascii="Times New Roman" w:cs="Times New Roman" w:eastAsia="Times New Roman" w:hAnsi="Times New Roman"/>
          <w:sz w:val="18"/>
          <w:szCs w:val="18"/>
          <w:color w:val="auto"/>
        </w:rPr>
        <w:t>accordance with the procedures adopted by the Company, withhold a number of the Company Restricted Shares having a fair market value (determined on the date such shares are withheld) equal to the aggregate amount required to be deducted and withheld under the Code and any applicable state or local tax law with respect to the lapsing of restrictions on all the Company Restricted Shares held by the relevant holder, and the Company shall pay over to the appropriate taxing authorities a corresponding amount of cash in satisfaction of such tax liabilities.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States Federal Income Taxes</w:t>
      </w:r>
    </w:p>
    <w:p>
      <w:pPr>
        <w:spacing w:after="0" w:line="108"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to Shareholders</w:t>
      </w:r>
    </w:p>
    <w:p>
      <w:pPr>
        <w:spacing w:after="0" w:line="10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amount of our declared distributions, as evaluated by management and approved by our Board of Directors, is based primarily on our evaluation of net investment income, distributable taxable income and, prior to their disposition, the after-tax free cash flow from the Asset Manager Affiliates.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See Note 2 to the financial statements included in this annual report, for a description of recent accounting pronouncements.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At the Special Meeting held on February 19, 2019, our stockholders approved the Advisory Agreement. If the transactions contemplated by the Externalization Agreement are completed, upon the Closing, we will commence operations as an externally managed BDC managed by the Adviser.</w:t>
      </w:r>
    </w:p>
    <w:p>
      <w:pPr>
        <w:spacing w:after="0" w:line="6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Company anticipates that the Closing will occur at the end of the quarter ending March 31, 2019, but the Company will issue a press release announcing the record date and payment date of the stockholder payment.</w:t>
      </w:r>
    </w:p>
    <w:p>
      <w:pPr>
        <w:spacing w:after="0" w:line="171"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8"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81"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Our investment income is affected by fluctuations in various interest rates, including LIBOR and prime rates. As of December 31, 2018, approximately 81% of our Debt Securities Portfolio were floating rate with a spread to an interest rate index such as LIBOR or the prime rate. Most of these floating rate loans</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79"/>
        <w:spacing w:after="0" w:line="261" w:lineRule="auto"/>
        <w:rPr>
          <w:sz w:val="20"/>
          <w:szCs w:val="20"/>
          <w:color w:val="auto"/>
        </w:rPr>
      </w:pPr>
      <w:r>
        <w:rPr>
          <w:rFonts w:ascii="Times New Roman" w:cs="Times New Roman" w:eastAsia="Times New Roman" w:hAnsi="Times New Roman"/>
          <w:sz w:val="18"/>
          <w:szCs w:val="18"/>
          <w:color w:val="auto"/>
        </w:rPr>
        <w:t>contain LIBOR floors ranging between 0.75% and 3.0%. We generally expect that future portfolio investments will predominately be floating rate investments. As of December 31, 2018, we had $104 million (par value) of borrowings outstanding at a current weighted average rate of 6.0%, of which $77.4 million par value has a fixed rate and $26.4 million par value has a floating rate.</w:t>
      </w:r>
    </w:p>
    <w:p>
      <w:pPr>
        <w:spacing w:after="0" w:line="72" w:lineRule="exact"/>
        <w:rPr>
          <w:sz w:val="20"/>
          <w:szCs w:val="20"/>
          <w:color w:val="auto"/>
        </w:rPr>
      </w:pPr>
    </w:p>
    <w:p>
      <w:pPr>
        <w:ind w:left="1260" w:right="1119" w:firstLine="360"/>
        <w:spacing w:after="0" w:line="261" w:lineRule="auto"/>
        <w:rPr>
          <w:sz w:val="20"/>
          <w:szCs w:val="20"/>
          <w:color w:val="auto"/>
        </w:rPr>
      </w:pPr>
      <w:r>
        <w:rPr>
          <w:rFonts w:ascii="Times New Roman" w:cs="Times New Roman" w:eastAsia="Times New Roman" w:hAnsi="Times New Roman"/>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6.125% Notes Due 2022 would remain the same, given that this debt is at a fixed rate.</w:t>
      </w:r>
    </w:p>
    <w:p>
      <w:pPr>
        <w:spacing w:after="0" w:line="72" w:lineRule="exact"/>
        <w:rPr>
          <w:sz w:val="20"/>
          <w:szCs w:val="20"/>
          <w:color w:val="auto"/>
        </w:rPr>
      </w:pPr>
    </w:p>
    <w:p>
      <w:pPr>
        <w:jc w:val="both"/>
        <w:ind w:left="1260" w:right="1119" w:firstLine="360"/>
        <w:spacing w:after="0" w:line="261" w:lineRule="auto"/>
        <w:rPr>
          <w:sz w:val="20"/>
          <w:szCs w:val="20"/>
          <w:color w:val="auto"/>
        </w:rPr>
      </w:pPr>
      <w:r>
        <w:rPr>
          <w:rFonts w:ascii="Times New Roman" w:cs="Times New Roman" w:eastAsia="Times New Roman" w:hAnsi="Times New Roman"/>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7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We have analyzed the potential impact of changes in interest rates on interest income net of interest expense. Assuming that our balance sheet at December 31, 2018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0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Impact on net investment income</w:t>
      </w:r>
    </w:p>
    <w:p>
      <w:pPr>
        <w:spacing w:after="0" w:line="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from a change in interest rates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22225</wp:posOffset>
            </wp:positionV>
            <wp:extent cx="19723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9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6"/>
                <w:szCs w:val="16"/>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6"/>
                <w:szCs w:val="16"/>
                <w:color w:val="auto"/>
              </w:rPr>
            </w:pPr>
          </w:p>
        </w:tc>
        <w:tc>
          <w:tcPr>
            <w:tcW w:w="9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3%</w:t>
            </w:r>
          </w:p>
        </w:tc>
        <w:tc>
          <w:tcPr>
            <w:tcW w:w="60" w:type="dxa"/>
            <w:vAlign w:val="bottom"/>
          </w:tcPr>
          <w:p>
            <w:pPr>
              <w:spacing w:after="0"/>
              <w:rPr>
                <w:sz w:val="16"/>
                <w:szCs w:val="16"/>
                <w:color w:val="auto"/>
              </w:rPr>
            </w:pPr>
          </w:p>
        </w:tc>
      </w:tr>
      <w:tr>
        <w:trPr>
          <w:trHeight w:val="24"/>
        </w:trPr>
        <w:tc>
          <w:tcPr>
            <w:tcW w:w="4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rate</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$ 1,308,997</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$ 2,404,715</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$ 3,500,433</w:t>
            </w:r>
          </w:p>
        </w:tc>
        <w:tc>
          <w:tcPr>
            <w:tcW w:w="60" w:type="dxa"/>
            <w:vAlign w:val="bottom"/>
          </w:tcPr>
          <w:p>
            <w:pPr>
              <w:spacing w:after="0"/>
              <w:rPr>
                <w:sz w:val="21"/>
                <w:szCs w:val="21"/>
                <w:color w:val="auto"/>
              </w:rPr>
            </w:pP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interest rate</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$(1,095,718)</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$(1,736,870)</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$(1,799,887)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-334010</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-334010</wp:posOffset>
            </wp:positionV>
            <wp:extent cx="34817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As shown above, net investment income assuming a 1% increase in interest rates would increase by approximately $1.3 million on an annualized basis. If the increase in rates was more significant, such as 2% or 3%, the net effect on net investment income would be an increase of approximately $2.4 million and $3.5 million, respectively.</w:t>
      </w:r>
    </w:p>
    <w:p>
      <w:pPr>
        <w:spacing w:after="0" w:line="7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On an annualized basis, a decrease in interest rates of 1%, 2% and 3% would result in a decrease in net investment income of approximately $1.1 million, $1.7 million and $1.8 million, respectively. The negative impact of a 3% decline in interest rates is only slightly more severe than the impact of a 2% decline in interest rates due to the impact of interest rate floors on certain of our floating rate investments, as there is no floor on our floating rate debt facility.</w:t>
      </w:r>
    </w:p>
    <w:p>
      <w:pPr>
        <w:spacing w:after="0" w:line="76"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did not hold any derivative financial instruments for hedging purposes as of December 31, 2018.</w:t>
      </w:r>
    </w:p>
    <w:p>
      <w:pPr>
        <w:spacing w:after="0" w:line="2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Portfolio Valuation</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w:t>
      </w:r>
    </w:p>
    <w:p>
      <w:pPr>
        <w:spacing w:after="0" w:line="24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spacing w:after="0" w:line="266" w:lineRule="auto"/>
        <w:rPr>
          <w:sz w:val="20"/>
          <w:szCs w:val="20"/>
          <w:color w:val="auto"/>
        </w:rPr>
      </w:pPr>
      <w:r>
        <w:rPr>
          <w:rFonts w:ascii="Times New Roman" w:cs="Times New Roman" w:eastAsia="Times New Roman" w:hAnsi="Times New Roman"/>
          <w:sz w:val="18"/>
          <w:szCs w:val="18"/>
          <w:color w:val="auto"/>
        </w:rPr>
        <w:t>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6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99"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financial statements are annexed to this Annual Report beginning on page F-1.</w:t>
      </w:r>
    </w:p>
    <w:p>
      <w:pPr>
        <w:spacing w:after="0" w:line="221"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06" w:lineRule="exact"/>
        <w:rPr>
          <w:sz w:val="20"/>
          <w:szCs w:val="20"/>
          <w:color w:val="auto"/>
        </w:rPr>
      </w:pPr>
    </w:p>
    <w:p>
      <w:pPr>
        <w:ind w:left="1260" w:right="8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management is responsible for establishing and maintaining adequate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as defined in Rules 13a-15(f)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2" w:lineRule="exact"/>
        <w:rPr>
          <w:sz w:val="20"/>
          <w:szCs w:val="20"/>
          <w:color w:val="auto"/>
        </w:rPr>
      </w:pPr>
    </w:p>
    <w:p>
      <w:pPr>
        <w:ind w:left="1260" w:right="10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Scope of Management’s Report on Internal Control Over Financial Reporting. </w:t>
      </w:r>
      <w:r>
        <w:rPr>
          <w:rFonts w:ascii="Times New Roman" w:cs="Times New Roman" w:eastAsia="Times New Roman" w:hAnsi="Times New Roman"/>
          <w:sz w:val="18"/>
          <w:szCs w:val="18"/>
          <w:color w:val="auto"/>
        </w:rPr>
        <w:t>The Company’s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includes those policies and procedures that:</w:t>
      </w:r>
    </w:p>
    <w:p>
      <w:pPr>
        <w:spacing w:after="0" w:line="133" w:lineRule="exact"/>
        <w:rPr>
          <w:sz w:val="20"/>
          <w:szCs w:val="20"/>
          <w:color w:val="auto"/>
        </w:rPr>
      </w:pPr>
    </w:p>
    <w:p>
      <w:pPr>
        <w:ind w:left="1980" w:right="1499" w:hanging="352"/>
        <w:spacing w:after="0" w:line="282"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21" w:lineRule="exact"/>
        <w:rPr>
          <w:rFonts w:ascii="Times New Roman" w:cs="Times New Roman" w:eastAsia="Times New Roman" w:hAnsi="Times New Roman"/>
          <w:sz w:val="18"/>
          <w:szCs w:val="18"/>
          <w:color w:val="auto"/>
        </w:rPr>
      </w:pPr>
    </w:p>
    <w:p>
      <w:pPr>
        <w:ind w:left="1980" w:right="1099" w:hanging="352"/>
        <w:spacing w:after="0" w:line="261"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139" w:lineRule="exact"/>
        <w:rPr>
          <w:rFonts w:ascii="Times New Roman" w:cs="Times New Roman" w:eastAsia="Times New Roman" w:hAnsi="Times New Roman"/>
          <w:sz w:val="18"/>
          <w:szCs w:val="18"/>
          <w:color w:val="auto"/>
        </w:rPr>
      </w:pPr>
    </w:p>
    <w:p>
      <w:pPr>
        <w:ind w:left="1980" w:right="819" w:hanging="352"/>
        <w:spacing w:after="0" w:line="266"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Company’s financial statements.</w:t>
      </w:r>
    </w:p>
    <w:p>
      <w:pPr>
        <w:spacing w:after="0" w:line="68" w:lineRule="exact"/>
        <w:rPr>
          <w:sz w:val="20"/>
          <w:szCs w:val="20"/>
          <w:color w:val="auto"/>
        </w:rPr>
      </w:pPr>
    </w:p>
    <w:p>
      <w:pPr>
        <w:ind w:left="1260" w:right="999" w:firstLine="36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8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Conclusion. </w:t>
      </w:r>
      <w:r>
        <w:rPr>
          <w:rFonts w:ascii="Times New Roman" w:cs="Times New Roman" w:eastAsia="Times New Roman" w:hAnsi="Times New Roman"/>
          <w:sz w:val="18"/>
          <w:szCs w:val="18"/>
          <w:color w:val="auto"/>
        </w:rPr>
        <w:t>Management, including the Company’s CEO and CFO, assessed the effectiveness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internal control over financial reporting as of December 31, 2018. In making this assessment, management used the criteria established in the 2013 Internal Control-Integrated Framework issued by the Committee of Sponsoring Organizations of the Treadway Commission (COSO). Based on management’s assessment, management concluded, subject to the limitations described under “Scope of Management’s Report on Internal Control Over Financial Reporting” above, that the Company maintained effective internal control over financial reporting as of December 31, 2018.</w:t>
      </w:r>
    </w:p>
    <w:p>
      <w:pPr>
        <w:spacing w:after="0" w:line="1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Independent Registered Public Accounting Firm.</w:t>
      </w:r>
    </w:p>
    <w:p>
      <w:pPr>
        <w:spacing w:after="0" w:line="108" w:lineRule="exact"/>
        <w:rPr>
          <w:sz w:val="20"/>
          <w:szCs w:val="20"/>
          <w:color w:val="auto"/>
        </w:rPr>
      </w:pPr>
    </w:p>
    <w:p>
      <w:pPr>
        <w:ind w:left="1260" w:right="1339" w:firstLine="36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audited and issued a report on the Company’s internal control over financial reporting, which appears in Item 15 of this report.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2018 that have materially affected, or are reasonably likely to materially affect, our internal control over financial reporting.</w:t>
      </w:r>
    </w:p>
    <w:p>
      <w:pPr>
        <w:spacing w:after="0" w:line="240"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is hereby incorporated by reference from the Company’s definitive Proxy Statement relating to the Company’s 2019 Annual Meeting of Stockholders, to be filed with the Securities and Exchange Commission within 120 days following the end of the Company’s fiscal year.</w:t>
      </w:r>
    </w:p>
    <w:p>
      <w:pPr>
        <w:spacing w:after="0" w:line="6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Sarbanes-Oxley Code of Ethics that applies to directors, officers and employees of the Company. This code of ethics is published on our website at </w:t>
      </w:r>
      <w:r>
        <w:rPr>
          <w:rFonts w:ascii="Times New Roman" w:cs="Times New Roman" w:eastAsia="Times New Roman" w:hAnsi="Times New Roman"/>
          <w:sz w:val="18"/>
          <w:szCs w:val="18"/>
          <w:i w:val="1"/>
          <w:iCs w:val="1"/>
          <w:color w:val="auto"/>
        </w:rPr>
        <w:t>www.kcapfinancial.com</w:t>
      </w:r>
      <w:r>
        <w:rPr>
          <w:rFonts w:ascii="Times New Roman" w:cs="Times New Roman" w:eastAsia="Times New Roman" w:hAnsi="Times New Roman"/>
          <w:sz w:val="18"/>
          <w:szCs w:val="18"/>
          <w:color w:val="auto"/>
        </w:rPr>
        <w:t>. We intend to disclose any future amendments to, or waivers from, this code of ethics within four business days of the waiver or amendment through a website posting.</w:t>
      </w:r>
    </w:p>
    <w:p>
      <w:pPr>
        <w:spacing w:after="0" w:line="244"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from the Company’s definitive Proxy Statement relating to the Company’s 2019 Annual Meeting of Stockholders, to be filed with the Securities and Exchange Commission within 120 days following the end of the Company’s fiscal year.</w:t>
      </w:r>
    </w:p>
    <w:p>
      <w:pPr>
        <w:spacing w:after="0" w:line="226" w:lineRule="exact"/>
        <w:rPr>
          <w:sz w:val="20"/>
          <w:szCs w:val="20"/>
          <w:color w:val="auto"/>
        </w:rPr>
      </w:pPr>
    </w:p>
    <w:p>
      <w:pPr>
        <w:ind w:left="2160" w:right="1159" w:hanging="899"/>
        <w:spacing w:after="0" w:line="255"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64"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is hereby incorporated by reference from the Company’s definitive Proxy Statement relating to the Company’s 2019 Annual Meeting of Stockholders, to be filed with the Securities and Exchange Commission within 120 days following the end of the Company’s fiscal year.</w:t>
      </w:r>
    </w:p>
    <w:p>
      <w:pPr>
        <w:spacing w:after="0" w:line="226"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from the Company’s definitive Proxy Statement relating to the Company’s 2019 Annual Meeting of Stockholders, to be filed with the Securities and Exchange Commission within 120 days following the end of the Company’s fiscal year.</w:t>
      </w:r>
    </w:p>
    <w:p>
      <w:pPr>
        <w:spacing w:after="0" w:line="240"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from the Company’s definitive Proxy Statement relating to the Company’s 2019 Annual Meeting of Stockholders, to be filed with the Securities and Exchange Commission within 120 days following the end of the Company’s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ind w:left="12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00" w:lineRule="exact"/>
        <w:rPr>
          <w:sz w:val="20"/>
          <w:szCs w:val="20"/>
          <w:color w:val="auto"/>
        </w:rPr>
      </w:pPr>
    </w:p>
    <w:p>
      <w:pPr>
        <w:ind w:left="1520" w:hanging="252"/>
        <w:spacing w:after="0"/>
        <w:tabs>
          <w:tab w:leader="none" w:pos="15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Documents filed as part of this report:</w:t>
      </w:r>
    </w:p>
    <w:p>
      <w:pPr>
        <w:spacing w:after="0" w:line="105" w:lineRule="exact"/>
        <w:rPr>
          <w:rFonts w:ascii="Times New Roman" w:cs="Times New Roman" w:eastAsia="Times New Roman" w:hAnsi="Times New Roman"/>
          <w:sz w:val="18"/>
          <w:szCs w:val="18"/>
          <w:i w:val="1"/>
          <w:iCs w:val="1"/>
          <w:color w:val="auto"/>
        </w:rPr>
      </w:pPr>
    </w:p>
    <w:p>
      <w:pPr>
        <w:ind w:left="1620" w:right="1039" w:firstLine="368"/>
        <w:spacing w:after="0" w:line="282" w:lineRule="auto"/>
        <w:tabs>
          <w:tab w:leader="none" w:pos="2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 of the consolidated financial information included herein, see Index to the Consolidated Financial Statements on page F-1.</w:t>
      </w:r>
    </w:p>
    <w:p>
      <w:pPr>
        <w:spacing w:after="0" w:line="53" w:lineRule="exact"/>
        <w:rPr>
          <w:rFonts w:ascii="Times New Roman" w:cs="Times New Roman" w:eastAsia="Times New Roman" w:hAnsi="Times New Roman"/>
          <w:sz w:val="18"/>
          <w:szCs w:val="18"/>
          <w:color w:val="auto"/>
        </w:rPr>
      </w:pPr>
    </w:p>
    <w:p>
      <w:pPr>
        <w:ind w:left="1620" w:right="1119" w:firstLine="368"/>
        <w:spacing w:after="0" w:line="282" w:lineRule="auto"/>
        <w:tabs>
          <w:tab w:leader="none" w:pos="2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 of the other financial statements and financial statement schedules included herein, see Index to Other Financial Statements and Financial Statement Schedules on page S-1.</w:t>
      </w:r>
    </w:p>
    <w:p>
      <w:pPr>
        <w:spacing w:after="0" w:line="53" w:lineRule="exact"/>
        <w:rPr>
          <w:rFonts w:ascii="Times New Roman" w:cs="Times New Roman" w:eastAsia="Times New Roman" w:hAnsi="Times New Roman"/>
          <w:sz w:val="18"/>
          <w:szCs w:val="18"/>
          <w:color w:val="auto"/>
        </w:rPr>
      </w:pPr>
    </w:p>
    <w:p>
      <w:pPr>
        <w:ind w:left="2160" w:hanging="171"/>
        <w:spacing w:after="0"/>
        <w:tabs>
          <w:tab w:leader="none" w:pos="2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 of other exhibits included herein, see Exhibit List on page E-1.</w:t>
      </w:r>
    </w:p>
    <w:p>
      <w:pPr>
        <w:spacing w:after="0" w:line="209" w:lineRule="exact"/>
        <w:rPr>
          <w:rFonts w:ascii="Times New Roman" w:cs="Times New Roman" w:eastAsia="Times New Roman" w:hAnsi="Times New Roman"/>
          <w:sz w:val="18"/>
          <w:szCs w:val="18"/>
          <w:color w:val="auto"/>
        </w:rPr>
      </w:pPr>
    </w:p>
    <w:p>
      <w:pPr>
        <w:ind w:left="1260" w:right="899" w:firstLine="8"/>
        <w:spacing w:after="0" w:line="253" w:lineRule="auto"/>
        <w:tabs>
          <w:tab w:leader="none" w:pos="1515"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required by Item 601of Regulation S-K. </w:t>
      </w:r>
      <w:r>
        <w:rPr>
          <w:rFonts w:ascii="Times New Roman" w:cs="Times New Roman" w:eastAsia="Times New Roman" w:hAnsi="Times New Roman"/>
          <w:sz w:val="18"/>
          <w:szCs w:val="18"/>
          <w:color w:val="auto"/>
        </w:rPr>
        <w:t>Reference is made to the Exhibit List filed as a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beginning on page E-1. Each of such exhibits is incorporated by reference herein.</w:t>
      </w:r>
    </w:p>
    <w:p>
      <w:pPr>
        <w:spacing w:after="0" w:line="157" w:lineRule="exact"/>
        <w:rPr>
          <w:rFonts w:ascii="Times New Roman" w:cs="Times New Roman" w:eastAsia="Times New Roman" w:hAnsi="Times New Roman"/>
          <w:sz w:val="18"/>
          <w:szCs w:val="18"/>
          <w:i w:val="1"/>
          <w:iCs w:val="1"/>
          <w:color w:val="auto"/>
        </w:rPr>
      </w:pPr>
    </w:p>
    <w:p>
      <w:pPr>
        <w:ind w:left="1260" w:right="799" w:firstLine="8"/>
        <w:spacing w:after="0" w:line="237" w:lineRule="auto"/>
        <w:tabs>
          <w:tab w:leader="none" w:pos="1505"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financial statements and financial statement schedules. </w:t>
      </w:r>
      <w:r>
        <w:rPr>
          <w:rFonts w:ascii="Times New Roman" w:cs="Times New Roman" w:eastAsia="Times New Roman" w:hAnsi="Times New Roman"/>
          <w:sz w:val="18"/>
          <w:szCs w:val="18"/>
          <w:color w:val="auto"/>
        </w:rPr>
        <w:t>Reference is made to the Index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Financial Statement Schedules on page S-1. Each of such documents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KCAP Financial, Inc.</w:t>
      </w:r>
    </w:p>
    <w:p>
      <w:pPr>
        <w:spacing w:after="0" w:line="50" w:lineRule="exact"/>
        <w:rPr>
          <w:sz w:val="20"/>
          <w:szCs w:val="20"/>
          <w:color w:val="auto"/>
        </w:rPr>
      </w:pPr>
    </w:p>
    <w:p>
      <w:pPr>
        <w:ind w:left="1260"/>
        <w:spacing w:after="0"/>
        <w:tabs>
          <w:tab w:leader="none" w:pos="5460" w:val="left"/>
          <w:tab w:leader="none" w:pos="5820" w:val="left"/>
        </w:tabs>
        <w:rPr>
          <w:sz w:val="20"/>
          <w:szCs w:val="20"/>
          <w:color w:val="auto"/>
        </w:rPr>
      </w:pPr>
      <w:r>
        <w:rPr>
          <w:rFonts w:ascii="Times New Roman" w:cs="Times New Roman" w:eastAsia="Times New Roman" w:hAnsi="Times New Roman"/>
          <w:sz w:val="18"/>
          <w:szCs w:val="18"/>
          <w:color w:val="auto"/>
        </w:rPr>
        <w:t>Date: February 26, 2019</w:t>
      </w:r>
      <w:r>
        <w:rPr>
          <w:sz w:val="20"/>
          <w:szCs w:val="20"/>
          <w:color w:val="auto"/>
        </w:rPr>
        <w:tab/>
      </w:r>
      <w:r>
        <w:rPr>
          <w:rFonts w:ascii="Times New Roman" w:cs="Times New Roman" w:eastAsia="Times New Roman" w:hAnsi="Times New Roman"/>
          <w:sz w:val="18"/>
          <w:szCs w:val="18"/>
          <w:color w:val="auto"/>
        </w:rPr>
        <w:t>By</w:t>
        <w:tab/>
        <w:t>/s/ D</w:t>
      </w:r>
      <w:r>
        <w:rPr>
          <w:rFonts w:ascii="Times New Roman" w:cs="Times New Roman" w:eastAsia="Times New Roman" w:hAnsi="Times New Roman"/>
          <w:sz w:val="12"/>
          <w:szCs w:val="12"/>
          <w:color w:val="auto"/>
        </w:rPr>
        <w:t>AYL</w:t>
      </w:r>
      <w:r>
        <w:rPr>
          <w:rFonts w:ascii="Times New Roman" w:cs="Times New Roman" w:eastAsia="Times New Roman" w:hAnsi="Times New Roman"/>
          <w:sz w:val="18"/>
          <w:szCs w:val="18"/>
          <w:color w:val="auto"/>
        </w:rPr>
        <w:t xml:space="preserve"> W. P</w:t>
      </w:r>
      <w:r>
        <w:rPr>
          <w:rFonts w:ascii="Times New Roman" w:cs="Times New Roman" w:eastAsia="Times New Roman" w:hAnsi="Times New Roman"/>
          <w:sz w:val="12"/>
          <w:szCs w:val="12"/>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51435</wp:posOffset>
            </wp:positionV>
            <wp:extent cx="23069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Dayl W. Pearson</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1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 * * * *</w:t>
      </w:r>
    </w:p>
    <w:p>
      <w:pPr>
        <w:spacing w:after="0" w:line="117"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1260"/>
        <w:spacing w:after="0"/>
        <w:tabs>
          <w:tab w:leader="none" w:pos="5640" w:val="left"/>
          <w:tab w:leader="none" w:pos="86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33655</wp:posOffset>
            </wp:positionV>
            <wp:extent cx="52139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AYL</w:t>
      </w:r>
      <w:r>
        <w:rPr>
          <w:rFonts w:ascii="Times New Roman" w:cs="Times New Roman" w:eastAsia="Times New Roman" w:hAnsi="Times New Roman"/>
          <w:sz w:val="18"/>
          <w:szCs w:val="18"/>
          <w:color w:val="auto"/>
        </w:rPr>
        <w:t xml:space="preserve"> W. P</w:t>
      </w:r>
      <w:r>
        <w:rPr>
          <w:rFonts w:ascii="Times New Roman" w:cs="Times New Roman" w:eastAsia="Times New Roman" w:hAnsi="Times New Roman"/>
          <w:sz w:val="12"/>
          <w:szCs w:val="12"/>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60325</wp:posOffset>
            </wp:positionV>
            <wp:extent cx="14408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AYL</w:t>
      </w:r>
      <w:r>
        <w:rPr>
          <w:rFonts w:ascii="Times New Roman" w:cs="Times New Roman" w:eastAsia="Times New Roman" w:hAnsi="Times New Roman"/>
          <w:sz w:val="18"/>
          <w:szCs w:val="18"/>
          <w:b w:val="1"/>
          <w:bCs w:val="1"/>
          <w:color w:val="auto"/>
        </w:rPr>
        <w:t xml:space="preserve"> W. P</w:t>
      </w:r>
      <w:r>
        <w:rPr>
          <w:rFonts w:ascii="Times New Roman" w:cs="Times New Roman" w:eastAsia="Times New Roman" w:hAnsi="Times New Roman"/>
          <w:sz w:val="12"/>
          <w:szCs w:val="12"/>
          <w:b w:val="1"/>
          <w:bCs w:val="1"/>
          <w:color w:val="auto"/>
        </w:rPr>
        <w:t>EARSON</w:t>
      </w:r>
    </w:p>
    <w:p>
      <w:pPr>
        <w:spacing w:after="0" w:line="2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2"/>
          <w:szCs w:val="12"/>
          <w:color w:val="auto"/>
        </w:rPr>
        <w:t>DWARD</w:t>
      </w:r>
      <w:r>
        <w:rPr>
          <w:rFonts w:ascii="Times New Roman" w:cs="Times New Roman" w:eastAsia="Times New Roman" w:hAnsi="Times New Roman"/>
          <w:sz w:val="18"/>
          <w:szCs w:val="18"/>
          <w:color w:val="auto"/>
        </w:rPr>
        <w:t xml:space="preserve"> U. G</w:t>
      </w:r>
      <w:r>
        <w:rPr>
          <w:rFonts w:ascii="Times New Roman" w:cs="Times New Roman" w:eastAsia="Times New Roman" w:hAnsi="Times New Roman"/>
          <w:sz w:val="12"/>
          <w:szCs w:val="12"/>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60325</wp:posOffset>
            </wp:positionV>
            <wp:extent cx="14408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DWARD</w:t>
      </w:r>
      <w:r>
        <w:rPr>
          <w:rFonts w:ascii="Times New Roman" w:cs="Times New Roman" w:eastAsia="Times New Roman" w:hAnsi="Times New Roman"/>
          <w:sz w:val="18"/>
          <w:szCs w:val="18"/>
          <w:b w:val="1"/>
          <w:bCs w:val="1"/>
          <w:color w:val="auto"/>
        </w:rPr>
        <w:t xml:space="preserve"> U. G</w:t>
      </w:r>
      <w:r>
        <w:rPr>
          <w:rFonts w:ascii="Times New Roman" w:cs="Times New Roman" w:eastAsia="Times New Roman" w:hAnsi="Times New Roman"/>
          <w:sz w:val="12"/>
          <w:szCs w:val="12"/>
          <w:b w:val="1"/>
          <w:bCs w:val="1"/>
          <w:color w:val="auto"/>
        </w:rPr>
        <w:t>ILPIN</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HRISTOPHER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ACOVARA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60325</wp:posOffset>
            </wp:positionV>
            <wp:extent cx="14408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HRISTOPHER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ACOVARA</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18"/>
          <w:szCs w:val="18"/>
          <w:color w:val="auto"/>
        </w:rPr>
        <w:t>President and Chief Executive Officer</w:t>
      </w:r>
      <w:r>
        <w:rPr>
          <w:sz w:val="20"/>
          <w:szCs w:val="20"/>
          <w:color w:val="auto"/>
        </w:rPr>
        <w:tab/>
      </w:r>
      <w:r>
        <w:rPr>
          <w:rFonts w:ascii="Times New Roman" w:cs="Times New Roman" w:eastAsia="Times New Roman" w:hAnsi="Times New Roman"/>
          <w:sz w:val="17"/>
          <w:szCs w:val="17"/>
          <w:color w:val="auto"/>
        </w:rPr>
        <w:t>February 26, 2019</w:t>
      </w:r>
    </w:p>
    <w:p>
      <w:pPr>
        <w:spacing w:after="0" w:line="27" w:lineRule="exact"/>
        <w:rPr>
          <w:sz w:val="20"/>
          <w:szCs w:val="20"/>
          <w:color w:val="auto"/>
        </w:rPr>
      </w:pPr>
    </w:p>
    <w:p>
      <w:pPr>
        <w:ind w:right="2539"/>
        <w:spacing w:after="0" w:line="261" w:lineRule="auto"/>
        <w:rPr>
          <w:sz w:val="20"/>
          <w:szCs w:val="20"/>
          <w:color w:val="auto"/>
        </w:rPr>
      </w:pPr>
      <w:r>
        <w:rPr>
          <w:rFonts w:ascii="Times New Roman" w:cs="Times New Roman" w:eastAsia="Times New Roman" w:hAnsi="Times New Roman"/>
          <w:sz w:val="18"/>
          <w:szCs w:val="18"/>
          <w:color w:val="auto"/>
        </w:rPr>
        <w:t>(principal executive officer) and Member of the Board of Directors</w:t>
      </w:r>
    </w:p>
    <w:p>
      <w:pPr>
        <w:spacing w:after="0" w:line="112"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18"/>
          <w:szCs w:val="18"/>
          <w:color w:val="auto"/>
        </w:rPr>
        <w:t>Chief Financial Officer, Secretary and Treasurer</w:t>
      </w:r>
      <w:r>
        <w:rPr>
          <w:sz w:val="20"/>
          <w:szCs w:val="20"/>
          <w:color w:val="auto"/>
        </w:rPr>
        <w:tab/>
      </w:r>
      <w:r>
        <w:rPr>
          <w:rFonts w:ascii="Times New Roman" w:cs="Times New Roman" w:eastAsia="Times New Roman" w:hAnsi="Times New Roman"/>
          <w:sz w:val="17"/>
          <w:szCs w:val="17"/>
          <w:color w:val="auto"/>
        </w:rPr>
        <w:t>February 26,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8"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18"/>
          <w:szCs w:val="18"/>
          <w:color w:val="auto"/>
        </w:rPr>
        <w:t>Member of the Board of Directors</w:t>
      </w:r>
      <w:r>
        <w:rPr>
          <w:sz w:val="20"/>
          <w:szCs w:val="20"/>
          <w:color w:val="auto"/>
        </w:rPr>
        <w:tab/>
      </w:r>
      <w:r>
        <w:rPr>
          <w:rFonts w:ascii="Times New Roman" w:cs="Times New Roman" w:eastAsia="Times New Roman" w:hAnsi="Times New Roman"/>
          <w:sz w:val="17"/>
          <w:szCs w:val="17"/>
          <w:color w:val="auto"/>
        </w:rPr>
        <w:t>February 26, 2019</w:t>
      </w:r>
    </w:p>
    <w:p>
      <w:pPr>
        <w:spacing w:after="0" w:line="522" w:lineRule="exact"/>
        <w:rPr>
          <w:sz w:val="20"/>
          <w:szCs w:val="20"/>
          <w:color w:val="auto"/>
        </w:rPr>
      </w:pPr>
    </w:p>
    <w:p>
      <w:pPr>
        <w:sectPr>
          <w:pgSz w:w="11900" w:h="16838" w:orient="portrait"/>
          <w:cols w:equalWidth="0" w:num="2">
            <w:col w:w="3140" w:space="620"/>
            <w:col w:w="645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ARD</w:t>
            </w:r>
          </w:p>
        </w:tc>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2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68"/>
        </w:trPr>
        <w:tc>
          <w:tcPr>
            <w:tcW w:w="2280" w:type="dxa"/>
            <w:vAlign w:val="bottom"/>
            <w:tcBorders>
              <w:bottom w:val="single" w:sz="8" w:color="auto"/>
            </w:tcBorders>
          </w:tcPr>
          <w:p>
            <w:pPr>
              <w:spacing w:after="0"/>
              <w:rPr>
                <w:sz w:val="5"/>
                <w:szCs w:val="5"/>
                <w:color w:val="auto"/>
              </w:rPr>
            </w:pPr>
          </w:p>
        </w:tc>
        <w:tc>
          <w:tcPr>
            <w:tcW w:w="3600" w:type="dxa"/>
            <w:vAlign w:val="bottom"/>
          </w:tcPr>
          <w:p>
            <w:pPr>
              <w:spacing w:after="0"/>
              <w:rPr>
                <w:sz w:val="5"/>
                <w:szCs w:val="5"/>
                <w:color w:val="auto"/>
              </w:rPr>
            </w:pPr>
          </w:p>
        </w:tc>
        <w:tc>
          <w:tcPr>
            <w:tcW w:w="2260" w:type="dxa"/>
            <w:vAlign w:val="bottom"/>
          </w:tcPr>
          <w:p>
            <w:pPr>
              <w:spacing w:after="0"/>
              <w:rPr>
                <w:sz w:val="5"/>
                <w:szCs w:val="5"/>
                <w:color w:val="auto"/>
              </w:rPr>
            </w:pPr>
          </w:p>
        </w:tc>
      </w:tr>
      <w:tr>
        <w:trPr>
          <w:trHeight w:val="25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2"/>
                <w:szCs w:val="12"/>
                <w:b w:val="1"/>
                <w:bCs w:val="1"/>
                <w:color w:val="auto"/>
              </w:rPr>
              <w:t>OHN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ARD</w:t>
            </w:r>
          </w:p>
        </w:tc>
        <w:tc>
          <w:tcPr>
            <w:tcW w:w="360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39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C.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ACOBI</w:t>
            </w:r>
          </w:p>
        </w:tc>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2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68"/>
        </w:trPr>
        <w:tc>
          <w:tcPr>
            <w:tcW w:w="2280" w:type="dxa"/>
            <w:vAlign w:val="bottom"/>
            <w:tcBorders>
              <w:bottom w:val="single" w:sz="8" w:color="auto"/>
            </w:tcBorders>
          </w:tcPr>
          <w:p>
            <w:pPr>
              <w:spacing w:after="0"/>
              <w:rPr>
                <w:sz w:val="5"/>
                <w:szCs w:val="5"/>
                <w:color w:val="auto"/>
              </w:rPr>
            </w:pPr>
          </w:p>
        </w:tc>
        <w:tc>
          <w:tcPr>
            <w:tcW w:w="3600" w:type="dxa"/>
            <w:vAlign w:val="bottom"/>
          </w:tcPr>
          <w:p>
            <w:pPr>
              <w:spacing w:after="0"/>
              <w:rPr>
                <w:sz w:val="5"/>
                <w:szCs w:val="5"/>
                <w:color w:val="auto"/>
              </w:rPr>
            </w:pPr>
          </w:p>
        </w:tc>
        <w:tc>
          <w:tcPr>
            <w:tcW w:w="2260" w:type="dxa"/>
            <w:vAlign w:val="bottom"/>
          </w:tcPr>
          <w:p>
            <w:pPr>
              <w:spacing w:after="0"/>
              <w:rPr>
                <w:sz w:val="5"/>
                <w:szCs w:val="5"/>
                <w:color w:val="auto"/>
              </w:rPr>
            </w:pPr>
          </w:p>
        </w:tc>
      </w:tr>
      <w:tr>
        <w:trPr>
          <w:trHeight w:val="25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M</w:t>
            </w:r>
            <w:r>
              <w:rPr>
                <w:rFonts w:ascii="Times New Roman" w:cs="Times New Roman" w:eastAsia="Times New Roman" w:hAnsi="Times New Roman"/>
                <w:sz w:val="12"/>
                <w:szCs w:val="12"/>
                <w:b w:val="1"/>
                <w:bCs w:val="1"/>
                <w:color w:val="auto"/>
              </w:rPr>
              <w:t>ICHAEL</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ACOBI</w:t>
            </w:r>
          </w:p>
        </w:tc>
        <w:tc>
          <w:tcPr>
            <w:tcW w:w="360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39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LBERT</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ASTINO</w:t>
            </w:r>
          </w:p>
        </w:tc>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2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68"/>
        </w:trPr>
        <w:tc>
          <w:tcPr>
            <w:tcW w:w="2280" w:type="dxa"/>
            <w:vAlign w:val="bottom"/>
            <w:tcBorders>
              <w:bottom w:val="single" w:sz="8" w:color="auto"/>
            </w:tcBorders>
          </w:tcPr>
          <w:p>
            <w:pPr>
              <w:spacing w:after="0"/>
              <w:rPr>
                <w:sz w:val="5"/>
                <w:szCs w:val="5"/>
                <w:color w:val="auto"/>
              </w:rPr>
            </w:pPr>
          </w:p>
        </w:tc>
        <w:tc>
          <w:tcPr>
            <w:tcW w:w="3600" w:type="dxa"/>
            <w:vAlign w:val="bottom"/>
          </w:tcPr>
          <w:p>
            <w:pPr>
              <w:spacing w:after="0"/>
              <w:rPr>
                <w:sz w:val="5"/>
                <w:szCs w:val="5"/>
                <w:color w:val="auto"/>
              </w:rPr>
            </w:pPr>
          </w:p>
        </w:tc>
        <w:tc>
          <w:tcPr>
            <w:tcW w:w="2260" w:type="dxa"/>
            <w:vAlign w:val="bottom"/>
          </w:tcPr>
          <w:p>
            <w:pPr>
              <w:spacing w:after="0"/>
              <w:rPr>
                <w:sz w:val="5"/>
                <w:szCs w:val="5"/>
                <w:color w:val="auto"/>
              </w:rPr>
            </w:pPr>
          </w:p>
        </w:tc>
      </w:tr>
      <w:tr>
        <w:trPr>
          <w:trHeight w:val="25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LBERT</w:t>
            </w:r>
            <w:r>
              <w:rPr>
                <w:rFonts w:ascii="Times New Roman" w:cs="Times New Roman" w:eastAsia="Times New Roman" w:hAnsi="Times New Roman"/>
                <w:sz w:val="18"/>
                <w:szCs w:val="18"/>
                <w:b w:val="1"/>
                <w:bCs w:val="1"/>
                <w:color w:val="auto"/>
              </w:rPr>
              <w:t xml:space="preserve"> G. P</w:t>
            </w:r>
            <w:r>
              <w:rPr>
                <w:rFonts w:ascii="Times New Roman" w:cs="Times New Roman" w:eastAsia="Times New Roman" w:hAnsi="Times New Roman"/>
                <w:sz w:val="12"/>
                <w:szCs w:val="12"/>
                <w:b w:val="1"/>
                <w:bCs w:val="1"/>
                <w:color w:val="auto"/>
              </w:rPr>
              <w:t>ASTINO</w:t>
            </w:r>
          </w:p>
        </w:tc>
        <w:tc>
          <w:tcPr>
            <w:tcW w:w="360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39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C. T</w:t>
            </w:r>
            <w:r>
              <w:rPr>
                <w:rFonts w:ascii="Times New Roman" w:cs="Times New Roman" w:eastAsia="Times New Roman" w:hAnsi="Times New Roman"/>
                <w:sz w:val="12"/>
                <w:szCs w:val="12"/>
                <w:color w:val="auto"/>
              </w:rPr>
              <w:t>URNEY</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TEVENS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2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68"/>
        </w:trPr>
        <w:tc>
          <w:tcPr>
            <w:tcW w:w="2280" w:type="dxa"/>
            <w:vAlign w:val="bottom"/>
            <w:tcBorders>
              <w:bottom w:val="single" w:sz="8" w:color="auto"/>
            </w:tcBorders>
          </w:tcPr>
          <w:p>
            <w:pPr>
              <w:spacing w:after="0"/>
              <w:rPr>
                <w:sz w:val="5"/>
                <w:szCs w:val="5"/>
                <w:color w:val="auto"/>
              </w:rPr>
            </w:pPr>
          </w:p>
        </w:tc>
        <w:tc>
          <w:tcPr>
            <w:tcW w:w="3600" w:type="dxa"/>
            <w:vAlign w:val="bottom"/>
          </w:tcPr>
          <w:p>
            <w:pPr>
              <w:spacing w:after="0"/>
              <w:rPr>
                <w:sz w:val="5"/>
                <w:szCs w:val="5"/>
                <w:color w:val="auto"/>
              </w:rPr>
            </w:pPr>
          </w:p>
        </w:tc>
        <w:tc>
          <w:tcPr>
            <w:tcW w:w="2260" w:type="dxa"/>
            <w:vAlign w:val="bottom"/>
          </w:tcPr>
          <w:p>
            <w:pPr>
              <w:spacing w:after="0"/>
              <w:rPr>
                <w:sz w:val="5"/>
                <w:szCs w:val="5"/>
                <w:color w:val="auto"/>
              </w:rPr>
            </w:pPr>
          </w:p>
        </w:tc>
      </w:tr>
      <w:tr>
        <w:trPr>
          <w:trHeight w:val="25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T</w:t>
            </w:r>
            <w:r>
              <w:rPr>
                <w:rFonts w:ascii="Times New Roman" w:cs="Times New Roman" w:eastAsia="Times New Roman" w:hAnsi="Times New Roman"/>
                <w:sz w:val="12"/>
                <w:szCs w:val="12"/>
                <w:b w:val="1"/>
                <w:bCs w:val="1"/>
                <w:color w:val="auto"/>
              </w:rPr>
              <w:t>URNEY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TEVENS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18"/>
                <w:szCs w:val="18"/>
                <w:b w:val="1"/>
                <w:bCs w:val="1"/>
                <w:color w:val="auto"/>
              </w:rPr>
              <w:t>.</w:t>
            </w:r>
          </w:p>
        </w:tc>
        <w:tc>
          <w:tcPr>
            <w:tcW w:w="360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39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EAN</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EHLER</w:t>
            </w:r>
          </w:p>
        </w:tc>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2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68"/>
        </w:trPr>
        <w:tc>
          <w:tcPr>
            <w:tcW w:w="2280" w:type="dxa"/>
            <w:vAlign w:val="bottom"/>
            <w:tcBorders>
              <w:bottom w:val="single" w:sz="8" w:color="auto"/>
            </w:tcBorders>
          </w:tcPr>
          <w:p>
            <w:pPr>
              <w:spacing w:after="0"/>
              <w:rPr>
                <w:sz w:val="5"/>
                <w:szCs w:val="5"/>
                <w:color w:val="auto"/>
              </w:rPr>
            </w:pPr>
          </w:p>
        </w:tc>
        <w:tc>
          <w:tcPr>
            <w:tcW w:w="3600" w:type="dxa"/>
            <w:vAlign w:val="bottom"/>
          </w:tcPr>
          <w:p>
            <w:pPr>
              <w:spacing w:after="0"/>
              <w:rPr>
                <w:sz w:val="5"/>
                <w:szCs w:val="5"/>
                <w:color w:val="auto"/>
              </w:rPr>
            </w:pPr>
          </w:p>
        </w:tc>
        <w:tc>
          <w:tcPr>
            <w:tcW w:w="2260" w:type="dxa"/>
            <w:vAlign w:val="bottom"/>
          </w:tcPr>
          <w:p>
            <w:pPr>
              <w:spacing w:after="0"/>
              <w:rPr>
                <w:sz w:val="5"/>
                <w:szCs w:val="5"/>
                <w:color w:val="auto"/>
              </w:rPr>
            </w:pPr>
          </w:p>
        </w:tc>
      </w:tr>
      <w:tr>
        <w:trPr>
          <w:trHeight w:val="25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EAN</w:t>
            </w:r>
            <w:r>
              <w:rPr>
                <w:rFonts w:ascii="Times New Roman" w:cs="Times New Roman" w:eastAsia="Times New Roman" w:hAnsi="Times New Roman"/>
                <w:sz w:val="18"/>
                <w:szCs w:val="18"/>
                <w:b w:val="1"/>
                <w:bCs w:val="1"/>
                <w:color w:val="auto"/>
              </w:rPr>
              <w:t xml:space="preserve"> C. K</w:t>
            </w:r>
            <w:r>
              <w:rPr>
                <w:rFonts w:ascii="Times New Roman" w:cs="Times New Roman" w:eastAsia="Times New Roman" w:hAnsi="Times New Roman"/>
                <w:sz w:val="12"/>
                <w:szCs w:val="12"/>
                <w:b w:val="1"/>
                <w:bCs w:val="1"/>
                <w:color w:val="auto"/>
              </w:rPr>
              <w:t>EHLER</w:t>
            </w:r>
          </w:p>
        </w:tc>
        <w:tc>
          <w:tcPr>
            <w:tcW w:w="3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20" w:type="dxa"/>
            <w:vAlign w:val="bottom"/>
            <w:gridSpan w:val="8"/>
          </w:tcPr>
          <w:p>
            <w:pPr>
              <w:ind w:left="16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22"/>
        </w:trPr>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2"/>
        </w:trPr>
        <w:tc>
          <w:tcPr>
            <w:tcW w:w="4300" w:type="dxa"/>
            <w:vAlign w:val="bottom"/>
            <w:gridSpan w:val="4"/>
            <w:shd w:val="clear" w:color="auto" w:fill="CCEEFF"/>
          </w:tcPr>
          <w:p>
            <w:pPr>
              <w:spacing w:after="0" w:line="162"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Reports of Independent Registered Public Accounting Firm</w:t>
              </w:r>
            </w:hyperlink>
          </w:p>
        </w:tc>
        <w:tc>
          <w:tcPr>
            <w:tcW w:w="2780" w:type="dxa"/>
            <w:vAlign w:val="bottom"/>
            <w:gridSpan w:val="6"/>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00"/>
              <w:spacing w:after="0" w:line="162"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F-2</w:t>
              </w:r>
            </w:hyperlink>
          </w:p>
        </w:tc>
      </w:tr>
      <w:tr>
        <w:trPr>
          <w:trHeight w:val="27"/>
        </w:trPr>
        <w:tc>
          <w:tcPr>
            <w:tcW w:w="18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30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080" w:type="dxa"/>
            <w:vAlign w:val="bottom"/>
            <w:gridSpan w:val="10"/>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Balance Sheets as of December 31, 2018 and 2017</w:t>
              </w:r>
            </w:hyperlink>
          </w:p>
        </w:tc>
        <w:tc>
          <w:tcPr>
            <w:tcW w:w="700" w:type="dxa"/>
            <w:vAlign w:val="bottom"/>
          </w:tcPr>
          <w:p>
            <w:pPr>
              <w:spacing w:after="0"/>
              <w:rPr>
                <w:sz w:val="18"/>
                <w:szCs w:val="18"/>
                <w:color w:val="auto"/>
              </w:rPr>
            </w:pPr>
          </w:p>
        </w:tc>
        <w:tc>
          <w:tcPr>
            <w:tcW w:w="440" w:type="dxa"/>
            <w:vAlign w:val="bottom"/>
            <w:gridSpan w:val="3"/>
          </w:tcPr>
          <w:p>
            <w:pPr>
              <w:jc w:val="right"/>
              <w:ind w:right="100"/>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F-4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080" w:type="dxa"/>
            <w:vAlign w:val="bottom"/>
            <w:gridSpan w:val="10"/>
            <w:shd w:val="clear" w:color="auto" w:fill="CCEEFF"/>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7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0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F-5</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Consolidated Statements of Changes in Net Assets for the years ended December 31, 2018, 2017,</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080" w:type="dxa"/>
            <w:vAlign w:val="bottom"/>
            <w:gridSpan w:val="10"/>
          </w:tcPr>
          <w:p>
            <w:pPr>
              <w:ind w:left="180"/>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and 2016</w:t>
              </w:r>
            </w:hyperlink>
          </w:p>
        </w:tc>
        <w:tc>
          <w:tcPr>
            <w:tcW w:w="7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F-6</w:t>
              </w:r>
            </w:hyperlink>
          </w:p>
        </w:tc>
      </w:tr>
      <w:tr>
        <w:trPr>
          <w:trHeight w:val="34"/>
        </w:trPr>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080" w:type="dxa"/>
            <w:vAlign w:val="bottom"/>
            <w:gridSpan w:val="10"/>
            <w:shd w:val="clear" w:color="auto" w:fill="CCEEFF"/>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7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00"/>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F-7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960" w:type="dxa"/>
            <w:vAlign w:val="bottom"/>
            <w:gridSpan w:val="9"/>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Consolidated Schedules of Investments as of December 31, 2018 and 2017</w:t>
              </w:r>
            </w:hyperlink>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3"/>
          </w:tcPr>
          <w:p>
            <w:pPr>
              <w:jc w:val="right"/>
              <w:ind w:right="10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F-8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080" w:type="dxa"/>
            <w:vAlign w:val="bottom"/>
            <w:gridSpan w:val="10"/>
            <w:shd w:val="clear" w:color="auto" w:fill="CCEEFF"/>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Financial Highlights for the years ended December 31, 2018, 2017, 2016, 2015, and 2014</w:t>
              </w:r>
            </w:hyperlink>
          </w:p>
        </w:tc>
        <w:tc>
          <w:tcPr>
            <w:tcW w:w="7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00"/>
              <w:spacing w:after="0"/>
              <w:rPr>
                <w:rFonts w:ascii="Times New Roman" w:cs="Times New Roman" w:eastAsia="Times New Roman" w:hAnsi="Times New Roman"/>
                <w:sz w:val="18"/>
                <w:szCs w:val="18"/>
                <w:color w:val="0000EE"/>
                <w:w w:val="93"/>
              </w:rPr>
            </w:pPr>
            <w:hyperlink w:anchor="page104">
              <w:r>
                <w:rPr>
                  <w:rFonts w:ascii="Times New Roman" w:cs="Times New Roman" w:eastAsia="Times New Roman" w:hAnsi="Times New Roman"/>
                  <w:sz w:val="18"/>
                  <w:szCs w:val="18"/>
                  <w:color w:val="0000EE"/>
                  <w:w w:val="93"/>
                </w:rPr>
                <w:t>F-22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160" w:type="dxa"/>
            <w:vAlign w:val="bottom"/>
            <w:gridSpan w:val="3"/>
          </w:tcPr>
          <w:p>
            <w:pPr>
              <w:spacing w:after="0"/>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Notes to Consolidated Financial Statements</w:t>
              </w:r>
            </w:hyperlink>
          </w:p>
        </w:tc>
        <w:tc>
          <w:tcPr>
            <w:tcW w:w="3300" w:type="dxa"/>
            <w:vAlign w:val="bottom"/>
            <w:gridSpan w:val="4"/>
          </w:tcPr>
          <w:p>
            <w:pPr>
              <w:spacing w:after="0"/>
              <w:rPr>
                <w:sz w:val="19"/>
                <w:szCs w:val="19"/>
                <w:color w:val="auto"/>
              </w:rPr>
            </w:pPr>
          </w:p>
        </w:tc>
        <w:tc>
          <w:tcPr>
            <w:tcW w:w="62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3"/>
          </w:tcPr>
          <w:p>
            <w:pPr>
              <w:jc w:val="right"/>
              <w:ind w:right="100"/>
              <w:spacing w:after="0"/>
              <w:rPr>
                <w:rFonts w:ascii="Times New Roman" w:cs="Times New Roman" w:eastAsia="Times New Roman" w:hAnsi="Times New Roman"/>
                <w:sz w:val="18"/>
                <w:szCs w:val="18"/>
                <w:color w:val="0000EE"/>
                <w:w w:val="93"/>
              </w:rPr>
            </w:pPr>
            <w:hyperlink w:anchor="page105">
              <w:r>
                <w:rPr>
                  <w:rFonts w:ascii="Times New Roman" w:cs="Times New Roman" w:eastAsia="Times New Roman" w:hAnsi="Times New Roman"/>
                  <w:sz w:val="18"/>
                  <w:szCs w:val="18"/>
                  <w:color w:val="0000EE"/>
                  <w:w w:val="93"/>
                </w:rPr>
                <w:t>F-23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4" w:name="page85"/>
    <w:bookmarkEnd w:id="84"/>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2599" w:firstLine="1852"/>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KCAP Financial, Inc.</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KCAP Financial, Inc. and subsidiaries (the “Company”), including the consolidated schedules of investments, as of December 31, 2018 and 2017, the related consolidated statements of operations, changes in net assets, and cash flows for each of the three years in the period ended December 31, 2018, the financial highlights for each of the five years in the period ended December 31 2018 and the related notes collectively referred to as the “financial statements”. In our opinion, the financial statements present fairly, in all material respects, the financial position of the Company at December 31, 2018 and 2017, and the results of their operations, changes in their net assets, and their cash flows for each of the three years in the period ended December 31, 2018, and its financial highlights for each of the five years in the period ended December 31, 2018 in conformity with U.S. generally accepted accounting principles.</w:t>
      </w:r>
    </w:p>
    <w:p>
      <w:pPr>
        <w:spacing w:after="0" w:line="81"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26, 2019 expressed an unqualified opinion thereon.</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left="1260" w:right="879" w:firstLine="36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2018 and 2017, by correspondence with the custodians.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5" w:name="page86"/>
    <w:bookmarkEnd w:id="85"/>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1759" w:firstLine="1024"/>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KCAP Financial, Inc.</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08"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We have audited KCAP Financial, Inc.’s internal control over financial reporting as of December 31, 2018, based on criteria established in Internal Control— Integrated Framework issued by the Committee of Sponsoring Organizations of the Treadway Commission “(2013 framework),” (the COSO criteria). In our opinion, KCAP Financial Inc. (the “Company”) maintained, in all material respects, effective internal control over financial reporting as of December 31, 2018, based on the COSO criteria.</w:t>
      </w:r>
    </w:p>
    <w:p>
      <w:pPr>
        <w:spacing w:after="0" w:line="76"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2018 consolidated financial statements of the Company and our report dated February 26, 2019 expressed an unqualified opinion thereon.</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ind w:left="1260" w:right="999" w:firstLine="36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7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6" w:name="page87"/>
    <w:bookmarkEnd w:id="86"/>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 (cost: 2018 – $44,756,478; 2017 – $77,300,320)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44,756,478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77,300,320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securities (amortized cost: 2018 – $162,264,482; 2017 – $125,179,470)</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147,861,744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118,197,479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 Fund Securities managed by affiliates (amortized cost: 2018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$4,407,106; 2017 – $67,212,139)</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4,473,840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49,488,393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 Fund Securities managed by non-affiliates (amortized cost: 2018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$51,073,520; 2017 – $5,126,893)</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39,851,160</w:t>
            </w: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2,190,280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(cost: 2018 – $21,944,430; 2017 – $10,571,007)</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14,504,687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4,414,684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Manager Affiliates (cost: 2018 – $17,791,230; 2017 – $52,591,230)</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3,470,000</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38,849,000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 (cost: 2018 – $24,914,858; 2017 – $24,914,858)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18,390,440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 at Fair Value (cost: 2018 – $327,152,104; 2017 –</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$362,895,917)</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273,308,349</w:t>
            </w: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311,956,156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5,417,125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3,907,341</w:t>
            </w:r>
          </w:p>
        </w:tc>
        <w:tc>
          <w:tcPr>
            <w:tcW w:w="1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1,342,970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open trades</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2,993,750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1,007,631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1,243,493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481,265</w:t>
            </w:r>
          </w:p>
        </w:tc>
        <w:tc>
          <w:tcPr>
            <w:tcW w:w="1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530,209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285,464,681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319,808,974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6.125% Notes Due 2022 (net of offering costs of: 2018 – $2,207,342; 2017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$2,734,248)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75,199,858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74,672,952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KCAP Funding I, LLC Revolving Credit Facility (net of offering costs of:</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 – $1,155,754)</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25,200,331</w:t>
            </w:r>
          </w:p>
        </w:tc>
        <w:tc>
          <w:tcPr>
            <w:tcW w:w="12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7.375% Notes Due 2019 (net of offering costs of: 2017 – $259,635)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26,740,365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Payable for open trades</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23,204,564</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34,215,195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3,591,910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2,350,803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131,182</w:t>
            </w:r>
          </w:p>
        </w:tc>
        <w:tc>
          <w:tcPr>
            <w:tcW w:w="1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115,825</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127,443,670</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138,004,398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 100,000,000 common shares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37,521,705 issued, and 37,326,846 outstanding at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2018, and 37,507,402 issued, and 37,339,224 outstanding at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2017</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373,268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373,392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306,784,387</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329,789,716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distributable (loss) earnings</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(149,136,644)</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(148,358,532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158,021,011</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181,804,576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285,464,681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319,808,974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-376555</wp:posOffset>
            </wp:positionV>
            <wp:extent cx="45364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364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-3721100</wp:posOffset>
            </wp:positionV>
            <wp:extent cx="45364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364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-6508115</wp:posOffset>
            </wp:positionV>
            <wp:extent cx="45281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28185" cy="8890"/>
                    </a:xfrm>
                    <a:prstGeom prst="rect">
                      <a:avLst/>
                    </a:prstGeom>
                    <a:noFill/>
                  </pic:spPr>
                </pic:pic>
              </a:graphicData>
            </a:graphic>
          </wp:anchor>
        </w:drawing>
      </w:r>
    </w:p>
    <w:p>
      <w:pPr>
        <w:spacing w:after="0" w:line="9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7" w:name="page88"/>
    <w:bookmarkEnd w:id="87"/>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69"/>
        </w:trPr>
        <w:tc>
          <w:tcPr>
            <w:tcW w:w="49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from investments in debt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14,939,309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13,963,970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19,763,577</w:t>
            </w:r>
          </w:p>
        </w:tc>
        <w:tc>
          <w:tcPr>
            <w:tcW w:w="0" w:type="dxa"/>
            <w:vAlign w:val="bottom"/>
          </w:tcPr>
          <w:p>
            <w:pPr>
              <w:spacing w:after="0"/>
              <w:rPr>
                <w:sz w:val="1"/>
                <w:szCs w:val="1"/>
                <w:color w:val="auto"/>
              </w:rPr>
            </w:pPr>
          </w:p>
        </w:tc>
      </w:tr>
      <w:tr>
        <w:trPr>
          <w:trHeight w:val="216"/>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Payment-in-kind investment income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1,066,354</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1,099,223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from cash and time deposits</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76,055</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71,934</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0" w:type="dxa"/>
            <w:vAlign w:val="bottom"/>
          </w:tcPr>
          <w:p>
            <w:pPr>
              <w:spacing w:after="0"/>
              <w:rPr>
                <w:sz w:val="1"/>
                <w:szCs w:val="1"/>
                <w:color w:val="auto"/>
              </w:rPr>
            </w:pPr>
          </w:p>
        </w:tc>
      </w:tr>
      <w:tr>
        <w:trPr>
          <w:trHeight w:val="198"/>
        </w:trPr>
        <w:tc>
          <w:tcPr>
            <w:tcW w:w="4920" w:type="dxa"/>
            <w:vAlign w:val="bottom"/>
            <w:tcBorders>
              <w:right w:val="single" w:sz="8" w:color="CCEEFF"/>
            </w:tcBorders>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Investment income on CLO Fund Securities managed by</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affiliates</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6,024,935</w:t>
            </w: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10,807,490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12,642,625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Investment income on CLO Fund Securities managed by non-</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affiliates</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388,237</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420,766</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630,647</w:t>
            </w:r>
          </w:p>
        </w:tc>
        <w:tc>
          <w:tcPr>
            <w:tcW w:w="0" w:type="dxa"/>
            <w:vAlign w:val="bottom"/>
          </w:tcPr>
          <w:p>
            <w:pPr>
              <w:spacing w:after="0"/>
              <w:rPr>
                <w:sz w:val="1"/>
                <w:szCs w:val="1"/>
                <w:color w:val="auto"/>
              </w:rPr>
            </w:pPr>
          </w:p>
        </w:tc>
      </w:tr>
      <w:tr>
        <w:trPr>
          <w:trHeight w:val="216"/>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from Asset Manager Affiliates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1,246,510</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from Joint Venture</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3,100,000</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949,037</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structuring service fees</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245,393</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491,279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investment income</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27,086,793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28,263,699</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36,200,098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amortization of debt issuance costs</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7,403,436</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7,661,407</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9,110,603</w:t>
            </w:r>
          </w:p>
        </w:tc>
        <w:tc>
          <w:tcPr>
            <w:tcW w:w="0" w:type="dxa"/>
            <w:vAlign w:val="bottom"/>
          </w:tcPr>
          <w:p>
            <w:pPr>
              <w:spacing w:after="0"/>
              <w:rPr>
                <w:sz w:val="1"/>
                <w:szCs w:val="1"/>
                <w:color w:val="auto"/>
              </w:rPr>
            </w:pPr>
          </w:p>
        </w:tc>
      </w:tr>
      <w:tr>
        <w:trPr>
          <w:trHeight w:val="216"/>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4,012,743</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4,571,309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3,470,269</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2,942,059</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2,391,038</w:t>
            </w:r>
          </w:p>
        </w:tc>
        <w:tc>
          <w:tcPr>
            <w:tcW w:w="0" w:type="dxa"/>
            <w:vAlign w:val="bottom"/>
          </w:tcPr>
          <w:p>
            <w:pPr>
              <w:spacing w:after="0"/>
              <w:rPr>
                <w:sz w:val="1"/>
                <w:szCs w:val="1"/>
                <w:color w:val="auto"/>
              </w:rPr>
            </w:pPr>
          </w:p>
        </w:tc>
      </w:tr>
      <w:tr>
        <w:trPr>
          <w:trHeight w:val="230"/>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321,268</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347,175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and other</w:t>
            </w:r>
          </w:p>
        </w:tc>
        <w:tc>
          <w:tcPr>
            <w:tcW w:w="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1,874,600</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1,722,618</w:t>
            </w: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1,692,140</w:t>
            </w:r>
          </w:p>
        </w:tc>
        <w:tc>
          <w:tcPr>
            <w:tcW w:w="0" w:type="dxa"/>
            <w:vAlign w:val="bottom"/>
          </w:tcPr>
          <w:p>
            <w:pPr>
              <w:spacing w:after="0"/>
              <w:rPr>
                <w:sz w:val="1"/>
                <w:szCs w:val="1"/>
                <w:color w:val="auto"/>
              </w:rPr>
            </w:pP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17,082,316</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17,244,568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10,004,477</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11,019,131</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18,489,995</w:t>
            </w:r>
          </w:p>
        </w:tc>
        <w:tc>
          <w:tcPr>
            <w:tcW w:w="0" w:type="dxa"/>
            <w:vAlign w:val="bottom"/>
          </w:tcPr>
          <w:p>
            <w:pPr>
              <w:spacing w:after="0"/>
              <w:rPr>
                <w:sz w:val="1"/>
                <w:szCs w:val="1"/>
                <w:color w:val="auto"/>
              </w:rPr>
            </w:pPr>
          </w:p>
        </w:tc>
      </w:tr>
      <w:tr>
        <w:trPr>
          <w:trHeight w:val="338"/>
        </w:trPr>
        <w:tc>
          <w:tcPr>
            <w:tcW w:w="4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Gains (Losses) On Investments:</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losses from investment transactions</w:t>
            </w:r>
          </w:p>
        </w:tc>
        <w:tc>
          <w:tcPr>
            <w:tcW w:w="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(16,474,939)</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(6,899,044)</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(6,167,467)</w:t>
            </w:r>
          </w:p>
        </w:tc>
        <w:tc>
          <w:tcPr>
            <w:tcW w:w="0" w:type="dxa"/>
            <w:vAlign w:val="bottom"/>
          </w:tcPr>
          <w:p>
            <w:pPr>
              <w:spacing w:after="0"/>
              <w:rPr>
                <w:sz w:val="1"/>
                <w:szCs w:val="1"/>
                <w:color w:val="auto"/>
              </w:rPr>
            </w:pPr>
          </w:p>
        </w:tc>
      </w:tr>
      <w:tr>
        <w:trPr>
          <w:trHeight w:val="230"/>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(depreciation) appreciation on:</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(7,420,747)</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4,194,914</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2,492,707</w:t>
            </w:r>
          </w:p>
        </w:tc>
        <w:tc>
          <w:tcPr>
            <w:tcW w:w="0" w:type="dxa"/>
            <w:vAlign w:val="bottom"/>
          </w:tcPr>
          <w:p>
            <w:pPr>
              <w:spacing w:after="0"/>
              <w:rPr>
                <w:sz w:val="1"/>
                <w:szCs w:val="1"/>
                <w:color w:val="auto"/>
              </w:rPr>
            </w:pPr>
          </w:p>
        </w:tc>
      </w:tr>
      <w:tr>
        <w:trPr>
          <w:trHeight w:val="230"/>
        </w:trPr>
        <w:tc>
          <w:tcPr>
            <w:tcW w:w="49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(1,283,420)</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(823,671)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CLO Fund Securities managed by affiliates</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17,790,480</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2,102,279</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4,380,974</w:t>
            </w:r>
          </w:p>
        </w:tc>
        <w:tc>
          <w:tcPr>
            <w:tcW w:w="0" w:type="dxa"/>
            <w:vAlign w:val="bottom"/>
          </w:tcPr>
          <w:p>
            <w:pPr>
              <w:spacing w:after="0"/>
              <w:rPr>
                <w:sz w:val="1"/>
                <w:szCs w:val="1"/>
                <w:color w:val="auto"/>
              </w:rPr>
            </w:pPr>
          </w:p>
        </w:tc>
      </w:tr>
      <w:tr>
        <w:trPr>
          <w:trHeight w:val="230"/>
        </w:trPr>
        <w:tc>
          <w:tcPr>
            <w:tcW w:w="49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 Fund Securities managed by non-affiliates</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(8,285,747)</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Manager Affiliates investments</w:t>
            </w:r>
          </w:p>
        </w:tc>
        <w:tc>
          <w:tcPr>
            <w:tcW w:w="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(579,000)</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1,401,000</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(15,933,000)</w:t>
            </w:r>
          </w:p>
        </w:tc>
        <w:tc>
          <w:tcPr>
            <w:tcW w:w="0" w:type="dxa"/>
            <w:vAlign w:val="bottom"/>
          </w:tcPr>
          <w:p>
            <w:pPr>
              <w:spacing w:after="0"/>
              <w:rPr>
                <w:sz w:val="1"/>
                <w:szCs w:val="1"/>
                <w:color w:val="auto"/>
              </w:rPr>
            </w:pPr>
          </w:p>
        </w:tc>
      </w:tr>
      <w:tr>
        <w:trPr>
          <w:trHeight w:val="243"/>
        </w:trPr>
        <w:tc>
          <w:tcPr>
            <w:tcW w:w="49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Joint Venture investment</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(3,125,560)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(3,398,858)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920" w:type="dxa"/>
            <w:vAlign w:val="bottom"/>
            <w:tcBorders>
              <w:top w:val="single" w:sz="8" w:color="CCEEFF"/>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net (depreciation) appreciation from investment</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w:t>
            </w:r>
          </w:p>
        </w:tc>
        <w:tc>
          <w:tcPr>
            <w:tcW w:w="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(2,903,994)</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3,389,993</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(13,188,048)</w:t>
            </w:r>
          </w:p>
        </w:tc>
        <w:tc>
          <w:tcPr>
            <w:tcW w:w="0" w:type="dxa"/>
            <w:vAlign w:val="bottom"/>
          </w:tcPr>
          <w:p>
            <w:pPr>
              <w:spacing w:after="0"/>
              <w:rPr>
                <w:sz w:val="1"/>
                <w:szCs w:val="1"/>
                <w:color w:val="auto"/>
              </w:rPr>
            </w:pP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(19,378,933)</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(3,509,051)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(19,355,515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losses on extinguishments of debt</w:t>
            </w:r>
          </w:p>
        </w:tc>
        <w:tc>
          <w:tcPr>
            <w:tcW w:w="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(197,090)</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(4,121,998)</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(174,211)</w:t>
            </w:r>
          </w:p>
        </w:tc>
        <w:tc>
          <w:tcPr>
            <w:tcW w:w="0" w:type="dxa"/>
            <w:vAlign w:val="bottom"/>
          </w:tcPr>
          <w:p>
            <w:pPr>
              <w:spacing w:after="0"/>
              <w:rPr>
                <w:sz w:val="1"/>
                <w:szCs w:val="1"/>
                <w:color w:val="auto"/>
              </w:rPr>
            </w:pPr>
          </w:p>
        </w:tc>
      </w:tr>
      <w:tr>
        <w:trPr>
          <w:trHeight w:val="201"/>
        </w:trPr>
        <w:tc>
          <w:tcPr>
            <w:tcW w:w="4920" w:type="dxa"/>
            <w:vAlign w:val="bottom"/>
            <w:tcBorders>
              <w:top w:val="single" w:sz="8" w:color="CCEEFF"/>
              <w:right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(Decrease) Increase In Stockholders’ Equity Resulting</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From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(9,571,546)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3,388,082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(1,039,731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(Decrease) Increase in Stockholders’ Equity Resulting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from Operations per Common Share:</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 Per Common Share:</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0"/>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Outstanding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37,356,241</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37,235,130</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37,149,663</w:t>
            </w:r>
          </w:p>
        </w:tc>
        <w:tc>
          <w:tcPr>
            <w:tcW w:w="0" w:type="dxa"/>
            <w:vAlign w:val="bottom"/>
          </w:tcPr>
          <w:p>
            <w:pPr>
              <w:spacing w:after="0"/>
              <w:rPr>
                <w:sz w:val="1"/>
                <w:szCs w:val="1"/>
                <w:color w:val="auto"/>
              </w:rPr>
            </w:pPr>
          </w:p>
        </w:tc>
      </w:tr>
      <w:tr>
        <w:trPr>
          <w:trHeight w:val="211"/>
        </w:trPr>
        <w:tc>
          <w:tcPr>
            <w:tcW w:w="49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Outstanding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37,356,241</w:t>
            </w: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37,235,130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37,149,663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-1877695</wp:posOffset>
            </wp:positionV>
            <wp:extent cx="1460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-1877695</wp:posOffset>
            </wp:positionV>
            <wp:extent cx="38760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-2186305</wp:posOffset>
            </wp:positionV>
            <wp:extent cx="1460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-2186305</wp:posOffset>
            </wp:positionV>
            <wp:extent cx="38760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-4167505</wp:posOffset>
            </wp:positionV>
            <wp:extent cx="1460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-4167505</wp:posOffset>
            </wp:positionV>
            <wp:extent cx="38760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-6739890</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-6739890</wp:posOffset>
            </wp:positionV>
            <wp:extent cx="38677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8" w:name="page89"/>
    <w:bookmarkEnd w:id="88"/>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
        </w:trPr>
        <w:tc>
          <w:tcPr>
            <w:tcW w:w="4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7"/>
                <w:szCs w:val="17"/>
                <w:color w:val="auto"/>
              </w:rPr>
            </w:pPr>
          </w:p>
        </w:tc>
      </w:tr>
      <w:tr>
        <w:trPr>
          <w:trHeight w:val="24"/>
        </w:trPr>
        <w:tc>
          <w:tcPr>
            <w:tcW w:w="4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10,004,477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11,019,131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18,489,995</w:t>
            </w:r>
          </w:p>
        </w:tc>
      </w:tr>
      <w:tr>
        <w:trPr>
          <w:trHeight w:val="257"/>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losses from investment transactions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(16,474,939)</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(6,899,044)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(6,167,467)</w:t>
            </w:r>
          </w:p>
        </w:tc>
        <w:tc>
          <w:tcPr>
            <w:tcW w:w="60" w:type="dxa"/>
            <w:vAlign w:val="bottom"/>
          </w:tcPr>
          <w:p>
            <w:pPr>
              <w:spacing w:after="0"/>
              <w:rPr>
                <w:sz w:val="22"/>
                <w:szCs w:val="22"/>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 from extinguishments of debt</w:t>
            </w: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(197,090)</w:t>
            </w: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(4,121,998)</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(174,211)</w:t>
            </w:r>
          </w:p>
        </w:tc>
      </w:tr>
      <w:tr>
        <w:trPr>
          <w:trHeight w:val="225"/>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(depreciation) appreciation from</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47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(2,903,994)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3,389,993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(13,188,048)</w:t>
            </w:r>
          </w:p>
        </w:tc>
        <w:tc>
          <w:tcPr>
            <w:tcW w:w="60" w:type="dxa"/>
            <w:vAlign w:val="bottom"/>
          </w:tcPr>
          <w:p>
            <w:pPr>
              <w:spacing w:after="0"/>
              <w:rPr>
                <w:sz w:val="22"/>
                <w:szCs w:val="22"/>
                <w:color w:val="auto"/>
              </w:rPr>
            </w:pPr>
          </w:p>
        </w:tc>
      </w:tr>
      <w:tr>
        <w:trPr>
          <w:trHeight w:val="218"/>
        </w:trPr>
        <w:tc>
          <w:tcPr>
            <w:tcW w:w="47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(decrease) increase in stockholders’ equity resulting</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from operations</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(9,571,546)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3,388,082</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(1,039,731)</w:t>
            </w:r>
          </w:p>
        </w:tc>
      </w:tr>
      <w:tr>
        <w:trPr>
          <w:trHeight w:val="371"/>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distributions: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of ordinary income</w:t>
            </w: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(9,192,977)</w:t>
            </w: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(6,035,683)</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(14,761,679)</w:t>
            </w:r>
          </w:p>
        </w:tc>
      </w:tr>
      <w:tr>
        <w:trPr>
          <w:trHeight w:val="264"/>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(5,688,770)</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(11,736,777)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(7,307,578)</w:t>
            </w:r>
          </w:p>
        </w:tc>
        <w:tc>
          <w:tcPr>
            <w:tcW w:w="60" w:type="dxa"/>
            <w:vAlign w:val="bottom"/>
          </w:tcPr>
          <w:p>
            <w:pPr>
              <w:spacing w:after="0"/>
              <w:rPr>
                <w:sz w:val="22"/>
                <w:szCs w:val="22"/>
                <w:color w:val="auto"/>
              </w:rPr>
            </w:pPr>
          </w:p>
        </w:tc>
      </w:tr>
      <w:tr>
        <w:trPr>
          <w:trHeight w:val="238"/>
        </w:trPr>
        <w:tc>
          <w:tcPr>
            <w:tcW w:w="47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decrease in net assets resulting from stockholder</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(14,881,747)</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(17,772,460)</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(22,069,257)</w:t>
            </w:r>
          </w:p>
        </w:tc>
      </w:tr>
      <w:tr>
        <w:trPr>
          <w:trHeight w:val="385"/>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8"/>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withheld for payroll taxes upon vesting of</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7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(86,743)</w:t>
            </w:r>
          </w:p>
        </w:tc>
        <w:tc>
          <w:tcPr>
            <w:tcW w:w="1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(224,944)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(247,926)</w:t>
            </w:r>
          </w:p>
        </w:tc>
        <w:tc>
          <w:tcPr>
            <w:tcW w:w="60" w:type="dxa"/>
            <w:vAlign w:val="bottom"/>
          </w:tcPr>
          <w:p>
            <w:pPr>
              <w:spacing w:after="0"/>
              <w:rPr>
                <w:sz w:val="21"/>
                <w:szCs w:val="2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reinvestment plan</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208,775</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360,981</w:t>
            </w:r>
          </w:p>
        </w:tc>
        <w:tc>
          <w:tcPr>
            <w:tcW w:w="10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638,016</w:t>
            </w:r>
          </w:p>
        </w:tc>
      </w:tr>
      <w:tr>
        <w:trPr>
          <w:trHeight w:val="277"/>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547,696</w:t>
            </w:r>
          </w:p>
        </w:tc>
        <w:tc>
          <w:tcPr>
            <w:tcW w:w="100" w:type="dxa"/>
            <w:vAlign w:val="bottom"/>
            <w:shd w:val="clear" w:color="auto" w:fill="CCEEFF"/>
          </w:tcPr>
          <w:p>
            <w:pPr>
              <w:spacing w:after="0"/>
              <w:rPr>
                <w:sz w:val="24"/>
                <w:szCs w:val="24"/>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1,127,992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1,543,353</w:t>
            </w:r>
          </w:p>
        </w:tc>
        <w:tc>
          <w:tcPr>
            <w:tcW w:w="60" w:type="dxa"/>
            <w:vAlign w:val="bottom"/>
          </w:tcPr>
          <w:p>
            <w:pPr>
              <w:spacing w:after="0"/>
              <w:rPr>
                <w:sz w:val="24"/>
                <w:szCs w:val="24"/>
                <w:color w:val="auto"/>
              </w:rPr>
            </w:pPr>
          </w:p>
        </w:tc>
      </w:tr>
      <w:tr>
        <w:trPr>
          <w:trHeight w:val="238"/>
        </w:trPr>
        <w:tc>
          <w:tcPr>
            <w:tcW w:w="47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increase in net assets resulting from capital share</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669,728</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1,264,029</w:t>
            </w: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1,933,443</w:t>
            </w:r>
          </w:p>
        </w:tc>
      </w:tr>
      <w:tr>
        <w:trPr>
          <w:trHeight w:val="284"/>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181,804,576</w:t>
            </w:r>
          </w:p>
        </w:tc>
        <w:tc>
          <w:tcPr>
            <w:tcW w:w="100" w:type="dxa"/>
            <w:vAlign w:val="bottom"/>
            <w:shd w:val="clear" w:color="auto" w:fill="CCEEFF"/>
          </w:tcPr>
          <w:p>
            <w:pPr>
              <w:spacing w:after="0"/>
              <w:rPr>
                <w:sz w:val="24"/>
                <w:szCs w:val="24"/>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194,924,925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216,100,470</w:t>
            </w:r>
          </w:p>
        </w:tc>
        <w:tc>
          <w:tcPr>
            <w:tcW w:w="60" w:type="dxa"/>
            <w:vAlign w:val="bottom"/>
          </w:tcPr>
          <w:p>
            <w:pPr>
              <w:spacing w:after="0"/>
              <w:rPr>
                <w:sz w:val="24"/>
                <w:szCs w:val="24"/>
                <w:color w:val="auto"/>
              </w:rPr>
            </w:pPr>
          </w:p>
        </w:tc>
      </w:tr>
      <w:tr>
        <w:trPr>
          <w:trHeight w:val="20"/>
        </w:trPr>
        <w:tc>
          <w:tcPr>
            <w:tcW w:w="47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158,021,011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181,804,576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194,924,926</w:t>
            </w:r>
          </w:p>
        </w:tc>
      </w:tr>
      <w:tr>
        <w:trPr>
          <w:trHeight w:val="20"/>
        </w:trPr>
        <w:tc>
          <w:tcPr>
            <w:tcW w:w="4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4"/>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60" w:type="dxa"/>
            <w:vAlign w:val="bottom"/>
          </w:tcPr>
          <w:p>
            <w:pPr>
              <w:spacing w:after="0"/>
              <w:rPr>
                <w:sz w:val="21"/>
                <w:szCs w:val="2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end of period</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37,326,846</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37,339,224</w:t>
            </w:r>
          </w:p>
        </w:tc>
        <w:tc>
          <w:tcPr>
            <w:tcW w:w="10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37,178,294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-4278630</wp:posOffset>
            </wp:positionV>
            <wp:extent cx="137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-4278630</wp:posOffset>
            </wp:positionV>
            <wp:extent cx="37903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9" w:name="page90"/>
    <w:bookmarkEnd w:id="89"/>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51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4"/>
                <w:szCs w:val="14"/>
                <w:color w:val="auto"/>
              </w:rPr>
            </w:pPr>
          </w:p>
        </w:tc>
      </w:tr>
      <w:tr>
        <w:trPr>
          <w:trHeight w:val="183"/>
        </w:trPr>
        <w:tc>
          <w:tcPr>
            <w:tcW w:w="5180" w:type="dxa"/>
            <w:vAlign w:val="bottom"/>
            <w:tcBorders>
              <w:right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OPERATING ACTIVITIES:</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increase in stockholder’s equity resulting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(9,571,546)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3,388,082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(1,039,731)</w:t>
            </w:r>
          </w:p>
        </w:tc>
        <w:tc>
          <w:tcPr>
            <w:tcW w:w="60" w:type="dxa"/>
            <w:vAlign w:val="bottom"/>
          </w:tcPr>
          <w:p>
            <w:pPr>
              <w:spacing w:after="0"/>
              <w:rPr>
                <w:sz w:val="16"/>
                <w:szCs w:val="16"/>
                <w:color w:val="auto"/>
              </w:rPr>
            </w:pPr>
          </w:p>
        </w:tc>
      </w:tr>
      <w:tr>
        <w:trPr>
          <w:trHeight w:val="162"/>
        </w:trPr>
        <w:tc>
          <w:tcPr>
            <w:tcW w:w="5180" w:type="dxa"/>
            <w:vAlign w:val="bottom"/>
            <w:tcBorders>
              <w:right w:val="single" w:sz="8" w:color="CCEEFF"/>
            </w:tcBorders>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Adjustments to reconcile net increase (decrease) in stockholder’s equity</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8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resulting from operations to net cash provided by operating</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activities:</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realized losses on investment transactions</w:t>
            </w:r>
          </w:p>
        </w:tc>
        <w:tc>
          <w:tcPr>
            <w:tcW w:w="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16,474,939</w:t>
            </w:r>
          </w:p>
        </w:tc>
        <w:tc>
          <w:tcPr>
            <w:tcW w:w="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6,899,044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6,167,467</w:t>
            </w:r>
          </w:p>
        </w:tc>
        <w:tc>
          <w:tcPr>
            <w:tcW w:w="60" w:type="dxa"/>
            <w:vAlign w:val="bottom"/>
          </w:tcPr>
          <w:p>
            <w:pPr>
              <w:spacing w:after="0"/>
              <w:rPr>
                <w:sz w:val="16"/>
                <w:szCs w:val="16"/>
                <w:color w:val="auto"/>
              </w:rPr>
            </w:pPr>
          </w:p>
        </w:tc>
      </w:tr>
      <w:tr>
        <w:trPr>
          <w:trHeight w:val="189"/>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change in unrealized losses (gains) from investments</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2,903,994</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(3,389,993)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13,188,048</w:t>
            </w:r>
          </w:p>
        </w:tc>
        <w:tc>
          <w:tcPr>
            <w:tcW w:w="60" w:type="dxa"/>
            <w:vAlign w:val="bottom"/>
          </w:tcPr>
          <w:p>
            <w:pPr>
              <w:spacing w:after="0"/>
              <w:rPr>
                <w:sz w:val="16"/>
                <w:szCs w:val="16"/>
                <w:color w:val="auto"/>
              </w:rPr>
            </w:pPr>
          </w:p>
        </w:tc>
      </w:tr>
      <w:tr>
        <w:trPr>
          <w:trHeight w:val="189"/>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(118,159,373)</w:t>
            </w:r>
          </w:p>
        </w:tc>
        <w:tc>
          <w:tcPr>
            <w:tcW w:w="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(277,367,657)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(110,229,217)</w:t>
            </w:r>
          </w:p>
        </w:tc>
        <w:tc>
          <w:tcPr>
            <w:tcW w:w="60" w:type="dxa"/>
            <w:vAlign w:val="bottom"/>
          </w:tcPr>
          <w:p>
            <w:pPr>
              <w:spacing w:after="0"/>
              <w:rPr>
                <w:sz w:val="16"/>
                <w:szCs w:val="16"/>
                <w:color w:val="auto"/>
              </w:rPr>
            </w:pPr>
          </w:p>
        </w:tc>
      </w:tr>
      <w:tr>
        <w:trPr>
          <w:trHeight w:val="189"/>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sales and redemptions of investments</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145,662,223</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340,797,616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133,253,936</w:t>
            </w:r>
          </w:p>
        </w:tc>
        <w:tc>
          <w:tcPr>
            <w:tcW w:w="60" w:type="dxa"/>
            <w:vAlign w:val="bottom"/>
          </w:tcPr>
          <w:p>
            <w:pPr>
              <w:spacing w:after="0"/>
              <w:rPr>
                <w:sz w:val="16"/>
                <w:szCs w:val="16"/>
                <w:color w:val="auto"/>
              </w:rPr>
            </w:pPr>
          </w:p>
        </w:tc>
      </w:tr>
      <w:tr>
        <w:trPr>
          <w:trHeight w:val="189"/>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accretion on investments</w:t>
            </w:r>
          </w:p>
        </w:tc>
        <w:tc>
          <w:tcPr>
            <w:tcW w:w="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(7,167,772)</w:t>
            </w:r>
          </w:p>
        </w:tc>
        <w:tc>
          <w:tcPr>
            <w:tcW w:w="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(11,444,537)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1,784,579</w:t>
            </w:r>
          </w:p>
        </w:tc>
        <w:tc>
          <w:tcPr>
            <w:tcW w:w="60" w:type="dxa"/>
            <w:vAlign w:val="bottom"/>
          </w:tcPr>
          <w:p>
            <w:pPr>
              <w:spacing w:after="0"/>
              <w:rPr>
                <w:sz w:val="16"/>
                <w:szCs w:val="16"/>
                <w:color w:val="auto"/>
              </w:rPr>
            </w:pPr>
          </w:p>
        </w:tc>
      </w:tr>
      <w:tr>
        <w:trPr>
          <w:trHeight w:val="203"/>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original issue discount on indebtedness</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352,340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621,171</w:t>
            </w:r>
          </w:p>
        </w:tc>
        <w:tc>
          <w:tcPr>
            <w:tcW w:w="60" w:type="dxa"/>
            <w:vAlign w:val="bottom"/>
          </w:tcPr>
          <w:p>
            <w:pPr>
              <w:spacing w:after="0"/>
              <w:rPr>
                <w:sz w:val="17"/>
                <w:szCs w:val="17"/>
                <w:color w:val="auto"/>
              </w:rPr>
            </w:pPr>
          </w:p>
        </w:tc>
      </w:tr>
      <w:tr>
        <w:trPr>
          <w:trHeight w:val="203"/>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893,745</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745,581</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845,793</w:t>
            </w:r>
          </w:p>
        </w:tc>
      </w:tr>
      <w:tr>
        <w:trPr>
          <w:trHeight w:val="203"/>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Realized losses on extinguishments of debt</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197,090</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4,121,998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174,211</w:t>
            </w:r>
          </w:p>
        </w:tc>
        <w:tc>
          <w:tcPr>
            <w:tcW w:w="60" w:type="dxa"/>
            <w:vAlign w:val="bottom"/>
          </w:tcPr>
          <w:p>
            <w:pPr>
              <w:spacing w:after="0"/>
              <w:rPr>
                <w:sz w:val="17"/>
                <w:szCs w:val="17"/>
                <w:color w:val="auto"/>
              </w:rPr>
            </w:pPr>
          </w:p>
        </w:tc>
      </w:tr>
      <w:tr>
        <w:trPr>
          <w:trHeight w:val="203"/>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Payment-in-kind interest income</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(1,066,354)</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(1,099,223)</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(1,065,339)</w:t>
            </w:r>
          </w:p>
        </w:tc>
      </w:tr>
      <w:tr>
        <w:trPr>
          <w:trHeight w:val="203"/>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548,200</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1,127,992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1,543,353</w:t>
            </w:r>
          </w:p>
        </w:tc>
        <w:tc>
          <w:tcPr>
            <w:tcW w:w="60" w:type="dxa"/>
            <w:vAlign w:val="bottom"/>
          </w:tcPr>
          <w:p>
            <w:pPr>
              <w:spacing w:after="0"/>
              <w:rPr>
                <w:sz w:val="17"/>
                <w:szCs w:val="17"/>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Increase in payable for open trades</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(11,010,631)</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26,330,252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7,884,943</w:t>
            </w:r>
          </w:p>
        </w:tc>
        <w:tc>
          <w:tcPr>
            <w:tcW w:w="60" w:type="dxa"/>
            <w:vAlign w:val="bottom"/>
          </w:tcPr>
          <w:p>
            <w:pPr>
              <w:spacing w:after="0"/>
              <w:rPr>
                <w:sz w:val="17"/>
                <w:szCs w:val="17"/>
                <w:color w:val="auto"/>
              </w:rPr>
            </w:pPr>
          </w:p>
        </w:tc>
      </w:tr>
      <w:tr>
        <w:trPr>
          <w:trHeight w:val="203"/>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interest and dividends receivable</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(291,699)</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(17,354)</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778,707</w:t>
            </w:r>
          </w:p>
        </w:tc>
      </w:tr>
      <w:tr>
        <w:trPr>
          <w:trHeight w:val="203"/>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(Increase) in receivable for open trades</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2,993,750</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(43,092)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(2,950,658)</w:t>
            </w:r>
          </w:p>
        </w:tc>
        <w:tc>
          <w:tcPr>
            <w:tcW w:w="60" w:type="dxa"/>
            <w:vAlign w:val="bottom"/>
          </w:tcPr>
          <w:p>
            <w:pPr>
              <w:spacing w:after="0"/>
              <w:rPr>
                <w:sz w:val="17"/>
                <w:szCs w:val="17"/>
                <w:color w:val="auto"/>
              </w:rPr>
            </w:pPr>
          </w:p>
        </w:tc>
      </w:tr>
      <w:tr>
        <w:trPr>
          <w:trHeight w:val="203"/>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48,944</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(62,513)</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98,516</w:t>
            </w:r>
          </w:p>
        </w:tc>
      </w:tr>
      <w:tr>
        <w:trPr>
          <w:trHeight w:val="203"/>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(Increase) in due from affiliates</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235,862</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(630,639)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1,504,241</w:t>
            </w:r>
          </w:p>
        </w:tc>
        <w:tc>
          <w:tcPr>
            <w:tcW w:w="60" w:type="dxa"/>
            <w:vAlign w:val="bottom"/>
          </w:tcPr>
          <w:p>
            <w:pPr>
              <w:spacing w:after="0"/>
              <w:rPr>
                <w:sz w:val="17"/>
                <w:szCs w:val="17"/>
                <w:color w:val="auto"/>
              </w:rPr>
            </w:pPr>
          </w:p>
        </w:tc>
      </w:tr>
      <w:tr>
        <w:trPr>
          <w:trHeight w:val="203"/>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due to affiliates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90,742</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25,083</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(554,279)</w:t>
            </w:r>
          </w:p>
        </w:tc>
      </w:tr>
      <w:tr>
        <w:trPr>
          <w:trHeight w:val="203"/>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(Decrease) in accounts payable and accrued expenses</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1,241,107</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303,431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(170,660)</w:t>
            </w:r>
          </w:p>
        </w:tc>
        <w:tc>
          <w:tcPr>
            <w:tcW w:w="60" w:type="dxa"/>
            <w:vAlign w:val="bottom"/>
          </w:tcPr>
          <w:p>
            <w:pPr>
              <w:spacing w:after="0"/>
              <w:rPr>
                <w:sz w:val="17"/>
                <w:szCs w:val="17"/>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accrued interest payable</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131,182</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(930,086)</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(297,982)</w:t>
            </w:r>
          </w:p>
        </w:tc>
      </w:tr>
      <w:tr>
        <w:trPr>
          <w:trHeight w:val="20"/>
        </w:trPr>
        <w:tc>
          <w:tcPr>
            <w:tcW w:w="5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24,154,403</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89,106,325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51,537,099</w:t>
            </w:r>
          </w:p>
        </w:tc>
        <w:tc>
          <w:tcPr>
            <w:tcW w:w="60" w:type="dxa"/>
            <w:vAlign w:val="bottom"/>
          </w:tcPr>
          <w:p>
            <w:pPr>
              <w:spacing w:after="0"/>
              <w:rPr>
                <w:sz w:val="17"/>
                <w:szCs w:val="17"/>
                <w:color w:val="auto"/>
              </w:rPr>
            </w:pPr>
          </w:p>
        </w:tc>
      </w:tr>
      <w:tr>
        <w:trPr>
          <w:trHeight w:val="311"/>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6.125% Notes Due 2022</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77,407,200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(1,459,899)</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(2,798,940)</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restricted shares</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17"/>
                <w:szCs w:val="17"/>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 of restricted shares</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03"/>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stockholders</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(14,672,972)</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(17,411,479)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(21,431,241)</w:t>
            </w:r>
          </w:p>
        </w:tc>
        <w:tc>
          <w:tcPr>
            <w:tcW w:w="60" w:type="dxa"/>
            <w:vAlign w:val="bottom"/>
          </w:tcPr>
          <w:p>
            <w:pPr>
              <w:spacing w:after="0"/>
              <w:rPr>
                <w:sz w:val="17"/>
                <w:szCs w:val="17"/>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Senior Funding Notes</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(147,350,000)</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(19,299,000)</w:t>
            </w:r>
          </w:p>
        </w:tc>
      </w:tr>
      <w:tr>
        <w:trPr>
          <w:trHeight w:val="203"/>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Borrowings under KCAP Funding LLC, Revolving Credit Facility</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49,781,592</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KCAP Funding LLC, Revolving Credit Facility</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(23,425,506)</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7.375% Notes Due 2019</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(27,000,000)</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(6,530,925)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(7,861,364)</w:t>
            </w:r>
          </w:p>
        </w:tc>
        <w:tc>
          <w:tcPr>
            <w:tcW w:w="60" w:type="dxa"/>
            <w:vAlign w:val="bottom"/>
          </w:tcPr>
          <w:p>
            <w:pPr>
              <w:spacing w:after="0"/>
              <w:rPr>
                <w:sz w:val="17"/>
                <w:szCs w:val="17"/>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withheld for payroll taxes upon vesting of restricted stock</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(86,743)</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(224,944)</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(247,926)</w:t>
            </w:r>
          </w:p>
        </w:tc>
      </w:tr>
      <w:tr>
        <w:trPr>
          <w:trHeight w:val="20"/>
        </w:trPr>
        <w:tc>
          <w:tcPr>
            <w:tcW w:w="5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(16,864,032)</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(96,907,785)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(48,839,816)</w:t>
            </w:r>
          </w:p>
        </w:tc>
        <w:tc>
          <w:tcPr>
            <w:tcW w:w="60" w:type="dxa"/>
            <w:vAlign w:val="bottom"/>
          </w:tcPr>
          <w:p>
            <w:pPr>
              <w:spacing w:after="0"/>
              <w:rPr>
                <w:sz w:val="18"/>
                <w:szCs w:val="18"/>
                <w:color w:val="auto"/>
              </w:rPr>
            </w:pPr>
          </w:p>
        </w:tc>
      </w:tr>
      <w:tr>
        <w:trPr>
          <w:trHeight w:val="20"/>
        </w:trPr>
        <w:tc>
          <w:tcPr>
            <w:tcW w:w="5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CHANGE IN CASH AND RESTRICTED CASH</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7,290,371</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(7,801,460)</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2,697,283</w:t>
            </w:r>
          </w:p>
        </w:tc>
      </w:tr>
      <w:tr>
        <w:trPr>
          <w:trHeight w:val="216"/>
        </w:trPr>
        <w:tc>
          <w:tcPr>
            <w:tcW w:w="5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BEGINNING OF YEAR</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2,034,095</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9,835,555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7,138,272</w:t>
            </w:r>
          </w:p>
        </w:tc>
        <w:tc>
          <w:tcPr>
            <w:tcW w:w="60" w:type="dxa"/>
            <w:vAlign w:val="bottom"/>
          </w:tcPr>
          <w:p>
            <w:pPr>
              <w:spacing w:after="0"/>
              <w:rPr>
                <w:sz w:val="18"/>
                <w:szCs w:val="18"/>
                <w:color w:val="auto"/>
              </w:rPr>
            </w:pPr>
          </w:p>
        </w:tc>
      </w:tr>
      <w:tr>
        <w:trPr>
          <w:trHeight w:val="20"/>
        </w:trPr>
        <w:tc>
          <w:tcPr>
            <w:tcW w:w="5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CASH AND RESTRICTED CASH, END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9,324,466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2,034,095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9,835,555</w:t>
            </w:r>
          </w:p>
        </w:tc>
      </w:tr>
      <w:tr>
        <w:trPr>
          <w:trHeight w:val="251"/>
        </w:trPr>
        <w:tc>
          <w:tcPr>
            <w:tcW w:w="51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6,509,669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6,563,486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7,902,774</w:t>
            </w:r>
          </w:p>
        </w:tc>
      </w:tr>
      <w:tr>
        <w:trPr>
          <w:trHeight w:val="203"/>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under the dividend reinvestment plan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208,775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360,981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638,016</w:t>
            </w:r>
          </w:p>
        </w:tc>
        <w:tc>
          <w:tcPr>
            <w:tcW w:w="60" w:type="dxa"/>
            <w:vAlign w:val="bottom"/>
          </w:tcPr>
          <w:p>
            <w:pPr>
              <w:spacing w:after="0"/>
              <w:rPr>
                <w:sz w:val="17"/>
                <w:szCs w:val="17"/>
                <w:color w:val="auto"/>
              </w:rPr>
            </w:pPr>
          </w:p>
        </w:tc>
      </w:tr>
      <w:tr>
        <w:trPr>
          <w:trHeight w:val="311"/>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non-cash information:</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purchase of investments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3,281,528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311"/>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Amounts per balance sheet: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5,417,125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2,034,095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1,307,257</w:t>
            </w:r>
          </w:p>
        </w:tc>
        <w:tc>
          <w:tcPr>
            <w:tcW w:w="60" w:type="dxa"/>
            <w:vAlign w:val="bottom"/>
          </w:tcPr>
          <w:p>
            <w:pPr>
              <w:spacing w:after="0"/>
              <w:rPr>
                <w:sz w:val="17"/>
                <w:szCs w:val="17"/>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3,907,341</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8,528,298</w:t>
            </w:r>
          </w:p>
        </w:tc>
      </w:tr>
      <w:tr>
        <w:trPr>
          <w:trHeight w:val="20"/>
        </w:trPr>
        <w:tc>
          <w:tcPr>
            <w:tcW w:w="5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1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Cash and Restricted 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9,324,466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2,034,095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9,835,555</w:t>
            </w:r>
          </w:p>
        </w:tc>
        <w:tc>
          <w:tcPr>
            <w:tcW w:w="60" w:type="dxa"/>
            <w:vAlign w:val="bottom"/>
          </w:tcPr>
          <w:p>
            <w:pPr>
              <w:spacing w:after="0"/>
              <w:rPr>
                <w:sz w:val="19"/>
                <w:szCs w:val="19"/>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-179705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-179705</wp:posOffset>
            </wp:positionV>
            <wp:extent cx="3944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-1988820</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-1988820</wp:posOffset>
            </wp:positionV>
            <wp:extent cx="3944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-3618230</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-3618230</wp:posOffset>
            </wp:positionV>
            <wp:extent cx="3944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-6602730</wp:posOffset>
            </wp:positionV>
            <wp:extent cx="51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-6602730</wp:posOffset>
            </wp:positionV>
            <wp:extent cx="39363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9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90" w:name="page91"/>
    <w:bookmarkEnd w:id="90"/>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Securities Portfolio</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Fair Value</w:t>
            </w:r>
            <w:r>
              <w:rPr>
                <w:rFonts w:ascii="Times New Roman" w:cs="Times New Roman" w:eastAsia="Times New Roman" w:hAnsi="Times New Roman"/>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8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ind w:left="400"/>
              <w:spacing w:after="0" w:line="230" w:lineRule="exact"/>
              <w:rPr>
                <w:sz w:val="20"/>
                <w:szCs w:val="20"/>
                <w:color w:val="auto"/>
              </w:rPr>
            </w:pPr>
            <w:r>
              <w:rPr>
                <w:rFonts w:ascii="Times New Roman" w:cs="Times New Roman" w:eastAsia="Times New Roman" w:hAnsi="Times New Roman"/>
                <w:sz w:val="14"/>
                <w:szCs w:val="14"/>
                <w:b w:val="1"/>
                <w:bCs w:val="1"/>
                <w:color w:val="auto"/>
              </w:rPr>
              <w:t>Interest Rate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/Maturity</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Advanced Lighting Technologies,</w:t>
            </w:r>
          </w:p>
        </w:tc>
        <w:tc>
          <w:tcPr>
            <w:tcW w:w="238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Junior Secured Loan — Second Lien</w:t>
            </w: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8"/>
                <w:szCs w:val="8"/>
                <w:color w:val="auto"/>
              </w:rPr>
              <w:t>(5)(8)(13)</w:t>
            </w:r>
          </w:p>
        </w:tc>
        <w:tc>
          <w:tcPr>
            <w:tcW w:w="23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Notes 9.8% Cash, 10.0% PIK,</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Consumer goods: Durable</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 month LIBOR (2.80%) + 7.00%;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6/13/2012</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$ 1,007,062</w:t>
            </w:r>
          </w:p>
        </w:tc>
        <w:tc>
          <w:tcPr>
            <w:tcW w:w="8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958,499</w:t>
            </w: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362,240</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Floor 1.00%, Due 10/23</w:t>
            </w: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-402590</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-402590</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-402590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-402590</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-402590</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p>
      <w:pPr>
        <w:ind w:left="1260"/>
        <w:spacing w:after="0" w:line="200" w:lineRule="auto"/>
        <w:rPr>
          <w:sz w:val="20"/>
          <w:szCs w:val="20"/>
          <w:color w:val="auto"/>
        </w:rPr>
      </w:pPr>
      <w:r>
        <w:rPr>
          <w:rFonts w:ascii="Times New Roman" w:cs="Times New Roman" w:eastAsia="Times New Roman" w:hAnsi="Times New Roman"/>
          <w:sz w:val="13"/>
          <w:szCs w:val="13"/>
          <w:color w:val="auto"/>
        </w:rPr>
        <w:t>AlixPartners, LLP</w:t>
      </w:r>
      <w:r>
        <w:rPr>
          <w:rFonts w:ascii="Times New Roman" w:cs="Times New Roman" w:eastAsia="Times New Roman" w:hAnsi="Times New Roman"/>
          <w:sz w:val="19"/>
          <w:szCs w:val="19"/>
          <w:color w:val="auto"/>
          <w:vertAlign w:val="superscript"/>
        </w:rPr>
        <w:t>(8)(13)</w:t>
      </w:r>
    </w:p>
    <w:p>
      <w:pPr>
        <w:ind w:left="1440"/>
        <w:spacing w:after="0"/>
        <w:rPr>
          <w:sz w:val="20"/>
          <w:szCs w:val="20"/>
          <w:color w:val="auto"/>
        </w:rPr>
      </w:pPr>
      <w:r>
        <w:rPr>
          <w:rFonts w:ascii="Times New Roman" w:cs="Times New Roman" w:eastAsia="Times New Roman" w:hAnsi="Times New Roman"/>
          <w:sz w:val="14"/>
          <w:szCs w:val="14"/>
          <w:color w:val="auto"/>
        </w:rPr>
        <w:t>Services: Business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2017</w:t>
            </w: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Refinancing Term Loan5.3% Cash,</w:t>
            </w: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1 month LIBOR (2.52%) + 2.75%;</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12/28/2018</w:t>
            </w: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997,462</w:t>
            </w: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957,563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957,563</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LIBOR Floor 1.00%, Due 4/24</w:t>
            </w:r>
          </w:p>
        </w:tc>
        <w:tc>
          <w:tcPr>
            <w:tcW w:w="10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3000" w:space="720"/>
            <w:col w:w="649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Asurion, LLC (fka Asurion</w:t>
            </w: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Senior Secured Loan — Amendment</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Corporation)</w:t>
            </w:r>
            <w:r>
              <w:rPr>
                <w:rFonts w:ascii="Times New Roman" w:cs="Times New Roman" w:eastAsia="Times New Roman" w:hAnsi="Times New Roman"/>
                <w:sz w:val="15"/>
                <w:szCs w:val="15"/>
                <w:color w:val="auto"/>
                <w:vertAlign w:val="superscript"/>
              </w:rPr>
              <w:t>(8)(13)</w:t>
            </w:r>
          </w:p>
        </w:tc>
        <w:tc>
          <w:tcPr>
            <w:tcW w:w="254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4"/>
                <w:szCs w:val="14"/>
                <w:color w:val="auto"/>
              </w:rPr>
              <w:t>No. 14 Replacement B-4 Term Loan</w:t>
            </w:r>
          </w:p>
        </w:tc>
        <w:tc>
          <w:tcPr>
            <w:tcW w:w="9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Banking, Finance, Insurance &amp;</w:t>
            </w:r>
          </w:p>
        </w:tc>
        <w:tc>
          <w:tcPr>
            <w:tcW w:w="25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5.5% Cash, 1 month LIBOR (2.52%)</w:t>
            </w: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Real Estate</w:t>
            </w:r>
          </w:p>
        </w:tc>
        <w:tc>
          <w:tcPr>
            <w:tcW w:w="254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4"/>
                <w:szCs w:val="14"/>
                <w:color w:val="auto"/>
              </w:rPr>
              <w:t>+ 3.00%; LIBOR Floor 1.00%, Due</w:t>
            </w:r>
          </w:p>
        </w:tc>
        <w:tc>
          <w:tcPr>
            <w:tcW w:w="9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12/28/2018</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1,520,851</w:t>
            </w:r>
          </w:p>
        </w:tc>
        <w:tc>
          <w:tcPr>
            <w:tcW w:w="8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1,463,819</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1,460,001</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spacing w:after="0"/>
              <w:rPr>
                <w:sz w:val="15"/>
                <w:szCs w:val="15"/>
                <w:color w:val="auto"/>
              </w:rPr>
            </w:pP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8/22</w:t>
            </w:r>
          </w:p>
        </w:tc>
        <w:tc>
          <w:tcPr>
            <w:tcW w:w="9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19"/>
          </w:cols>
          <w:pgMar w:left="240" w:top="114" w:right="1440" w:bottom="1440" w:gutter="0" w:footer="0" w:header="0"/>
          <w:type w:val="continuous"/>
        </w:sectPr>
      </w:pPr>
    </w:p>
    <w:p>
      <w:pPr>
        <w:jc w:val="center"/>
        <w:ind w:left="900"/>
        <w:spacing w:after="0" w:line="218" w:lineRule="auto"/>
        <w:rPr>
          <w:sz w:val="20"/>
          <w:szCs w:val="20"/>
          <w:color w:val="auto"/>
        </w:rPr>
      </w:pPr>
      <w:r>
        <w:rPr>
          <w:rFonts w:ascii="Times New Roman" w:cs="Times New Roman" w:eastAsia="Times New Roman" w:hAnsi="Times New Roman"/>
          <w:sz w:val="14"/>
          <w:szCs w:val="14"/>
          <w:color w:val="auto"/>
        </w:rPr>
        <w:t>BMC Acquisition, Inc. (aka</w:t>
      </w:r>
    </w:p>
    <w:p>
      <w:pPr>
        <w:jc w:val="center"/>
        <w:ind w:left="880"/>
        <w:spacing w:after="0" w:line="188" w:lineRule="auto"/>
        <w:rPr>
          <w:sz w:val="20"/>
          <w:szCs w:val="20"/>
          <w:color w:val="auto"/>
        </w:rPr>
      </w:pPr>
      <w:r>
        <w:rPr>
          <w:rFonts w:ascii="Times New Roman" w:cs="Times New Roman" w:eastAsia="Times New Roman" w:hAnsi="Times New Roman"/>
          <w:sz w:val="13"/>
          <w:szCs w:val="13"/>
          <w:color w:val="auto"/>
        </w:rPr>
        <w:t>BenefitMall)</w:t>
      </w:r>
      <w:r>
        <w:rPr>
          <w:rFonts w:ascii="Times New Roman" w:cs="Times New Roman" w:eastAsia="Times New Roman" w:hAnsi="Times New Roman"/>
          <w:sz w:val="19"/>
          <w:szCs w:val="19"/>
          <w:color w:val="auto"/>
          <w:vertAlign w:val="superscript"/>
        </w:rPr>
        <w:t>(8)(13)(14)</w:t>
      </w:r>
    </w:p>
    <w:p>
      <w:pPr>
        <w:ind w:left="1440"/>
        <w:spacing w:after="0" w:line="201" w:lineRule="auto"/>
        <w:rPr>
          <w:sz w:val="20"/>
          <w:szCs w:val="20"/>
          <w:color w:val="auto"/>
        </w:rPr>
      </w:pPr>
      <w:r>
        <w:rPr>
          <w:rFonts w:ascii="Times New Roman" w:cs="Times New Roman" w:eastAsia="Times New Roman" w:hAnsi="Times New Roman"/>
          <w:sz w:val="14"/>
          <w:szCs w:val="14"/>
          <w:color w:val="auto"/>
        </w:rPr>
        <w:t>Banking, Finance, Insurance &amp;</w:t>
      </w:r>
    </w:p>
    <w:p>
      <w:pPr>
        <w:ind w:left="1440"/>
        <w:spacing w:after="0"/>
        <w:rPr>
          <w:sz w:val="20"/>
          <w:szCs w:val="20"/>
          <w:color w:val="auto"/>
        </w:rPr>
      </w:pPr>
      <w:r>
        <w:rPr>
          <w:rFonts w:ascii="Times New Roman" w:cs="Times New Roman" w:eastAsia="Times New Roman" w:hAnsi="Times New Roman"/>
          <w:sz w:val="14"/>
          <w:szCs w:val="14"/>
          <w:color w:val="auto"/>
        </w:rPr>
        <w:t>Real Estate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Loan7.8% Cash, 6 month LIBOR</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(2.59%) + 5.25%; LIBOR Floor</w:t>
            </w: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1/2/2018</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2,970,000</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2,968,502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2,942,082</w:t>
            </w:r>
          </w:p>
        </w:tc>
        <w:tc>
          <w:tcPr>
            <w:tcW w:w="0" w:type="dxa"/>
            <w:vAlign w:val="bottom"/>
          </w:tcPr>
          <w:p>
            <w:pPr>
              <w:spacing w:after="0"/>
              <w:rPr>
                <w:sz w:val="1"/>
                <w:szCs w:val="1"/>
                <w:color w:val="auto"/>
              </w:rPr>
            </w:pPr>
          </w:p>
        </w:tc>
      </w:tr>
      <w:tr>
        <w:trPr>
          <w:trHeight w:val="187"/>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1.00%, Due 12/24</w:t>
            </w:r>
          </w:p>
        </w:tc>
        <w:tc>
          <w:tcPr>
            <w:tcW w:w="9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240" w:space="480"/>
            <w:col w:w="649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4"/>
        </w:trPr>
        <w:tc>
          <w:tcPr>
            <w:tcW w:w="22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BW NHHC Holdco Inc.</w:t>
            </w:r>
            <w:r>
              <w:rPr>
                <w:rFonts w:ascii="Times New Roman" w:cs="Times New Roman" w:eastAsia="Times New Roman" w:hAnsi="Times New Roman"/>
                <w:sz w:val="19"/>
                <w:szCs w:val="19"/>
                <w:color w:val="auto"/>
                <w:vertAlign w:val="superscript"/>
              </w:rPr>
              <w:t>(8)(13)(14)</w:t>
            </w:r>
          </w:p>
        </w:tc>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5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Loan (First Lien) 7.5% Cash,</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00" w:type="dxa"/>
            <w:vAlign w:val="bottom"/>
            <w:shd w:val="clear" w:color="auto" w:fill="CCEEFF"/>
          </w:tcPr>
          <w:p>
            <w:pPr>
              <w:spacing w:after="0"/>
              <w:rPr>
                <w:sz w:val="10"/>
                <w:szCs w:val="10"/>
                <w:color w:val="auto"/>
              </w:rPr>
            </w:pPr>
          </w:p>
        </w:tc>
        <w:tc>
          <w:tcPr>
            <w:tcW w:w="258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4"/>
                <w:szCs w:val="14"/>
                <w:color w:val="auto"/>
              </w:rPr>
              <w:t>1 month LIBOR (2.47%) + 5.00%,</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5/16/2018</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1,990,000</w:t>
            </w:r>
          </w:p>
        </w:tc>
        <w:tc>
          <w:tcPr>
            <w:tcW w:w="8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1,962,751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1,950,200</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16"/>
                <w:szCs w:val="16"/>
                <w:color w:val="auto"/>
              </w:rPr>
            </w:pPr>
          </w:p>
        </w:tc>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Due 5/25</w:t>
            </w:r>
          </w:p>
        </w:tc>
        <w:tc>
          <w:tcPr>
            <w:tcW w:w="9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Carestream Health, Inc.</w:t>
            </w:r>
            <w:r>
              <w:rPr>
                <w:rFonts w:ascii="Times New Roman" w:cs="Times New Roman" w:eastAsia="Times New Roman" w:hAnsi="Times New Roman"/>
                <w:sz w:val="18"/>
                <w:szCs w:val="18"/>
                <w:color w:val="auto"/>
                <w:vertAlign w:val="superscript"/>
              </w:rPr>
              <w:t>(8)(13)</w:t>
            </w:r>
          </w:p>
        </w:tc>
        <w:tc>
          <w:tcPr>
            <w:tcW w:w="2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Junior Secured Loan — Extended</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Term Loan (Second Lien)</w:t>
            </w: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258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12.0% Cash, 1 month LIBOR</w:t>
            </w: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58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(2.52%) + 9.50%; LIBOR Floor</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10/7/2014</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1,510,955</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1,496,079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1,480,736</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1.00%, Due 6/21</w:t>
            </w:r>
          </w:p>
        </w:tc>
        <w:tc>
          <w:tcPr>
            <w:tcW w:w="9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Child Development Schools,</w:t>
            </w:r>
          </w:p>
        </w:tc>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8"/>
                <w:szCs w:val="8"/>
                <w:color w:val="auto"/>
              </w:rPr>
              <w:t>(8)(13)(14)</w:t>
            </w:r>
          </w:p>
        </w:tc>
        <w:tc>
          <w:tcPr>
            <w:tcW w:w="25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4"/>
                <w:szCs w:val="14"/>
                <w:color w:val="auto"/>
              </w:rPr>
              <w:t>6.7% Cash, 3 month LIBOR</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6/6/2018</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4,794,521</w:t>
            </w:r>
          </w:p>
        </w:tc>
        <w:tc>
          <w:tcPr>
            <w:tcW w:w="8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4,783,918</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4,782,534</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 Business</w:t>
            </w:r>
          </w:p>
        </w:tc>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(2.50%) + 4.25%, Due 5/23</w:t>
            </w:r>
          </w:p>
        </w:tc>
        <w:tc>
          <w:tcPr>
            <w:tcW w:w="9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0219"/>
          </w:cols>
          <w:pgMar w:left="240" w:top="114"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4"/>
          <w:szCs w:val="14"/>
          <w:color w:val="auto"/>
        </w:rPr>
        <w:t>Community Care Health Network,</w:t>
      </w:r>
    </w:p>
    <w:p>
      <w:pPr>
        <w:ind w:left="1440"/>
        <w:spacing w:after="0" w:line="181" w:lineRule="auto"/>
        <w:rPr>
          <w:sz w:val="20"/>
          <w:szCs w:val="20"/>
          <w:color w:val="auto"/>
        </w:rPr>
      </w:pPr>
      <w:r>
        <w:rPr>
          <w:rFonts w:ascii="Times New Roman" w:cs="Times New Roman" w:eastAsia="Times New Roman" w:hAnsi="Times New Roman"/>
          <w:sz w:val="13"/>
          <w:szCs w:val="13"/>
          <w:color w:val="auto"/>
        </w:rPr>
        <w:t>Inc. (aka Matrix Medical</w:t>
      </w:r>
    </w:p>
    <w:p>
      <w:pPr>
        <w:ind w:left="1440"/>
        <w:spacing w:after="0" w:line="187" w:lineRule="auto"/>
        <w:rPr>
          <w:sz w:val="20"/>
          <w:szCs w:val="20"/>
          <w:color w:val="auto"/>
        </w:rPr>
      </w:pPr>
      <w:r>
        <w:rPr>
          <w:rFonts w:ascii="Times New Roman" w:cs="Times New Roman" w:eastAsia="Times New Roman" w:hAnsi="Times New Roman"/>
          <w:sz w:val="13"/>
          <w:szCs w:val="13"/>
          <w:color w:val="auto"/>
        </w:rPr>
        <w:t>Network)</w:t>
      </w:r>
      <w:r>
        <w:rPr>
          <w:rFonts w:ascii="Times New Roman" w:cs="Times New Roman" w:eastAsia="Times New Roman" w:hAnsi="Times New Roman"/>
          <w:sz w:val="19"/>
          <w:szCs w:val="19"/>
          <w:color w:val="auto"/>
          <w:vertAlign w:val="superscript"/>
        </w:rPr>
        <w:t>(8)(14)</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Closing</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Date Term Loan 7.3% Cash,</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1 month LIBOR (2.52%) + 4.75%;</w:t>
            </w: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2/9/2018</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1,990,000</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1,985,635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1,873,784</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LIBOR Floor 1.00%, Due 2/25</w:t>
            </w:r>
          </w:p>
        </w:tc>
        <w:tc>
          <w:tcPr>
            <w:tcW w:w="9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260" w:space="460"/>
            <w:col w:w="649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4"/>
        </w:trPr>
        <w:tc>
          <w:tcPr>
            <w:tcW w:w="1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Corsair Gaming, Inc.</w:t>
            </w:r>
            <w:r>
              <w:rPr>
                <w:rFonts w:ascii="Times New Roman" w:cs="Times New Roman" w:eastAsia="Times New Roman" w:hAnsi="Times New Roman"/>
                <w:sz w:val="19"/>
                <w:szCs w:val="19"/>
                <w:color w:val="auto"/>
                <w:vertAlign w:val="superscript"/>
              </w:rPr>
              <w:t>(8)</w:t>
            </w:r>
          </w:p>
        </w:tc>
        <w:tc>
          <w:tcPr>
            <w:tcW w:w="2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8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(Second Lien) 11.3% Cash, 3 month</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CEEFF"/>
          </w:tcPr>
          <w:p>
            <w:pPr>
              <w:spacing w:after="0"/>
              <w:rPr>
                <w:sz w:val="10"/>
                <w:szCs w:val="10"/>
                <w:color w:val="auto"/>
              </w:rPr>
            </w:pPr>
          </w:p>
        </w:tc>
        <w:tc>
          <w:tcPr>
            <w:tcW w:w="2860" w:type="dxa"/>
            <w:vAlign w:val="bottom"/>
            <w:shd w:val="clear" w:color="auto" w:fill="CCEEFF"/>
          </w:tcPr>
          <w:p>
            <w:pPr>
              <w:ind w:left="540"/>
              <w:spacing w:after="0" w:line="122" w:lineRule="exact"/>
              <w:rPr>
                <w:sz w:val="20"/>
                <w:szCs w:val="20"/>
                <w:color w:val="auto"/>
              </w:rPr>
            </w:pPr>
            <w:r>
              <w:rPr>
                <w:rFonts w:ascii="Times New Roman" w:cs="Times New Roman" w:eastAsia="Times New Roman" w:hAnsi="Times New Roman"/>
                <w:sz w:val="14"/>
                <w:szCs w:val="14"/>
                <w:color w:val="auto"/>
              </w:rPr>
              <w:t>LIBOR (2.80%) + 8.50%; LIBOR</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9/29/2017</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5,000,000</w:t>
            </w:r>
          </w:p>
        </w:tc>
        <w:tc>
          <w:tcPr>
            <w:tcW w:w="8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4,936,538</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4,929,000</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spacing w:after="0"/>
              <w:rPr>
                <w:sz w:val="16"/>
                <w:szCs w:val="16"/>
                <w:color w:val="auto"/>
              </w:rPr>
            </w:pPr>
          </w:p>
        </w:tc>
        <w:tc>
          <w:tcPr>
            <w:tcW w:w="2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Floor 1.00%, Due 8/25</w:t>
            </w:r>
          </w:p>
        </w:tc>
        <w:tc>
          <w:tcPr>
            <w:tcW w:w="9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19"/>
          </w:cols>
          <w:pgMar w:left="240" w:top="114" w:right="1440" w:bottom="1440" w:gutter="0" w:footer="0" w:header="0"/>
          <w:type w:val="continuous"/>
        </w:sectPr>
      </w:pPr>
    </w:p>
    <w:p>
      <w:pPr>
        <w:ind w:left="1260"/>
        <w:spacing w:after="0" w:line="200" w:lineRule="auto"/>
        <w:rPr>
          <w:sz w:val="20"/>
          <w:szCs w:val="20"/>
          <w:color w:val="auto"/>
        </w:rPr>
      </w:pPr>
      <w:r>
        <w:rPr>
          <w:rFonts w:ascii="Times New Roman" w:cs="Times New Roman" w:eastAsia="Times New Roman" w:hAnsi="Times New Roman"/>
          <w:sz w:val="13"/>
          <w:szCs w:val="13"/>
          <w:color w:val="auto"/>
        </w:rPr>
        <w:t>Corsair Gaming, Inc.</w:t>
      </w:r>
      <w:r>
        <w:rPr>
          <w:rFonts w:ascii="Times New Roman" w:cs="Times New Roman" w:eastAsia="Times New Roman" w:hAnsi="Times New Roman"/>
          <w:sz w:val="19"/>
          <w:szCs w:val="19"/>
          <w:color w:val="auto"/>
          <w:vertAlign w:val="superscript"/>
        </w:rPr>
        <w:t>(8)(14)</w:t>
      </w:r>
    </w:p>
    <w:p>
      <w:pPr>
        <w:ind w:left="1440"/>
        <w:spacing w:after="0"/>
        <w:rPr>
          <w:sz w:val="20"/>
          <w:szCs w:val="20"/>
          <w:color w:val="auto"/>
        </w:rPr>
      </w:pPr>
      <w:r>
        <w:rPr>
          <w:rFonts w:ascii="Times New Roman" w:cs="Times New Roman" w:eastAsia="Times New Roman" w:hAnsi="Times New Roman"/>
          <w:sz w:val="14"/>
          <w:szCs w:val="14"/>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(First Lien) 7.1% Cash, 3 month</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LIBOR (2.80%) + 4.25%; LIBOR</w:t>
            </w: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9/29/2017</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1,989,954</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1,985,554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1,968,678</w:t>
            </w:r>
          </w:p>
        </w:tc>
        <w:tc>
          <w:tcPr>
            <w:tcW w:w="0" w:type="dxa"/>
            <w:vAlign w:val="bottom"/>
          </w:tcPr>
          <w:p>
            <w:pPr>
              <w:spacing w:after="0"/>
              <w:rPr>
                <w:sz w:val="1"/>
                <w:szCs w:val="1"/>
                <w:color w:val="auto"/>
              </w:rPr>
            </w:pPr>
          </w:p>
        </w:tc>
      </w:tr>
      <w:tr>
        <w:trPr>
          <w:trHeight w:val="187"/>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Floor 1.00%, Due 8/24</w:t>
            </w:r>
          </w:p>
        </w:tc>
        <w:tc>
          <w:tcPr>
            <w:tcW w:w="10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3000" w:space="720"/>
            <w:col w:w="649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1"/>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CSM Bakery Solutions Limited (fka</w:t>
            </w:r>
          </w:p>
        </w:tc>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CSM Bakery Supplies Limited)</w:t>
            </w:r>
            <w:r>
              <w:rPr>
                <w:rFonts w:ascii="Times New Roman" w:cs="Times New Roman" w:eastAsia="Times New Roman" w:hAnsi="Times New Roman"/>
                <w:sz w:val="15"/>
                <w:szCs w:val="15"/>
                <w:color w:val="auto"/>
                <w:vertAlign w:val="superscript"/>
              </w:rPr>
              <w:t>(8)</w:t>
            </w:r>
          </w:p>
        </w:tc>
        <w:tc>
          <w:tcPr>
            <w:tcW w:w="248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4"/>
                <w:szCs w:val="14"/>
                <w:color w:val="auto"/>
              </w:rPr>
              <w:t>(Second Lien) 10.2% Cash, 3 month</w:t>
            </w: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Beverage, Food and Tobacco</w:t>
            </w:r>
          </w:p>
        </w:tc>
        <w:tc>
          <w:tcPr>
            <w:tcW w:w="24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LIBOR (2.41%) + 7.75%; LIBOR</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5/23/2013</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3,000,000</w:t>
            </w:r>
          </w:p>
        </w:tc>
        <w:tc>
          <w:tcPr>
            <w:tcW w:w="8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3,006,304</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2,841,300</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Floor 1.00%, Due 7/21</w:t>
            </w:r>
          </w:p>
        </w:tc>
        <w:tc>
          <w:tcPr>
            <w:tcW w:w="9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0219"/>
          </w:cols>
          <w:pgMar w:left="240" w:top="114"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4"/>
          <w:szCs w:val="14"/>
          <w:color w:val="auto"/>
        </w:rPr>
        <w:t>CT Technologies Intermediate</w:t>
      </w:r>
    </w:p>
    <w:p>
      <w:pPr>
        <w:ind w:left="1440"/>
        <w:spacing w:after="0" w:line="181" w:lineRule="auto"/>
        <w:rPr>
          <w:sz w:val="20"/>
          <w:szCs w:val="20"/>
          <w:color w:val="auto"/>
        </w:rPr>
      </w:pPr>
      <w:r>
        <w:rPr>
          <w:rFonts w:ascii="Times New Roman" w:cs="Times New Roman" w:eastAsia="Times New Roman" w:hAnsi="Times New Roman"/>
          <w:sz w:val="13"/>
          <w:szCs w:val="13"/>
          <w:color w:val="auto"/>
        </w:rPr>
        <w:t>Holdings, Inc. (Smart Holdings</w:t>
      </w:r>
    </w:p>
    <w:p>
      <w:pPr>
        <w:ind w:left="1440"/>
        <w:spacing w:after="0" w:line="187" w:lineRule="auto"/>
        <w:rPr>
          <w:sz w:val="20"/>
          <w:szCs w:val="20"/>
          <w:color w:val="auto"/>
        </w:rPr>
      </w:pPr>
      <w:r>
        <w:rPr>
          <w:rFonts w:ascii="Times New Roman" w:cs="Times New Roman" w:eastAsia="Times New Roman" w:hAnsi="Times New Roman"/>
          <w:sz w:val="13"/>
          <w:szCs w:val="13"/>
          <w:color w:val="auto"/>
        </w:rPr>
        <w:t>Corp.) (aka HealthPort)</w:t>
      </w:r>
      <w:r>
        <w:rPr>
          <w:rFonts w:ascii="Times New Roman" w:cs="Times New Roman" w:eastAsia="Times New Roman" w:hAnsi="Times New Roman"/>
          <w:sz w:val="19"/>
          <w:szCs w:val="19"/>
          <w:color w:val="auto"/>
          <w:vertAlign w:val="superscript"/>
        </w:rPr>
        <w:t>(8)(14)</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Healthcare &amp; Pharmaceuticals</w:t>
      </w:r>
    </w:p>
    <w:p>
      <w:pPr>
        <w:ind w:left="1260"/>
        <w:spacing w:after="0" w:line="202" w:lineRule="auto"/>
        <w:rPr>
          <w:sz w:val="20"/>
          <w:szCs w:val="20"/>
          <w:color w:val="auto"/>
        </w:rPr>
      </w:pPr>
      <w:r>
        <w:rPr>
          <w:rFonts w:ascii="Times New Roman" w:cs="Times New Roman" w:eastAsia="Times New Roman" w:hAnsi="Times New Roman"/>
          <w:sz w:val="14"/>
          <w:szCs w:val="14"/>
          <w:color w:val="auto"/>
        </w:rPr>
        <w:t>Decolin Inc.</w:t>
      </w:r>
      <w:r>
        <w:rPr>
          <w:rFonts w:ascii="Times New Roman" w:cs="Times New Roman" w:eastAsia="Times New Roman" w:hAnsi="Times New Roman"/>
          <w:sz w:val="21"/>
          <w:szCs w:val="21"/>
          <w:color w:val="auto"/>
          <w:vertAlign w:val="superscript"/>
        </w:rPr>
        <w:t>(3)(13)(14)</w:t>
      </w:r>
    </w:p>
    <w:p>
      <w:pPr>
        <w:ind w:left="1440"/>
        <w:spacing w:after="0"/>
        <w:rPr>
          <w:sz w:val="20"/>
          <w:szCs w:val="20"/>
          <w:color w:val="auto"/>
        </w:rPr>
      </w:pPr>
      <w:r>
        <w:rPr>
          <w:rFonts w:ascii="Times New Roman" w:cs="Times New Roman" w:eastAsia="Times New Roman" w:hAnsi="Times New Roman"/>
          <w:sz w:val="14"/>
          <w:szCs w:val="14"/>
          <w:color w:val="auto"/>
        </w:rPr>
        <w:t>Textiles and Leather</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Dell International L.L.C. (EMC</w:t>
      </w:r>
    </w:p>
    <w:p>
      <w:pPr>
        <w:ind w:left="1440"/>
        <w:spacing w:after="0" w:line="187" w:lineRule="auto"/>
        <w:rPr>
          <w:sz w:val="20"/>
          <w:szCs w:val="20"/>
          <w:color w:val="auto"/>
        </w:rPr>
      </w:pPr>
      <w:r>
        <w:rPr>
          <w:rFonts w:ascii="Times New Roman" w:cs="Times New Roman" w:eastAsia="Times New Roman" w:hAnsi="Times New Roman"/>
          <w:sz w:val="13"/>
          <w:szCs w:val="13"/>
          <w:color w:val="auto"/>
        </w:rPr>
        <w:t>Corporation)</w:t>
      </w:r>
      <w:r>
        <w:rPr>
          <w:rFonts w:ascii="Times New Roman" w:cs="Times New Roman" w:eastAsia="Times New Roman" w:hAnsi="Times New Roman"/>
          <w:sz w:val="19"/>
          <w:szCs w:val="19"/>
          <w:color w:val="auto"/>
          <w:vertAlign w:val="superscript"/>
        </w:rPr>
        <w:t>(8)(13)</w:t>
      </w:r>
    </w:p>
    <w:p>
      <w:pPr>
        <w:ind w:left="1440"/>
        <w:spacing w:after="0"/>
        <w:rPr>
          <w:sz w:val="20"/>
          <w:szCs w:val="20"/>
          <w:color w:val="auto"/>
        </w:rPr>
      </w:pPr>
      <w:r>
        <w:rPr>
          <w:rFonts w:ascii="Times New Roman" w:cs="Times New Roman" w:eastAsia="Times New Roman" w:hAnsi="Times New Roman"/>
          <w:sz w:val="14"/>
          <w:szCs w:val="14"/>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New Term</w:t>
            </w: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Loan Facility 6.8% Cash, 1 month</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LIBOR (2.52%) + 4.25%; LIBOR</w:t>
            </w: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11/19/2014</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3,964,063</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3,958,001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3,306,683</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Floor 1.00%, Due 12/21</w:t>
            </w:r>
          </w:p>
        </w:tc>
        <w:tc>
          <w:tcPr>
            <w:tcW w:w="10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Loan 7.0% Cash, 1 month LIBOR</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(2.51%) + 4.50%; LIBOR Floor</w:t>
            </w: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1/26/2018</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2,190,363</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2,181,096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2,092,454</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1.00%, Due 12/23</w:t>
            </w:r>
          </w:p>
        </w:tc>
        <w:tc>
          <w:tcPr>
            <w:tcW w:w="10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Refinancing</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Term B Loan 4.5% Cash, 1 month</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LIBOR (2.53%) + 2.00%; LIBOR</w:t>
            </w: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12/28/2018</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2,000,000</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1,930,000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1,930,000</w:t>
            </w:r>
          </w:p>
        </w:tc>
        <w:tc>
          <w:tcPr>
            <w:tcW w:w="0" w:type="dxa"/>
            <w:vAlign w:val="bottom"/>
          </w:tcPr>
          <w:p>
            <w:pPr>
              <w:spacing w:after="0"/>
              <w:rPr>
                <w:sz w:val="1"/>
                <w:szCs w:val="1"/>
                <w:color w:val="auto"/>
              </w:rPr>
            </w:pPr>
          </w:p>
        </w:tc>
      </w:tr>
      <w:tr>
        <w:trPr>
          <w:trHeight w:val="187"/>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Floor 0.75%, Due 9/23</w:t>
            </w:r>
          </w:p>
        </w:tc>
        <w:tc>
          <w:tcPr>
            <w:tcW w:w="10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-786765</wp:posOffset>
            </wp:positionV>
            <wp:extent cx="5213985" cy="394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39433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3260" w:space="460"/>
            <w:col w:w="649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Digitran Innovations B.V. (Pomeroy</w:t>
            </w:r>
          </w:p>
        </w:tc>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10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Solutions Holding Company,</w:t>
            </w:r>
          </w:p>
        </w:tc>
        <w:tc>
          <w:tcPr>
            <w:tcW w:w="24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10.3% Cash, 3 month LIBOR</w:t>
            </w:r>
          </w:p>
        </w:tc>
        <w:tc>
          <w:tcPr>
            <w:tcW w:w="10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8"/>
                <w:szCs w:val="8"/>
                <w:color w:val="auto"/>
              </w:rPr>
              <w:t>(8)(13)(14)</w:t>
            </w:r>
          </w:p>
        </w:tc>
        <w:tc>
          <w:tcPr>
            <w:tcW w:w="24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(2.81%) + 7.50%; LIBOR Floor</w:t>
            </w:r>
          </w:p>
        </w:tc>
        <w:tc>
          <w:tcPr>
            <w:tcW w:w="10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12/10/2018</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4,987,469</w:t>
            </w:r>
          </w:p>
        </w:tc>
        <w:tc>
          <w:tcPr>
            <w:tcW w:w="8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4,938,132</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4,937,594</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High Tech Industries</w:t>
            </w:r>
          </w:p>
        </w:tc>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1.50%, Due 7/24</w:t>
            </w:r>
          </w:p>
        </w:tc>
        <w:tc>
          <w:tcPr>
            <w:tcW w:w="10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Drew Marine Group Inc.</w:t>
      </w:r>
      <w:r>
        <w:rPr>
          <w:rFonts w:ascii="Times New Roman" w:cs="Times New Roman" w:eastAsia="Times New Roman" w:hAnsi="Times New Roman"/>
          <w:sz w:val="21"/>
          <w:szCs w:val="21"/>
          <w:color w:val="auto"/>
          <w:vertAlign w:val="superscript"/>
        </w:rPr>
        <w:t>(8)(13)(14)</w:t>
      </w:r>
    </w:p>
    <w:p>
      <w:pPr>
        <w:ind w:left="1440"/>
        <w:spacing w:after="0"/>
        <w:rPr>
          <w:sz w:val="20"/>
          <w:szCs w:val="20"/>
          <w:color w:val="auto"/>
        </w:rPr>
      </w:pPr>
      <w:r>
        <w:rPr>
          <w:rFonts w:ascii="Times New Roman" w:cs="Times New Roman" w:eastAsia="Times New Roman" w:hAnsi="Times New Roman"/>
          <w:sz w:val="14"/>
          <w:szCs w:val="14"/>
          <w:color w:val="auto"/>
        </w:rPr>
        <w:t>Transportation: Cargo</w:t>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Evergreen North America</w:t>
      </w:r>
    </w:p>
    <w:p>
      <w:pPr>
        <w:ind w:left="1440"/>
        <w:spacing w:after="0" w:line="181" w:lineRule="auto"/>
        <w:rPr>
          <w:sz w:val="20"/>
          <w:szCs w:val="20"/>
          <w:color w:val="auto"/>
        </w:rPr>
      </w:pPr>
      <w:r>
        <w:rPr>
          <w:rFonts w:ascii="Times New Roman" w:cs="Times New Roman" w:eastAsia="Times New Roman" w:hAnsi="Times New Roman"/>
          <w:sz w:val="13"/>
          <w:szCs w:val="13"/>
          <w:color w:val="auto"/>
        </w:rPr>
        <w:t>Acquisition, LLC (f/k/a Industrial</w:t>
      </w:r>
    </w:p>
    <w:p>
      <w:pPr>
        <w:ind w:left="1440"/>
        <w:spacing w:after="0" w:line="187" w:lineRule="auto"/>
        <w:rPr>
          <w:sz w:val="20"/>
          <w:szCs w:val="20"/>
          <w:color w:val="auto"/>
        </w:rPr>
      </w:pPr>
      <w:r>
        <w:rPr>
          <w:rFonts w:ascii="Times New Roman" w:cs="Times New Roman" w:eastAsia="Times New Roman" w:hAnsi="Times New Roman"/>
          <w:sz w:val="13"/>
          <w:szCs w:val="13"/>
          <w:color w:val="auto"/>
        </w:rPr>
        <w:t>Services Acquisition, LLC)</w:t>
      </w:r>
      <w:r>
        <w:rPr>
          <w:rFonts w:ascii="Times New Roman" w:cs="Times New Roman" w:eastAsia="Times New Roman" w:hAnsi="Times New Roman"/>
          <w:sz w:val="19"/>
          <w:szCs w:val="19"/>
          <w:color w:val="auto"/>
          <w:vertAlign w:val="superscript"/>
        </w:rPr>
        <w:t>(8)(13)(14)</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Environmental Industries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Interest Rate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-5715</wp:posOffset>
            </wp:positionV>
            <wp:extent cx="5213985" cy="4032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403225"/>
                    </a:xfrm>
                    <a:prstGeom prst="rect">
                      <a:avLst/>
                    </a:prstGeom>
                    <a:noFill/>
                  </pic:spPr>
                </pic:pic>
              </a:graphicData>
            </a:graphic>
          </wp:anchor>
        </w:drawing>
      </w:r>
    </w:p>
    <w:p>
      <w:pPr>
        <w:spacing w:after="0" w:line="11"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4"/>
          <w:szCs w:val="14"/>
          <w:color w:val="auto"/>
        </w:rPr>
        <w:t>Junior Secured Loan — Term Loan (Second Lien) 9.5% Cash, 1 month LIBOR (2.52%) + 7.00%; LIBOR Floor 1.00%, Due 5/21</w:t>
      </w:r>
    </w:p>
    <w:p>
      <w:pPr>
        <w:spacing w:after="0" w:line="4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4"/>
          <w:szCs w:val="14"/>
          <w:color w:val="auto"/>
        </w:rPr>
        <w:t>Senior Secured Loan — Term Loan 7.8% Cash, 3 month LIBOR (2.81%) + 5.00%; LIBOR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Due 6/22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r>
              <w:rPr>
                <w:rFonts w:ascii="Times New Roman" w:cs="Times New Roman" w:eastAsia="Times New Roman" w:hAnsi="Times New Roman"/>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14"/>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8"/>
                <w:szCs w:val="18"/>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5"/>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11/19/2013</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$ 4,000,000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$ 4,000,634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4,000,400</w:t>
            </w:r>
          </w:p>
        </w:tc>
        <w:tc>
          <w:tcPr>
            <w:tcW w:w="0" w:type="dxa"/>
            <w:vAlign w:val="bottom"/>
          </w:tcPr>
          <w:p>
            <w:pPr>
              <w:spacing w:after="0"/>
              <w:rPr>
                <w:sz w:val="1"/>
                <w:szCs w:val="1"/>
                <w:color w:val="auto"/>
              </w:rPr>
            </w:pPr>
          </w:p>
        </w:tc>
      </w:tr>
      <w:tr>
        <w:trPr>
          <w:trHeight w:val="635"/>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6/21/2016</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1,103,728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1,107,755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1,103,728</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3">
            <w:col w:w="3620" w:space="100"/>
            <w:col w:w="2040" w:space="320"/>
            <w:col w:w="413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American Payment Systems,</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L.P.</w:t>
            </w:r>
            <w:r>
              <w:rPr>
                <w:rFonts w:ascii="Times New Roman" w:cs="Times New Roman" w:eastAsia="Times New Roman" w:hAnsi="Times New Roman"/>
                <w:sz w:val="8"/>
                <w:szCs w:val="8"/>
                <w:color w:val="auto"/>
              </w:rPr>
              <w:t>(8)(13)(14)</w:t>
            </w:r>
          </w:p>
        </w:tc>
        <w:tc>
          <w:tcPr>
            <w:tcW w:w="24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(Second Lien) 13.0% Cash, 3 month</w:t>
            </w: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Banking, Finance, Insurance &amp;</w:t>
            </w:r>
          </w:p>
        </w:tc>
        <w:tc>
          <w:tcPr>
            <w:tcW w:w="24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LIBOR (2.54%) + 10.50%; LIBOR</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1/4/2017</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1,500,000</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1,466,870</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1,399,200</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1.00%, Due 7/24</w:t>
            </w:r>
          </w:p>
        </w:tc>
        <w:tc>
          <w:tcPr>
            <w:tcW w:w="9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Flexera Software LLC (fka Flexera</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80"/>
              <w:spacing w:after="0" w:line="135" w:lineRule="exact"/>
              <w:rPr>
                <w:sz w:val="20"/>
                <w:szCs w:val="20"/>
                <w:color w:val="auto"/>
              </w:rPr>
            </w:pPr>
            <w:r>
              <w:rPr>
                <w:rFonts w:ascii="Times New Roman" w:cs="Times New Roman" w:eastAsia="Times New Roman" w:hAnsi="Times New Roman"/>
                <w:sz w:val="11"/>
                <w:szCs w:val="11"/>
                <w:color w:val="auto"/>
              </w:rPr>
              <w:t>Software, Inc.)</w:t>
            </w:r>
            <w:r>
              <w:rPr>
                <w:rFonts w:ascii="Times New Roman" w:cs="Times New Roman" w:eastAsia="Times New Roman" w:hAnsi="Times New Roman"/>
                <w:sz w:val="15"/>
                <w:szCs w:val="15"/>
                <w:color w:val="auto"/>
                <w:vertAlign w:val="superscript"/>
              </w:rPr>
              <w:t>(8)</w:t>
            </w: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Loan (Second Lien) 9.8% Cash,</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 month LIBOR (2.53%) + 7.25%;</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1/25/2018</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1,099,654</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1,111,477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1,090,032</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LIBOR Floor 1.00%, Due 2/26</w:t>
            </w:r>
          </w:p>
        </w:tc>
        <w:tc>
          <w:tcPr>
            <w:tcW w:w="9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GI Advo Opco, LLC</w:t>
            </w:r>
            <w:r>
              <w:rPr>
                <w:rFonts w:ascii="Times New Roman" w:cs="Times New Roman" w:eastAsia="Times New Roman" w:hAnsi="Times New Roman"/>
                <w:sz w:val="20"/>
                <w:szCs w:val="20"/>
                <w:color w:val="auto"/>
                <w:vertAlign w:val="superscript"/>
              </w:rPr>
              <w:t>(5)(8)(13)(14)</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11/19/2015</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180,304</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179,431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117,919</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9.5% Cash, Due 11/21</w:t>
            </w:r>
          </w:p>
        </w:tc>
        <w:tc>
          <w:tcPr>
            <w:tcW w:w="9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GK Holdings, Inc. (aka Global</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80"/>
              <w:spacing w:after="0" w:line="135" w:lineRule="exact"/>
              <w:rPr>
                <w:sz w:val="20"/>
                <w:szCs w:val="20"/>
                <w:color w:val="auto"/>
              </w:rPr>
            </w:pPr>
            <w:r>
              <w:rPr>
                <w:rFonts w:ascii="Times New Roman" w:cs="Times New Roman" w:eastAsia="Times New Roman" w:hAnsi="Times New Roman"/>
                <w:sz w:val="11"/>
                <w:szCs w:val="11"/>
                <w:color w:val="auto"/>
              </w:rPr>
              <w:t>Knowledge)</w:t>
            </w:r>
            <w:r>
              <w:rPr>
                <w:rFonts w:ascii="Times New Roman" w:cs="Times New Roman" w:eastAsia="Times New Roman" w:hAnsi="Times New Roman"/>
                <w:sz w:val="15"/>
                <w:szCs w:val="15"/>
                <w:color w:val="auto"/>
                <w:vertAlign w:val="superscript"/>
              </w:rPr>
              <w:t>(8)(13)</w:t>
            </w: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Loan (Second Lien) 13.1% Cash,</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Services: Business</w:t>
            </w:r>
          </w:p>
        </w:tc>
        <w:tc>
          <w:tcPr>
            <w:tcW w:w="2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 month LIBOR (2.80%) + 10.25%;</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1/30/2015</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1,500,000</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1,486,831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1,376,250</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LIBOR Floor 1.00%, Due 1/22</w:t>
            </w:r>
          </w:p>
        </w:tc>
        <w:tc>
          <w:tcPr>
            <w:tcW w:w="9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Global Tel*Link Corporation</w:t>
            </w:r>
            <w:r>
              <w:rPr>
                <w:rFonts w:ascii="Times New Roman" w:cs="Times New Roman" w:eastAsia="Times New Roman" w:hAnsi="Times New Roman"/>
                <w:sz w:val="18"/>
                <w:szCs w:val="18"/>
                <w:color w:val="auto"/>
                <w:vertAlign w:val="superscript"/>
              </w:rPr>
              <w:t>(8)(13)</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Junior Secured Loan — Loan</w:t>
            </w: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24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(Second Lien) 11.0% Cash, 3 month</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5/21/2013</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5,000,000</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4,915,960</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4,912,500</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spacing w:after="0"/>
              <w:rPr>
                <w:sz w:val="15"/>
                <w:szCs w:val="15"/>
                <w:color w:val="auto"/>
              </w:rPr>
            </w:pP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LIBOR (2.71%) + 8.25%, Due 11/26</w:t>
            </w:r>
          </w:p>
        </w:tc>
        <w:tc>
          <w:tcPr>
            <w:tcW w:w="9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Global Tel*Link Corporation</w:t>
            </w:r>
            <w:r>
              <w:rPr>
                <w:rFonts w:ascii="Times New Roman" w:cs="Times New Roman" w:eastAsia="Times New Roman" w:hAnsi="Times New Roman"/>
                <w:sz w:val="18"/>
                <w:szCs w:val="18"/>
                <w:color w:val="auto"/>
                <w:vertAlign w:val="superscript"/>
              </w:rPr>
              <w:t>(8)(13)(14)</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Junior Secured Loan — Loan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2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(Second Lien) 11.0% Cash, 3 month</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5/21/2013</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2,000,000</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1,965,349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1,965,000</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LIBOR (2.71%) + 8.25%, Due 11/26</w:t>
            </w:r>
          </w:p>
        </w:tc>
        <w:tc>
          <w:tcPr>
            <w:tcW w:w="9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Global Tel*Link Corporation</w:t>
            </w:r>
            <w:r>
              <w:rPr>
                <w:rFonts w:ascii="Times New Roman" w:cs="Times New Roman" w:eastAsia="Times New Roman" w:hAnsi="Times New Roman"/>
                <w:sz w:val="18"/>
                <w:szCs w:val="18"/>
                <w:color w:val="auto"/>
                <w:vertAlign w:val="superscript"/>
              </w:rPr>
              <w:t>(8)(13)(14)</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24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(First Lien) 7.0% Cash, 3 month</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12/7/2017</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1,473,788</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1,470,466</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1,466,419</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spacing w:after="0"/>
              <w:rPr>
                <w:sz w:val="15"/>
                <w:szCs w:val="15"/>
                <w:color w:val="auto"/>
              </w:rPr>
            </w:pP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LIBOR (2.71%) + 4.25%, Due 11/25</w:t>
            </w:r>
          </w:p>
        </w:tc>
        <w:tc>
          <w:tcPr>
            <w:tcW w:w="9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Grupo HIMA San Pablo, Inc.</w:t>
            </w:r>
            <w:r>
              <w:rPr>
                <w:rFonts w:ascii="Times New Roman" w:cs="Times New Roman" w:eastAsia="Times New Roman" w:hAnsi="Times New Roman"/>
                <w:sz w:val="18"/>
                <w:szCs w:val="18"/>
                <w:color w:val="auto"/>
                <w:vertAlign w:val="superscript"/>
              </w:rPr>
              <w:t>(8)(13)</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Secured Loan — Term B</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Loan (First Lien) 9.5% Cash,</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46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3 month LIBOR (2.52%) + 7.00%;</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1/30/2013</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2,813,058</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2,813,058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2,728,666</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LIBOR Floor 1.50%, Due 1/18</w:t>
            </w: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Grupo HIMA San Pablo, Inc.</w:t>
            </w:r>
            <w:r>
              <w:rPr>
                <w:rFonts w:ascii="Times New Roman" w:cs="Times New Roman" w:eastAsia="Times New Roman" w:hAnsi="Times New Roman"/>
                <w:sz w:val="20"/>
                <w:szCs w:val="20"/>
                <w:color w:val="auto"/>
                <w:vertAlign w:val="superscript"/>
              </w:rPr>
              <w:t>(5)(13)(14)</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1/30/2013</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7,191,667</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7,169,109</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4,789,650</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(Second Lien) 13.8% Cash, Due 7/18</w:t>
            </w:r>
          </w:p>
        </w:tc>
        <w:tc>
          <w:tcPr>
            <w:tcW w:w="9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Harland Clarke Holdings Corp. (fka</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80"/>
              <w:spacing w:after="0" w:line="135" w:lineRule="exact"/>
              <w:rPr>
                <w:sz w:val="20"/>
                <w:szCs w:val="20"/>
                <w:color w:val="auto"/>
              </w:rPr>
            </w:pPr>
            <w:r>
              <w:rPr>
                <w:rFonts w:ascii="Times New Roman" w:cs="Times New Roman" w:eastAsia="Times New Roman" w:hAnsi="Times New Roman"/>
                <w:sz w:val="11"/>
                <w:szCs w:val="11"/>
                <w:color w:val="auto"/>
              </w:rPr>
              <w:t>Clarke American Corp.)</w:t>
            </w:r>
            <w:r>
              <w:rPr>
                <w:rFonts w:ascii="Times New Roman" w:cs="Times New Roman" w:eastAsia="Times New Roman" w:hAnsi="Times New Roman"/>
                <w:sz w:val="15"/>
                <w:szCs w:val="15"/>
                <w:color w:val="auto"/>
                <w:vertAlign w:val="superscript"/>
              </w:rPr>
              <w:t>(8)(13)(14)</w:t>
            </w: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Loan 7.6% Cash, 3 month LIBOR</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Media: Advertising, Printing &amp;</w:t>
            </w: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(2.80%) + 4.75%; LIBOR Floor</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6/18/2013</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2,817,177</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2,836,587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2,564,688</w:t>
            </w:r>
          </w:p>
        </w:tc>
        <w:tc>
          <w:tcPr>
            <w:tcW w:w="0" w:type="dxa"/>
            <w:vAlign w:val="bottom"/>
          </w:tcPr>
          <w:p>
            <w:pPr>
              <w:spacing w:after="0"/>
              <w:rPr>
                <w:sz w:val="1"/>
                <w:szCs w:val="1"/>
                <w:color w:val="auto"/>
              </w:rPr>
            </w:pPr>
          </w:p>
        </w:tc>
      </w:tr>
      <w:tr>
        <w:trPr>
          <w:trHeight w:val="189"/>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Publishing</w:t>
            </w:r>
          </w:p>
        </w:tc>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 Due 11/23</w:t>
            </w: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Hoffmaster Group, Inc.</w:t>
            </w:r>
            <w:r>
              <w:rPr>
                <w:rFonts w:ascii="Times New Roman" w:cs="Times New Roman" w:eastAsia="Times New Roman" w:hAnsi="Times New Roman"/>
                <w:sz w:val="18"/>
                <w:szCs w:val="18"/>
                <w:color w:val="auto"/>
                <w:vertAlign w:val="superscript"/>
              </w:rPr>
              <w:t>(8)(13)(14)</w:t>
            </w: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Forest Products &amp; Paper</w:t>
            </w:r>
          </w:p>
        </w:tc>
        <w:tc>
          <w:tcPr>
            <w:tcW w:w="24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Loan (Second Lien) 12.0% Cash,</w:t>
            </w: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spacing w:after="0"/>
              <w:rPr>
                <w:sz w:val="10"/>
                <w:szCs w:val="10"/>
                <w:color w:val="auto"/>
              </w:rPr>
            </w:pPr>
          </w:p>
        </w:tc>
        <w:tc>
          <w:tcPr>
            <w:tcW w:w="246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1 month LIBOR (2.52%) + 9.50%;</w:t>
            </w: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5/6/2014</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1,600,000</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1,564,583</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1,553,920</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rPr>
                <w:sz w:val="16"/>
                <w:szCs w:val="16"/>
                <w:color w:val="auto"/>
              </w:rPr>
            </w:pP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LIBOR Floor 1.00%, Due 11/24</w:t>
            </w:r>
          </w:p>
        </w:tc>
        <w:tc>
          <w:tcPr>
            <w:tcW w:w="9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19"/>
          </w:cols>
          <w:pgMar w:left="240" w:top="114" w:right="1440" w:bottom="1440" w:gutter="0" w:footer="0" w:header="0"/>
          <w:type w:val="continuous"/>
        </w:sectPr>
      </w:pPr>
    </w:p>
    <w:p>
      <w:pPr>
        <w:ind w:left="1260"/>
        <w:spacing w:after="0" w:line="200" w:lineRule="auto"/>
        <w:rPr>
          <w:sz w:val="20"/>
          <w:szCs w:val="20"/>
          <w:color w:val="auto"/>
        </w:rPr>
      </w:pPr>
      <w:r>
        <w:rPr>
          <w:rFonts w:ascii="Times New Roman" w:cs="Times New Roman" w:eastAsia="Times New Roman" w:hAnsi="Times New Roman"/>
          <w:sz w:val="13"/>
          <w:szCs w:val="13"/>
          <w:color w:val="auto"/>
        </w:rPr>
        <w:t>Infobase Holdings, Inc.</w:t>
      </w:r>
      <w:r>
        <w:rPr>
          <w:rFonts w:ascii="Times New Roman" w:cs="Times New Roman" w:eastAsia="Times New Roman" w:hAnsi="Times New Roman"/>
          <w:sz w:val="19"/>
          <w:szCs w:val="19"/>
          <w:color w:val="auto"/>
          <w:vertAlign w:val="superscript"/>
        </w:rPr>
        <w:t>(8)(13)(14)</w:t>
      </w:r>
    </w:p>
    <w:p>
      <w:pPr>
        <w:ind w:left="1440"/>
        <w:spacing w:after="0"/>
        <w:rPr>
          <w:sz w:val="20"/>
          <w:szCs w:val="20"/>
          <w:color w:val="auto"/>
        </w:rPr>
      </w:pPr>
      <w:r>
        <w:rPr>
          <w:rFonts w:ascii="Times New Roman" w:cs="Times New Roman" w:eastAsia="Times New Roman" w:hAnsi="Times New Roman"/>
          <w:sz w:val="14"/>
          <w:szCs w:val="14"/>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1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7.1% Cash, 3 month LIBOR</w:t>
            </w:r>
          </w:p>
        </w:tc>
        <w:tc>
          <w:tcPr>
            <w:tcW w:w="10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(2.63%) + 4.50%; LIBOR Floor</w:t>
            </w:r>
          </w:p>
        </w:tc>
        <w:tc>
          <w:tcPr>
            <w:tcW w:w="10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12/13/2017</w:t>
            </w:r>
          </w:p>
        </w:tc>
        <w:tc>
          <w:tcPr>
            <w:tcW w:w="1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4,017,393   3,981,675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3,977,219</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1.00%, Due 12/22</w:t>
            </w:r>
          </w:p>
        </w:tc>
        <w:tc>
          <w:tcPr>
            <w:tcW w:w="102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100" w:space="620"/>
            <w:col w:w="649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4"/>
        </w:trPr>
        <w:tc>
          <w:tcPr>
            <w:tcW w:w="22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Ion Media Networks, Inc.</w:t>
            </w:r>
            <w:r>
              <w:rPr>
                <w:rFonts w:ascii="Times New Roman" w:cs="Times New Roman" w:eastAsia="Times New Roman" w:hAnsi="Times New Roman"/>
                <w:sz w:val="19"/>
                <w:szCs w:val="19"/>
                <w:color w:val="auto"/>
                <w:vertAlign w:val="superscript"/>
              </w:rPr>
              <w:t>(8)(13)</w:t>
            </w:r>
          </w:p>
        </w:tc>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Senior Secured Loan — Term</w:t>
            </w:r>
          </w:p>
        </w:tc>
        <w:tc>
          <w:tcPr>
            <w:tcW w:w="1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Media: Advertising, Printing &amp;</w:t>
            </w:r>
          </w:p>
        </w:tc>
        <w:tc>
          <w:tcPr>
            <w:tcW w:w="2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B-3 Loan5.3% Cash, 1 month</w:t>
            </w:r>
          </w:p>
        </w:tc>
        <w:tc>
          <w:tcPr>
            <w:tcW w:w="10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Publishing</w:t>
            </w:r>
          </w:p>
        </w:tc>
        <w:tc>
          <w:tcPr>
            <w:tcW w:w="2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LIBOR (2.53%) + 2.75%; LIBOR</w:t>
            </w:r>
          </w:p>
        </w:tc>
        <w:tc>
          <w:tcPr>
            <w:tcW w:w="10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12/28/2018</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3,000,000</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2,917,500</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2,917,500</w:t>
            </w: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spacing w:after="0"/>
              <w:rPr>
                <w:sz w:val="15"/>
                <w:szCs w:val="15"/>
                <w:color w:val="auto"/>
              </w:rPr>
            </w:pPr>
          </w:p>
        </w:tc>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Floor 1.00%, Due 12/20</w:t>
            </w:r>
          </w:p>
        </w:tc>
        <w:tc>
          <w:tcPr>
            <w:tcW w:w="10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Ivanti Software, Inc. (fka LANDesk</w:t>
            </w:r>
          </w:p>
        </w:tc>
        <w:tc>
          <w:tcPr>
            <w:tcW w:w="2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Junior Secured Loan — Loan</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80"/>
              <w:spacing w:after="0" w:line="135" w:lineRule="exact"/>
              <w:rPr>
                <w:sz w:val="20"/>
                <w:szCs w:val="20"/>
                <w:color w:val="auto"/>
              </w:rPr>
            </w:pPr>
            <w:r>
              <w:rPr>
                <w:rFonts w:ascii="Times New Roman" w:cs="Times New Roman" w:eastAsia="Times New Roman" w:hAnsi="Times New Roman"/>
                <w:sz w:val="11"/>
                <w:szCs w:val="11"/>
                <w:color w:val="auto"/>
              </w:rPr>
              <w:t>Group, Inc.)</w:t>
            </w:r>
            <w:r>
              <w:rPr>
                <w:rFonts w:ascii="Times New Roman" w:cs="Times New Roman" w:eastAsia="Times New Roman" w:hAnsi="Times New Roman"/>
                <w:sz w:val="15"/>
                <w:szCs w:val="15"/>
                <w:color w:val="auto"/>
                <w:vertAlign w:val="superscript"/>
              </w:rPr>
              <w:t>(8)(13)</w:t>
            </w:r>
          </w:p>
        </w:tc>
        <w:tc>
          <w:tcPr>
            <w:tcW w:w="248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(Second Lien) 11.4% Cash, 1 month</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LIBOR (2.35%) + 9.00%; LIBOR</w:t>
            </w: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3/10/2017</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3,228,619</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3,228,619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3,071,062</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Floor 1.00%, Due 1/25</w:t>
            </w:r>
          </w:p>
        </w:tc>
        <w:tc>
          <w:tcPr>
            <w:tcW w:w="10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Jane Street Group, LLC</w:t>
            </w:r>
            <w:r>
              <w:rPr>
                <w:rFonts w:ascii="Times New Roman" w:cs="Times New Roman" w:eastAsia="Times New Roman" w:hAnsi="Times New Roman"/>
                <w:sz w:val="20"/>
                <w:szCs w:val="20"/>
                <w:color w:val="auto"/>
                <w:vertAlign w:val="superscript"/>
              </w:rPr>
              <w:t>(8)(13)</w:t>
            </w:r>
          </w:p>
        </w:tc>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Senior Secured Loan — Dollar Term</w:t>
            </w:r>
          </w:p>
        </w:tc>
        <w:tc>
          <w:tcPr>
            <w:tcW w:w="10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Banking, Finance, Insurance &amp;</w:t>
            </w:r>
          </w:p>
        </w:tc>
        <w:tc>
          <w:tcPr>
            <w:tcW w:w="2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Loan (2018) 5.5% Cash, 1 month</w:t>
            </w:r>
          </w:p>
        </w:tc>
        <w:tc>
          <w:tcPr>
            <w:tcW w:w="10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12/28/2018</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2,992,500</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2,932,650</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2,932,650</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LIBOR (2.50%) + 3.00%, Due 8/22</w:t>
            </w:r>
          </w:p>
        </w:tc>
        <w:tc>
          <w:tcPr>
            <w:tcW w:w="10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Kellermeyer Bergensons Services,</w:t>
            </w:r>
          </w:p>
        </w:tc>
        <w:tc>
          <w:tcPr>
            <w:tcW w:w="2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Senior Secured Loan — 2018</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80"/>
              <w:spacing w:after="0" w:line="135" w:lineRule="exact"/>
              <w:rPr>
                <w:sz w:val="20"/>
                <w:szCs w:val="20"/>
                <w:color w:val="auto"/>
              </w:rPr>
            </w:pPr>
            <w:r>
              <w:rPr>
                <w:rFonts w:ascii="Times New Roman" w:cs="Times New Roman" w:eastAsia="Times New Roman" w:hAnsi="Times New Roman"/>
                <w:sz w:val="11"/>
                <w:szCs w:val="11"/>
                <w:color w:val="auto"/>
              </w:rPr>
              <w:t>LLC</w:t>
            </w:r>
            <w:r>
              <w:rPr>
                <w:rFonts w:ascii="Times New Roman" w:cs="Times New Roman" w:eastAsia="Times New Roman" w:hAnsi="Times New Roman"/>
                <w:sz w:val="15"/>
                <w:szCs w:val="15"/>
                <w:color w:val="auto"/>
                <w:vertAlign w:val="superscript"/>
              </w:rPr>
              <w:t>(8)</w:t>
            </w:r>
          </w:p>
        </w:tc>
        <w:tc>
          <w:tcPr>
            <w:tcW w:w="248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Replacement Term Loan (First Lien)</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Services: Business</w:t>
            </w:r>
          </w:p>
        </w:tc>
        <w:tc>
          <w:tcPr>
            <w:tcW w:w="2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7.5% Cash, 3 month LIBOR</w:t>
            </w: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248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(2.71%) + 4.75%; LIBOR Floor</w:t>
            </w: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10/31/2014</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2,093,452</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2,090,784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2,096,069</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1.00%, Due 10/21</w:t>
            </w:r>
          </w:p>
        </w:tc>
        <w:tc>
          <w:tcPr>
            <w:tcW w:w="10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8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ind w:left="400"/>
              <w:spacing w:after="0" w:line="230" w:lineRule="exact"/>
              <w:rPr>
                <w:sz w:val="20"/>
                <w:szCs w:val="20"/>
                <w:color w:val="auto"/>
              </w:rPr>
            </w:pPr>
            <w:r>
              <w:rPr>
                <w:rFonts w:ascii="Times New Roman" w:cs="Times New Roman" w:eastAsia="Times New Roman" w:hAnsi="Times New Roman"/>
                <w:sz w:val="14"/>
                <w:szCs w:val="14"/>
                <w:b w:val="1"/>
                <w:bCs w:val="1"/>
                <w:color w:val="auto"/>
              </w:rPr>
              <w:t>Interest Rate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/Maturity</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MB Aerospace Holdings II</w:t>
            </w:r>
          </w:p>
        </w:tc>
        <w:tc>
          <w:tcPr>
            <w:tcW w:w="238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Senior Secured Loan — Initial Term</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Corp.</w:t>
            </w:r>
            <w:r>
              <w:rPr>
                <w:rFonts w:ascii="Times New Roman" w:cs="Times New Roman" w:eastAsia="Times New Roman" w:hAnsi="Times New Roman"/>
                <w:sz w:val="8"/>
                <w:szCs w:val="8"/>
                <w:color w:val="auto"/>
              </w:rPr>
              <w:t>(8)(13)(14)</w:t>
            </w:r>
          </w:p>
        </w:tc>
        <w:tc>
          <w:tcPr>
            <w:tcW w:w="23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Loan (First Lien) 6.0% Cash,</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 month LIBOR (2.52%) + 3.50%;</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5/10/2013</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$ 1,237,500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1,232,118</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1,149,390</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Floor 1.00%, Due 1/25</w:t>
            </w: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line="162" w:lineRule="exact"/>
              <w:rPr>
                <w:sz w:val="20"/>
                <w:szCs w:val="20"/>
                <w:color w:val="auto"/>
              </w:rPr>
            </w:pPr>
            <w:r>
              <w:rPr>
                <w:rFonts w:ascii="Times New Roman" w:cs="Times New Roman" w:eastAsia="Times New Roman" w:hAnsi="Times New Roman"/>
                <w:sz w:val="13"/>
                <w:szCs w:val="13"/>
                <w:color w:val="auto"/>
              </w:rPr>
              <w:t>Navex Topco, Inc.</w:t>
            </w:r>
            <w:r>
              <w:rPr>
                <w:rFonts w:ascii="Times New Roman" w:cs="Times New Roman" w:eastAsia="Times New Roman" w:hAnsi="Times New Roman"/>
                <w:sz w:val="18"/>
                <w:szCs w:val="18"/>
                <w:color w:val="auto"/>
                <w:vertAlign w:val="superscript"/>
              </w:rPr>
              <w:t>(8)(13)(14)</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Electronics</w:t>
            </w:r>
          </w:p>
        </w:tc>
        <w:tc>
          <w:tcPr>
            <w:tcW w:w="2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Loan (Second Lien) 9.5% Cash,</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1 month LIBOR (2.53%) + 7.00%,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12/4/2018</w:t>
            </w:r>
          </w:p>
        </w:tc>
        <w:tc>
          <w:tcPr>
            <w:tcW w:w="8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3,007,500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3,007,500</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9/26</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Playpower, Inc.</w:t>
            </w:r>
            <w:r>
              <w:rPr>
                <w:rFonts w:ascii="Times New Roman" w:cs="Times New Roman" w:eastAsia="Times New Roman" w:hAnsi="Times New Roman"/>
                <w:sz w:val="18"/>
                <w:szCs w:val="18"/>
                <w:color w:val="auto"/>
                <w:vertAlign w:val="superscript"/>
              </w:rPr>
              <w:t>(8)(13)(14)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Construction &amp; Building</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 (First Lien) 7.6% Cash,</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3 month LIBOR (2.80%) + 4.75%;</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6/23/2015</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1,393,745</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1,400,223</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1,394,163</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Floor 1.00%, Due 6/21</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line="162" w:lineRule="exact"/>
              <w:rPr>
                <w:sz w:val="20"/>
                <w:szCs w:val="20"/>
                <w:color w:val="auto"/>
              </w:rPr>
            </w:pPr>
            <w:r>
              <w:rPr>
                <w:rFonts w:ascii="Times New Roman" w:cs="Times New Roman" w:eastAsia="Times New Roman" w:hAnsi="Times New Roman"/>
                <w:sz w:val="13"/>
                <w:szCs w:val="13"/>
                <w:color w:val="auto"/>
              </w:rPr>
              <w:t>PSC Industrial Holdings Corp.</w:t>
            </w:r>
            <w:r>
              <w:rPr>
                <w:rFonts w:ascii="Times New Roman" w:cs="Times New Roman" w:eastAsia="Times New Roman" w:hAnsi="Times New Roman"/>
                <w:sz w:val="18"/>
                <w:szCs w:val="18"/>
                <w:color w:val="auto"/>
                <w:vertAlign w:val="superscript"/>
              </w:rPr>
              <w:t>(8)(13)</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Environmental Industries</w:t>
            </w:r>
          </w:p>
        </w:tc>
        <w:tc>
          <w:tcPr>
            <w:tcW w:w="2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Loan (Second Lien) 10.96% Cash,</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1 month LIBOR (2.46%) + 8.50%;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10/5/2017</w:t>
            </w:r>
          </w:p>
        </w:tc>
        <w:tc>
          <w:tcPr>
            <w:tcW w:w="8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2,949,039</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2,940,300</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Floor 1.00%, Due 10/25</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PVHC Holding Corp</w:t>
            </w:r>
            <w:r>
              <w:rPr>
                <w:rFonts w:ascii="Times New Roman" w:cs="Times New Roman" w:eastAsia="Times New Roman" w:hAnsi="Times New Roman"/>
                <w:sz w:val="18"/>
                <w:szCs w:val="18"/>
                <w:color w:val="auto"/>
                <w:vertAlign w:val="superscript"/>
              </w:rPr>
              <w:t>(8)(13)(14)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Chemicals, Plastics and Rubber</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 7.57% Cash, 3 month LIBOR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(2.82%) + 4.75%; LIBOR Floor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8/10/2018</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2,872,800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2,859,340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2,859,872</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Due 8/24</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 Holding Company (fka Lexington</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Secured Loan — Term B</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1"/>
                <w:szCs w:val="11"/>
                <w:color w:val="auto"/>
              </w:rPr>
              <w:t>Precision Corporation)</w:t>
            </w:r>
            <w:r>
              <w:rPr>
                <w:rFonts w:ascii="Times New Roman" w:cs="Times New Roman" w:eastAsia="Times New Roman" w:hAnsi="Times New Roman"/>
                <w:sz w:val="15"/>
                <w:szCs w:val="15"/>
                <w:color w:val="auto"/>
                <w:vertAlign w:val="superscript"/>
              </w:rPr>
              <w:t>(8)(13)(14)</w:t>
            </w:r>
          </w:p>
        </w:tc>
        <w:tc>
          <w:tcPr>
            <w:tcW w:w="2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Loan 7.5% Cash, 1 month LIBOR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Chemicals, Plastics and Rubber</w:t>
            </w:r>
          </w:p>
        </w:tc>
        <w:tc>
          <w:tcPr>
            <w:tcW w:w="2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(2.52%) + 5.00%; LIBOR Floor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12/16/2016</w:t>
            </w: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1,979,381</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2,002,724</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1,941,773</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Due 12/21</w:t>
            </w: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Ravn Air Group, Inc.</w:t>
            </w:r>
            <w:r>
              <w:rPr>
                <w:rFonts w:ascii="Times New Roman" w:cs="Times New Roman" w:eastAsia="Times New Roman" w:hAnsi="Times New Roman"/>
                <w:sz w:val="18"/>
                <w:szCs w:val="18"/>
                <w:color w:val="auto"/>
                <w:vertAlign w:val="superscript"/>
              </w:rPr>
              <w:t>(8)(13)(14)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 7.8% Cash, 3 month LIBOR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(2.81%) + 5.00%; LIBOR Floor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7/29/2015</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1,894,549</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1,894,549</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1,894,549</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Due 7/21</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Robertshaw US Holding Corp. (fka</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1"/>
                <w:szCs w:val="11"/>
                <w:color w:val="auto"/>
              </w:rPr>
              <w:t>Fox US Bidco Corp.)</w:t>
            </w:r>
            <w:r>
              <w:rPr>
                <w:rFonts w:ascii="Times New Roman" w:cs="Times New Roman" w:eastAsia="Times New Roman" w:hAnsi="Times New Roman"/>
                <w:sz w:val="15"/>
                <w:szCs w:val="15"/>
                <w:color w:val="auto"/>
                <w:vertAlign w:val="superscript"/>
              </w:rPr>
              <w:t>(8)(13)</w:t>
            </w:r>
          </w:p>
        </w:tc>
        <w:tc>
          <w:tcPr>
            <w:tcW w:w="2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Loan (Second Lien) 10.6% Cash, 1</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 Equipment</w:t>
            </w:r>
          </w:p>
        </w:tc>
        <w:tc>
          <w:tcPr>
            <w:tcW w:w="2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month LIBOR (2.56%) + 8.00%;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2/15/2018</w:t>
            </w: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2,973,097</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2,775,000</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Floor 1.00%, Due 2/26</w:t>
            </w: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Roscoe Medical, Inc.</w:t>
            </w:r>
            <w:r>
              <w:rPr>
                <w:rFonts w:ascii="Times New Roman" w:cs="Times New Roman" w:eastAsia="Times New Roman" w:hAnsi="Times New Roman"/>
                <w:sz w:val="18"/>
                <w:szCs w:val="18"/>
                <w:color w:val="auto"/>
                <w:vertAlign w:val="superscript"/>
              </w:rPr>
              <w:t>(8)(13)</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(Second Lien) 11.25% Cash, Due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3/26/2014</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1,700,000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1,697,733</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1,525,750</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line="162" w:lineRule="exact"/>
              <w:rPr>
                <w:sz w:val="20"/>
                <w:szCs w:val="20"/>
                <w:color w:val="auto"/>
              </w:rPr>
            </w:pPr>
            <w:r>
              <w:rPr>
                <w:rFonts w:ascii="Times New Roman" w:cs="Times New Roman" w:eastAsia="Times New Roman" w:hAnsi="Times New Roman"/>
                <w:sz w:val="13"/>
                <w:szCs w:val="13"/>
                <w:color w:val="auto"/>
              </w:rPr>
              <w:t>Roscoe Medical, Inc.</w:t>
            </w:r>
            <w:r>
              <w:rPr>
                <w:rFonts w:ascii="Times New Roman" w:cs="Times New Roman" w:eastAsia="Times New Roman" w:hAnsi="Times New Roman"/>
                <w:sz w:val="18"/>
                <w:szCs w:val="18"/>
                <w:color w:val="auto"/>
                <w:vertAlign w:val="superscript"/>
              </w:rPr>
              <w:t>(8)(13)(14)</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(Second Lien) 11.25% Cash, Due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3/26/2014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5,000,000</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4,993,345</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4,487,500</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Salient CRGT Inc.</w:t>
            </w:r>
            <w:r>
              <w:rPr>
                <w:rFonts w:ascii="Times New Roman" w:cs="Times New Roman" w:eastAsia="Times New Roman" w:hAnsi="Times New Roman"/>
                <w:sz w:val="18"/>
                <w:szCs w:val="18"/>
                <w:color w:val="auto"/>
                <w:vertAlign w:val="superscript"/>
              </w:rPr>
              <w:t>(8)(13)(14)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 8.3% Cash, 1 month LIBOR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(2.52%) + 5.75%; LIBOR Floor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2/27/2017</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1,841,753</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1,859,440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1,758,874</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Due 2/22</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SCSG EA Acquisition Company,</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1"/>
                <w:szCs w:val="11"/>
                <w:color w:val="auto"/>
              </w:rPr>
              <w:t>Inc.</w:t>
            </w:r>
            <w:r>
              <w:rPr>
                <w:rFonts w:ascii="Times New Roman" w:cs="Times New Roman" w:eastAsia="Times New Roman" w:hAnsi="Times New Roman"/>
                <w:sz w:val="15"/>
                <w:szCs w:val="15"/>
                <w:color w:val="auto"/>
                <w:vertAlign w:val="superscript"/>
              </w:rPr>
              <w:t>(8)</w:t>
            </w:r>
          </w:p>
        </w:tc>
        <w:tc>
          <w:tcPr>
            <w:tcW w:w="2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Loan (Second Lien) 10.6% Cash,</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3 month LIBOR (2.40%) + 8.25%;</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8/18/2017</w:t>
            </w: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1,000,000</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991,195</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990,400</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Floor 1.00%, Due 9/24</w:t>
            </w: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SCSG EA Acquisition Company,</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8"/>
                <w:szCs w:val="8"/>
                <w:color w:val="auto"/>
              </w:rPr>
              <w:t>(8)(14)</w:t>
            </w:r>
          </w:p>
        </w:tc>
        <w:tc>
          <w:tcPr>
            <w:tcW w:w="23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Loan (Second Lien) 10.6% Cash,</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 month LIBOR (2.40%) + 8.25%;</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8/18/2017</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5,000,000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4,959,445</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4,952,000</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Floor 1.00%, Due 9/24</w:t>
            </w: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Sierra Enterprises, LLC (aka Lyons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Secured Loan — Tranche B-1</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Magnus)</w:t>
            </w:r>
            <w:r>
              <w:rPr>
                <w:rFonts w:ascii="Times New Roman" w:cs="Times New Roman" w:eastAsia="Times New Roman" w:hAnsi="Times New Roman"/>
                <w:sz w:val="8"/>
                <w:szCs w:val="8"/>
                <w:color w:val="auto"/>
              </w:rPr>
              <w:t>(8)(13)(14)</w:t>
            </w:r>
          </w:p>
        </w:tc>
        <w:tc>
          <w:tcPr>
            <w:tcW w:w="2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Term Loan (First Lien) 6.0% Cash,</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Beverage, Food and Tobacco</w:t>
            </w:r>
          </w:p>
        </w:tc>
        <w:tc>
          <w:tcPr>
            <w:tcW w:w="2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 month LIBOR (2.52%) + 3.50%;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11/3/2017</w:t>
            </w: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2,970,056</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2,957,029</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2,955,206</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Floor 1.00%, Due 11/24</w:t>
            </w: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Stafford Logistics, Inc.(dba Custom</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Secured Loan — Restructured</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Ecology, Inc.)</w:t>
            </w:r>
            <w:r>
              <w:rPr>
                <w:rFonts w:ascii="Times New Roman" w:cs="Times New Roman" w:eastAsia="Times New Roman" w:hAnsi="Times New Roman"/>
                <w:sz w:val="15"/>
                <w:szCs w:val="15"/>
                <w:color w:val="auto"/>
                <w:vertAlign w:val="superscript"/>
              </w:rPr>
              <w:t>(5)(8)(13)</w:t>
            </w:r>
          </w:p>
        </w:tc>
        <w:tc>
          <w:tcPr>
            <w:tcW w:w="23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Term Loan 1.0% Cash, 8.3% PIK,</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Environmental Industries</w:t>
            </w:r>
          </w:p>
        </w:tc>
        <w:tc>
          <w:tcPr>
            <w:tcW w:w="2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 month LIBOR (2.80%) + 5.50%,</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6/25/2013</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2,035,770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1,941,220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560,855</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10/22</w:t>
            </w: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-5753735</wp:posOffset>
            </wp:positionV>
            <wp:extent cx="51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-5753735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-5753735</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-5753735</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-5753735</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p>
      <w:pPr>
        <w:ind w:left="1260"/>
        <w:spacing w:after="0" w:line="218" w:lineRule="auto"/>
        <w:rPr>
          <w:sz w:val="20"/>
          <w:szCs w:val="20"/>
          <w:color w:val="auto"/>
        </w:rPr>
      </w:pPr>
      <w:r>
        <w:rPr>
          <w:rFonts w:ascii="Times New Roman" w:cs="Times New Roman" w:eastAsia="Times New Roman" w:hAnsi="Times New Roman"/>
          <w:sz w:val="14"/>
          <w:szCs w:val="14"/>
          <w:color w:val="auto"/>
        </w:rPr>
        <w:t>Stafford Logistics, Inc.(dba Custom</w:t>
      </w:r>
    </w:p>
    <w:p>
      <w:pPr>
        <w:ind w:left="1440"/>
        <w:spacing w:after="0" w:line="188" w:lineRule="auto"/>
        <w:rPr>
          <w:sz w:val="20"/>
          <w:szCs w:val="20"/>
          <w:color w:val="auto"/>
        </w:rPr>
      </w:pPr>
      <w:r>
        <w:rPr>
          <w:rFonts w:ascii="Times New Roman" w:cs="Times New Roman" w:eastAsia="Times New Roman" w:hAnsi="Times New Roman"/>
          <w:sz w:val="13"/>
          <w:szCs w:val="13"/>
          <w:color w:val="auto"/>
        </w:rPr>
        <w:t>Ecology, Inc.)</w:t>
      </w:r>
      <w:r>
        <w:rPr>
          <w:rFonts w:ascii="Times New Roman" w:cs="Times New Roman" w:eastAsia="Times New Roman" w:hAnsi="Times New Roman"/>
          <w:sz w:val="19"/>
          <w:szCs w:val="19"/>
          <w:color w:val="auto"/>
          <w:vertAlign w:val="superscript"/>
        </w:rPr>
        <w:t>(8)(13)(14)</w:t>
      </w:r>
    </w:p>
    <w:p>
      <w:pPr>
        <w:ind w:left="1440"/>
        <w:spacing w:after="0"/>
        <w:rPr>
          <w:sz w:val="20"/>
          <w:szCs w:val="20"/>
          <w:color w:val="auto"/>
        </w:rPr>
      </w:pPr>
      <w:r>
        <w:rPr>
          <w:rFonts w:ascii="Times New Roman" w:cs="Times New Roman" w:eastAsia="Times New Roman" w:hAnsi="Times New Roman"/>
          <w:sz w:val="14"/>
          <w:szCs w:val="14"/>
          <w:color w:val="auto"/>
        </w:rPr>
        <w:t>Environmental Industries</w:t>
      </w:r>
    </w:p>
    <w:p>
      <w:pPr>
        <w:ind w:left="1260"/>
        <w:spacing w:after="0" w:line="223" w:lineRule="auto"/>
        <w:rPr>
          <w:sz w:val="20"/>
          <w:szCs w:val="20"/>
          <w:color w:val="auto"/>
        </w:rPr>
      </w:pPr>
      <w:r>
        <w:rPr>
          <w:rFonts w:ascii="Times New Roman" w:cs="Times New Roman" w:eastAsia="Times New Roman" w:hAnsi="Times New Roman"/>
          <w:sz w:val="13"/>
          <w:szCs w:val="13"/>
          <w:color w:val="auto"/>
        </w:rPr>
        <w:t>Tank Partners Holdings, LLC</w:t>
      </w:r>
      <w:r>
        <w:rPr>
          <w:rFonts w:ascii="Times New Roman" w:cs="Times New Roman" w:eastAsia="Times New Roman" w:hAnsi="Times New Roman"/>
          <w:sz w:val="19"/>
          <w:szCs w:val="19"/>
          <w:color w:val="auto"/>
          <w:vertAlign w:val="superscript"/>
        </w:rPr>
        <w:t>(5)(8)(13)</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Energy: Oil &amp; Gas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14.8% Cash, 3 month LIBOR</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6/25/2013</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339,788</w:t>
            </w: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339,788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339,788</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(2.82%) + 12.00%, Due 10/22</w:t>
            </w:r>
          </w:p>
        </w:tc>
        <w:tc>
          <w:tcPr>
            <w:tcW w:w="9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Loan</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3.0% Cash, 12.5% PIK, 1 month</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PRIME (5.00%) +7.5%; PRIME</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8/28/2014</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15,295,083</w:t>
            </w: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14,149,836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7,398,223</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Floor 3.00%, Due 8/19</w:t>
            </w:r>
          </w:p>
        </w:tc>
        <w:tc>
          <w:tcPr>
            <w:tcW w:w="9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-393065</wp:posOffset>
            </wp:positionV>
            <wp:extent cx="5213985" cy="394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39433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3400" w:space="320"/>
            <w:col w:w="6499"/>
          </w:cols>
          <w:pgMar w:left="240" w:top="114" w:right="1440"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2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tc>
      </w:tr>
      <w:tr>
        <w:trPr>
          <w:trHeight w:val="245"/>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22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Interest Rate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/Maturity</w:t>
            </w:r>
          </w:p>
        </w:tc>
      </w:tr>
      <w:tr>
        <w:trPr>
          <w:trHeight w:val="156"/>
        </w:trPr>
        <w:tc>
          <w:tcPr>
            <w:tcW w:w="23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3"/>
                <w:szCs w:val="13"/>
                <w:color w:val="auto"/>
              </w:rPr>
              <w:t>Tex-Tech Industries, Inc.</w:t>
            </w:r>
            <w:r>
              <w:rPr>
                <w:rFonts w:ascii="Times New Roman" w:cs="Times New Roman" w:eastAsia="Times New Roman" w:hAnsi="Times New Roman"/>
                <w:sz w:val="18"/>
                <w:szCs w:val="18"/>
                <w:color w:val="auto"/>
                <w:vertAlign w:val="superscript"/>
              </w:rPr>
              <w:t>(8)(13)</w:t>
            </w:r>
          </w:p>
        </w:tc>
        <w:tc>
          <w:tcPr>
            <w:tcW w:w="40" w:type="dxa"/>
            <w:vAlign w:val="bottom"/>
          </w:tcPr>
          <w:p>
            <w:pPr>
              <w:spacing w:after="0"/>
              <w:rPr>
                <w:sz w:val="13"/>
                <w:szCs w:val="13"/>
                <w:color w:val="auto"/>
              </w:rPr>
            </w:pPr>
          </w:p>
        </w:tc>
        <w:tc>
          <w:tcPr>
            <w:tcW w:w="224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Junior Secured Loan — Term Loan</w:t>
            </w:r>
          </w:p>
        </w:tc>
      </w:tr>
      <w:tr>
        <w:trPr>
          <w:trHeight w:val="149"/>
        </w:trPr>
        <w:tc>
          <w:tcPr>
            <w:tcW w:w="24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Textiles and Leather</w:t>
            </w: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(Second Lien) 11.5% Cash, 1 month</w:t>
            </w:r>
          </w:p>
        </w:tc>
      </w:tr>
      <w:tr>
        <w:trPr>
          <w:trHeight w:val="122"/>
        </w:trPr>
        <w:tc>
          <w:tcPr>
            <w:tcW w:w="2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LIBOR (2.52%) + 9.00%; LIBOR</w:t>
            </w:r>
          </w:p>
        </w:tc>
      </w:tr>
      <w:tr>
        <w:trPr>
          <w:trHeight w:val="188"/>
        </w:trPr>
        <w:tc>
          <w:tcPr>
            <w:tcW w:w="2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Floor 1.00%, Due 8/24</w:t>
            </w:r>
          </w:p>
        </w:tc>
      </w:tr>
      <w:tr>
        <w:trPr>
          <w:trHeight w:val="163"/>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Time Manufacturing Acquisition,</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Loan — Term Loan</w:t>
            </w:r>
          </w:p>
        </w:tc>
      </w:tr>
      <w:tr>
        <w:trPr>
          <w:trHeight w:val="135"/>
        </w:trPr>
        <w:tc>
          <w:tcPr>
            <w:tcW w:w="240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LLC</w:t>
            </w:r>
            <w:r>
              <w:rPr>
                <w:rFonts w:ascii="Times New Roman" w:cs="Times New Roman" w:eastAsia="Times New Roman" w:hAnsi="Times New Roman"/>
                <w:sz w:val="8"/>
                <w:szCs w:val="8"/>
                <w:color w:val="auto"/>
              </w:rPr>
              <w:t>(8)(13)(14)</w:t>
            </w:r>
          </w:p>
        </w:tc>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7.6% Cash, 6 month LIBOR</w:t>
            </w:r>
          </w:p>
        </w:tc>
      </w:tr>
      <w:tr>
        <w:trPr>
          <w:trHeight w:val="149"/>
        </w:trPr>
        <w:tc>
          <w:tcPr>
            <w:tcW w:w="24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 Equipment</w:t>
            </w: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(2.63%) + 5.00%; LIBOR Floor</w:t>
            </w:r>
          </w:p>
        </w:tc>
      </w:tr>
      <w:tr>
        <w:trPr>
          <w:trHeight w:val="174"/>
        </w:trPr>
        <w:tc>
          <w:tcPr>
            <w:tcW w:w="2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 Due 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-795655</wp:posOffset>
            </wp:positionV>
            <wp:extent cx="5213985" cy="4032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14"/>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5"/>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8/24/2017</w:t>
            </w:r>
          </w:p>
        </w:tc>
        <w:tc>
          <w:tcPr>
            <w:tcW w:w="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8,008,000</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7,959,567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7,847,840</w:t>
            </w:r>
          </w:p>
        </w:tc>
        <w:tc>
          <w:tcPr>
            <w:tcW w:w="0" w:type="dxa"/>
            <w:vAlign w:val="bottom"/>
          </w:tcPr>
          <w:p>
            <w:pPr>
              <w:spacing w:after="0"/>
              <w:rPr>
                <w:sz w:val="1"/>
                <w:szCs w:val="1"/>
                <w:color w:val="auto"/>
              </w:rPr>
            </w:pPr>
          </w:p>
        </w:tc>
      </w:tr>
      <w:tr>
        <w:trPr>
          <w:trHeight w:val="621"/>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2/3/2017</w:t>
            </w:r>
          </w:p>
        </w:tc>
        <w:tc>
          <w:tcPr>
            <w:tcW w:w="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3,446,143</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3,447,715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3,430,291</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5900" w:space="60"/>
            <w:col w:w="425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4"/>
        </w:trPr>
        <w:tc>
          <w:tcPr>
            <w:tcW w:w="20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TronAir Parent Inc.</w:t>
            </w:r>
            <w:r>
              <w:rPr>
                <w:rFonts w:ascii="Times New Roman" w:cs="Times New Roman" w:eastAsia="Times New Roman" w:hAnsi="Times New Roman"/>
                <w:sz w:val="19"/>
                <w:szCs w:val="19"/>
                <w:color w:val="auto"/>
                <w:vertAlign w:val="superscript"/>
              </w:rPr>
              <w:t>(8)(13)(14)</w:t>
            </w:r>
          </w:p>
        </w:tc>
        <w:tc>
          <w:tcPr>
            <w:tcW w:w="2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0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266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Loan (First Lien) 7.6% Cash,</w:t>
            </w: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spacing w:after="0"/>
              <w:rPr>
                <w:sz w:val="10"/>
                <w:szCs w:val="10"/>
                <w:color w:val="auto"/>
              </w:rPr>
            </w:pPr>
          </w:p>
        </w:tc>
        <w:tc>
          <w:tcPr>
            <w:tcW w:w="266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4"/>
                <w:szCs w:val="14"/>
                <w:color w:val="auto"/>
              </w:rPr>
              <w:t>6 month LIBOR (2.82%) + 4.75%;</w:t>
            </w:r>
          </w:p>
        </w:tc>
        <w:tc>
          <w:tcPr>
            <w:tcW w:w="10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9/30/2016</w:t>
            </w:r>
          </w:p>
        </w:tc>
        <w:tc>
          <w:tcPr>
            <w:tcW w:w="9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987,374</w:t>
            </w:r>
          </w:p>
        </w:tc>
        <w:tc>
          <w:tcPr>
            <w:tcW w:w="9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985,337</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954,001</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16"/>
                <w:szCs w:val="16"/>
                <w:color w:val="auto"/>
              </w:rPr>
            </w:pPr>
          </w:p>
        </w:tc>
        <w:tc>
          <w:tcPr>
            <w:tcW w:w="2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LIBOR Floor 1.00%, Due 9/23</w:t>
            </w:r>
          </w:p>
        </w:tc>
        <w:tc>
          <w:tcPr>
            <w:tcW w:w="10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19"/>
          </w:cols>
          <w:pgMar w:left="240" w:top="114" w:right="1440" w:bottom="1440" w:gutter="0" w:footer="0" w:header="0"/>
          <w:type w:val="continuous"/>
        </w:sectPr>
      </w:pPr>
    </w:p>
    <w:p>
      <w:pPr>
        <w:ind w:left="1260"/>
        <w:spacing w:after="0" w:line="181" w:lineRule="auto"/>
        <w:rPr>
          <w:sz w:val="20"/>
          <w:szCs w:val="20"/>
          <w:color w:val="auto"/>
        </w:rPr>
      </w:pPr>
      <w:r>
        <w:rPr>
          <w:rFonts w:ascii="Times New Roman" w:cs="Times New Roman" w:eastAsia="Times New Roman" w:hAnsi="Times New Roman"/>
          <w:sz w:val="14"/>
          <w:szCs w:val="14"/>
          <w:color w:val="auto"/>
        </w:rPr>
        <w:t>TRSO I, Inc.</w:t>
      </w:r>
      <w:r>
        <w:rPr>
          <w:rFonts w:ascii="Times New Roman" w:cs="Times New Roman" w:eastAsia="Times New Roman" w:hAnsi="Times New Roman"/>
          <w:sz w:val="21"/>
          <w:szCs w:val="21"/>
          <w:color w:val="auto"/>
          <w:vertAlign w:val="superscript"/>
        </w:rPr>
        <w:t>(8)(13)</w:t>
      </w:r>
    </w:p>
    <w:p>
      <w:pPr>
        <w:ind w:left="1440"/>
        <w:spacing w:after="0"/>
        <w:rPr>
          <w:sz w:val="20"/>
          <w:szCs w:val="20"/>
          <w:color w:val="auto"/>
        </w:rPr>
      </w:pPr>
      <w:r>
        <w:rPr>
          <w:rFonts w:ascii="Times New Roman" w:cs="Times New Roman" w:eastAsia="Times New Roman" w:hAnsi="Times New Roman"/>
          <w:sz w:val="14"/>
          <w:szCs w:val="14"/>
          <w:color w:val="auto"/>
        </w:rPr>
        <w:t>Energy: Oil &amp; Gas</w:t>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Verdesian Life Sciences, LLC</w:t>
      </w:r>
      <w:r>
        <w:rPr>
          <w:rFonts w:ascii="Times New Roman" w:cs="Times New Roman" w:eastAsia="Times New Roman" w:hAnsi="Times New Roman"/>
          <w:sz w:val="19"/>
          <w:szCs w:val="19"/>
          <w:color w:val="auto"/>
          <w:vertAlign w:val="superscript"/>
        </w:rPr>
        <w:t>(8)(13)(14)</w:t>
      </w:r>
    </w:p>
    <w:p>
      <w:pPr>
        <w:ind w:left="1440"/>
        <w:spacing w:after="0"/>
        <w:rPr>
          <w:sz w:val="20"/>
          <w:szCs w:val="20"/>
          <w:color w:val="auto"/>
        </w:rPr>
      </w:pPr>
      <w:r>
        <w:rPr>
          <w:rFonts w:ascii="Times New Roman" w:cs="Times New Roman" w:eastAsia="Times New Roman" w:hAnsi="Times New Roman"/>
          <w:sz w:val="14"/>
          <w:szCs w:val="14"/>
          <w:color w:val="auto"/>
        </w:rPr>
        <w:t>Environmental Industries</w:t>
      </w:r>
    </w:p>
    <w:p>
      <w:pPr>
        <w:spacing w:after="0" w:line="278" w:lineRule="exact"/>
        <w:rPr>
          <w:sz w:val="20"/>
          <w:szCs w:val="20"/>
          <w:color w:val="auto"/>
        </w:rPr>
      </w:pPr>
    </w:p>
    <w:p>
      <w:pPr>
        <w:ind w:left="1440" w:right="260" w:hanging="179"/>
        <w:spacing w:after="0" w:line="217" w:lineRule="auto"/>
        <w:rPr>
          <w:sz w:val="20"/>
          <w:szCs w:val="20"/>
          <w:color w:val="auto"/>
        </w:rPr>
      </w:pPr>
      <w:r>
        <w:rPr>
          <w:rFonts w:ascii="Times New Roman" w:cs="Times New Roman" w:eastAsia="Times New Roman" w:hAnsi="Times New Roman"/>
          <w:sz w:val="14"/>
          <w:szCs w:val="14"/>
          <w:color w:val="auto"/>
        </w:rPr>
        <w:t>Weiman Products, LLC</w:t>
      </w:r>
      <w:r>
        <w:rPr>
          <w:rFonts w:ascii="Times New Roman" w:cs="Times New Roman" w:eastAsia="Times New Roman" w:hAnsi="Times New Roman"/>
          <w:sz w:val="20"/>
          <w:szCs w:val="20"/>
          <w:color w:val="auto"/>
          <w:vertAlign w:val="superscript"/>
        </w:rPr>
        <w:t>(8)(13)(14)</w:t>
      </w:r>
      <w:r>
        <w:rPr>
          <w:rFonts w:ascii="Times New Roman" w:cs="Times New Roman" w:eastAsia="Times New Roman" w:hAnsi="Times New Roman"/>
          <w:sz w:val="14"/>
          <w:szCs w:val="14"/>
          <w:color w:val="auto"/>
        </w:rPr>
        <w:t xml:space="preserve"> Consumer goods: Non-durable</w:t>
      </w: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WireCo WorldGroup Inc.</w:t>
      </w:r>
      <w:r>
        <w:rPr>
          <w:rFonts w:ascii="Times New Roman" w:cs="Times New Roman" w:eastAsia="Times New Roman" w:hAnsi="Times New Roman"/>
          <w:sz w:val="21"/>
          <w:szCs w:val="21"/>
          <w:color w:val="auto"/>
          <w:vertAlign w:val="superscript"/>
        </w:rPr>
        <w:t>(8)(13)</w:t>
      </w:r>
    </w:p>
    <w:p>
      <w:pPr>
        <w:ind w:left="1440"/>
        <w:spacing w:after="0"/>
        <w:rPr>
          <w:sz w:val="20"/>
          <w:szCs w:val="20"/>
          <w:color w:val="auto"/>
        </w:rPr>
      </w:pPr>
      <w:r>
        <w:rPr>
          <w:rFonts w:ascii="Times New Roman" w:cs="Times New Roman" w:eastAsia="Times New Roman" w:hAnsi="Times New Roman"/>
          <w:sz w:val="14"/>
          <w:szCs w:val="14"/>
          <w:color w:val="auto"/>
        </w:rPr>
        <w:t>Capital Equipment</w:t>
      </w:r>
    </w:p>
    <w:p>
      <w:pPr>
        <w:spacing w:after="0" w:line="278" w:lineRule="exact"/>
        <w:rPr>
          <w:sz w:val="20"/>
          <w:szCs w:val="20"/>
          <w:color w:val="auto"/>
        </w:rPr>
      </w:pPr>
    </w:p>
    <w:p>
      <w:pPr>
        <w:ind w:left="1440" w:right="280" w:hanging="179"/>
        <w:spacing w:after="0" w:line="211" w:lineRule="auto"/>
        <w:rPr>
          <w:sz w:val="20"/>
          <w:szCs w:val="20"/>
          <w:color w:val="auto"/>
        </w:rPr>
      </w:pPr>
      <w:r>
        <w:rPr>
          <w:rFonts w:ascii="Times New Roman" w:cs="Times New Roman" w:eastAsia="Times New Roman" w:hAnsi="Times New Roman"/>
          <w:sz w:val="14"/>
          <w:szCs w:val="14"/>
          <w:color w:val="auto"/>
        </w:rPr>
        <w:t>Zest Acquisition Corp.</w:t>
      </w:r>
      <w:r>
        <w:rPr>
          <w:rFonts w:ascii="Times New Roman" w:cs="Times New Roman" w:eastAsia="Times New Roman" w:hAnsi="Times New Roman"/>
          <w:sz w:val="21"/>
          <w:szCs w:val="21"/>
          <w:color w:val="auto"/>
          <w:vertAlign w:val="superscript"/>
        </w:rPr>
        <w:t>(8)(13)</w:t>
      </w:r>
      <w:r>
        <w:rPr>
          <w:rFonts w:ascii="Times New Roman" w:cs="Times New Roman" w:eastAsia="Times New Roman" w:hAnsi="Times New Roman"/>
          <w:sz w:val="14"/>
          <w:szCs w:val="14"/>
          <w:color w:val="auto"/>
        </w:rPr>
        <w:t xml:space="preserve"> 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(Second Lien) 14.0% Cash,</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12/24/2012</w:t>
            </w: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1,000,000</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997,207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Due 12/19</w:t>
            </w: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Loan 7.5% Cash, 1 month LIBOR</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(2.53%) + 5.00%; LIBOR Floor</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6/25/2014</w:t>
            </w: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2,075,305</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2,033,378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1,993,123</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1.00%, Due 7/20</w:t>
            </w: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7.3% Cash, 3 month LIBOR</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(2.80%) + 4.50%; LIBOR Floor</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11/22/2013</w:t>
            </w: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1,440,525</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1,434,568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1,440,525</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1.00%, Due 11/21</w:t>
            </w: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Loan (Second Lien) 11.5% Cash,</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1 month LIBOR (2.52%) + 9.00%;</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8/9/2016</w:t>
            </w: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3,000,000</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2,967,619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2,957,100</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LIBOR Floor 1.00%, Due 9/24</w:t>
            </w: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Loan (Second Lien) 10.0% Cash,</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1 month LIBOR (2.45%) + 7.50%;</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3/8/2018</w:t>
            </w: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3,500,000</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3,479,741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3,430,000</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LIBOR Floor 1.00%, Due 3/26</w:t>
            </w: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-1576705</wp:posOffset>
            </wp:positionV>
            <wp:extent cx="5213985" cy="394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394335"/>
                    </a:xfrm>
                    <a:prstGeom prst="rect">
                      <a:avLst/>
                    </a:prstGeom>
                    <a:noFill/>
                  </pic:spPr>
                </pic:pic>
              </a:graphicData>
            </a:graphic>
          </wp:anchor>
        </w:drawing>
        <w:drawing>
          <wp:anchor simplePos="0" relativeHeight="251657728" behindDoc="1" locked="0" layoutInCell="0" allowOverlap="1">
            <wp:simplePos x="0" y="0"/>
            <wp:positionH relativeFrom="column">
              <wp:posOffset>-1533525</wp:posOffset>
            </wp:positionH>
            <wp:positionV relativeFrom="paragraph">
              <wp:posOffset>-788035</wp:posOffset>
            </wp:positionV>
            <wp:extent cx="5213985" cy="394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394335"/>
                    </a:xfrm>
                    <a:prstGeom prst="rect">
                      <a:avLst/>
                    </a:prstGeom>
                    <a:noFill/>
                  </pic:spPr>
                </pic:pic>
              </a:graphicData>
            </a:graphic>
          </wp:anchor>
        </w:drawing>
        <w:drawing>
          <wp:anchor simplePos="0" relativeHeight="251657728" behindDoc="1" locked="0" layoutInCell="0" allowOverlap="1">
            <wp:simplePos x="0" y="0"/>
            <wp:positionH relativeFrom="column">
              <wp:posOffset>-1533525</wp:posOffset>
            </wp:positionH>
            <wp:positionV relativeFrom="paragraph">
              <wp:posOffset>8890</wp:posOffset>
            </wp:positionV>
            <wp:extent cx="5213985" cy="3086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308610"/>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3480" w:space="200"/>
            <w:col w:w="653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1"/>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Investment in Equity Securities</w:t>
            </w:r>
          </w:p>
        </w:tc>
        <w:tc>
          <w:tcPr>
            <w:tcW w:w="2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(94% of net asset value at fair</w:t>
            </w: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$164,541,812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$162,264,482</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$147,861,744</w:t>
            </w:r>
          </w:p>
        </w:tc>
        <w:tc>
          <w:tcPr>
            <w:tcW w:w="0" w:type="dxa"/>
            <w:vAlign w:val="bottom"/>
          </w:tcPr>
          <w:p>
            <w:pPr>
              <w:spacing w:after="0"/>
              <w:rPr>
                <w:sz w:val="1"/>
                <w:szCs w:val="1"/>
                <w:color w:val="auto"/>
              </w:rPr>
            </w:pPr>
          </w:p>
        </w:tc>
      </w:tr>
      <w:tr>
        <w:trPr>
          <w:trHeight w:val="190"/>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5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Securities Portfolio</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Fair Value</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80" w:type="dxa"/>
            <w:vAlign w:val="bottom"/>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8"/>
                <w:szCs w:val="18"/>
                <w:color w:val="auto"/>
              </w:rPr>
            </w:pPr>
          </w:p>
        </w:tc>
        <w:tc>
          <w:tcPr>
            <w:tcW w:w="7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6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Advanced Lighting Technologies,</w:t>
            </w:r>
          </w:p>
        </w:tc>
        <w:tc>
          <w:tcPr>
            <w:tcW w:w="8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6"/>
                <w:szCs w:val="16"/>
                <w:color w:val="auto"/>
                <w:vertAlign w:val="subscript"/>
              </w:rPr>
              <w:t>Inc,</w:t>
            </w:r>
            <w:r>
              <w:rPr>
                <w:rFonts w:ascii="Times New Roman" w:cs="Times New Roman" w:eastAsia="Times New Roman" w:hAnsi="Times New Roman"/>
                <w:sz w:val="8"/>
                <w:szCs w:val="8"/>
                <w:color w:val="auto"/>
              </w:rPr>
              <w:t>(8)(13)</w:t>
            </w:r>
          </w:p>
        </w:tc>
        <w:tc>
          <w:tcPr>
            <w:tcW w:w="80" w:type="dxa"/>
            <w:vAlign w:val="bottom"/>
            <w:shd w:val="clear" w:color="auto" w:fill="CCEEFF"/>
          </w:tcPr>
          <w:p>
            <w:pPr>
              <w:spacing w:after="0"/>
              <w:rPr>
                <w:sz w:val="12"/>
                <w:szCs w:val="12"/>
                <w:color w:val="auto"/>
              </w:rPr>
            </w:pPr>
          </w:p>
        </w:tc>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6/13/2012</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goods: Durable</w:t>
            </w:r>
          </w:p>
        </w:tc>
        <w:tc>
          <w:tcPr>
            <w:tcW w:w="80" w:type="dxa"/>
            <w:vAlign w:val="bottom"/>
            <w:shd w:val="clear" w:color="auto" w:fill="CCEEFF"/>
          </w:tcPr>
          <w:p>
            <w:pPr>
              <w:spacing w:after="0"/>
              <w:rPr>
                <w:sz w:val="17"/>
                <w:szCs w:val="17"/>
                <w:color w:val="auto"/>
              </w:rPr>
            </w:pPr>
          </w:p>
        </w:tc>
        <w:tc>
          <w:tcPr>
            <w:tcW w:w="2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Advanced Lighting Technologies,</w:t>
            </w: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180"/>
              <w:spacing w:after="0" w:line="139" w:lineRule="exact"/>
              <w:rPr>
                <w:sz w:val="20"/>
                <w:szCs w:val="20"/>
                <w:color w:val="auto"/>
              </w:rPr>
            </w:pPr>
            <w:r>
              <w:rPr>
                <w:rFonts w:ascii="Times New Roman" w:cs="Times New Roman" w:eastAsia="Times New Roman" w:hAnsi="Times New Roman"/>
                <w:sz w:val="16"/>
                <w:szCs w:val="16"/>
                <w:color w:val="auto"/>
                <w:vertAlign w:val="subscript"/>
              </w:rPr>
              <w:t>Inc.</w:t>
            </w:r>
            <w:r>
              <w:rPr>
                <w:rFonts w:ascii="Times New Roman" w:cs="Times New Roman" w:eastAsia="Times New Roman" w:hAnsi="Times New Roman"/>
                <w:sz w:val="8"/>
                <w:szCs w:val="8"/>
                <w:color w:val="auto"/>
              </w:rPr>
              <w:t>(8)(13)</w:t>
            </w:r>
          </w:p>
        </w:tc>
        <w:tc>
          <w:tcPr>
            <w:tcW w:w="80" w:type="dxa"/>
            <w:vAlign w:val="bottom"/>
          </w:tcPr>
          <w:p>
            <w:pPr>
              <w:spacing w:after="0"/>
              <w:rPr>
                <w:sz w:val="12"/>
                <w:szCs w:val="12"/>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Membership Interests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6/13/2012</w:t>
            </w:r>
          </w:p>
        </w:tc>
        <w:tc>
          <w:tcPr>
            <w:tcW w:w="8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0.40%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181,999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 goods: Durable</w:t>
            </w:r>
          </w:p>
        </w:tc>
        <w:tc>
          <w:tcPr>
            <w:tcW w:w="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Aerostructures Holdings L.P.</w:t>
            </w:r>
            <w:r>
              <w:rPr>
                <w:rFonts w:ascii="Times New Roman" w:cs="Times New Roman" w:eastAsia="Times New Roman" w:hAnsi="Times New Roman"/>
                <w:sz w:val="19"/>
                <w:szCs w:val="19"/>
                <w:color w:val="auto"/>
                <w:vertAlign w:val="superscript"/>
              </w:rPr>
              <w:t>(8)(13)</w:t>
            </w:r>
          </w:p>
        </w:tc>
        <w:tc>
          <w:tcPr>
            <w:tcW w:w="80" w:type="dxa"/>
            <w:vAlign w:val="bottom"/>
            <w:shd w:val="clear" w:color="auto" w:fill="CCEEFF"/>
          </w:tcPr>
          <w:p>
            <w:pPr>
              <w:spacing w:after="0"/>
              <w:rPr>
                <w:sz w:val="14"/>
                <w:szCs w:val="14"/>
                <w:color w:val="auto"/>
              </w:rPr>
            </w:pPr>
          </w:p>
        </w:tc>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 Interests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2/28/2007</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157,717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Aerospace and Defense</w:t>
            </w:r>
          </w:p>
        </w:tc>
        <w:tc>
          <w:tcPr>
            <w:tcW w:w="80" w:type="dxa"/>
            <w:vAlign w:val="bottom"/>
            <w:shd w:val="clear" w:color="auto" w:fill="CCEEFF"/>
          </w:tcPr>
          <w:p>
            <w:pPr>
              <w:spacing w:after="0"/>
              <w:rPr>
                <w:sz w:val="17"/>
                <w:szCs w:val="17"/>
                <w:color w:val="auto"/>
              </w:rPr>
            </w:pPr>
          </w:p>
        </w:tc>
        <w:tc>
          <w:tcPr>
            <w:tcW w:w="2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6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BCP Great Lakes Fund LP</w:t>
            </w:r>
            <w:r>
              <w:rPr>
                <w:rFonts w:ascii="Times New Roman" w:cs="Times New Roman" w:eastAsia="Times New Roman" w:hAnsi="Times New Roman"/>
                <w:sz w:val="19"/>
                <w:szCs w:val="19"/>
                <w:color w:val="auto"/>
                <w:vertAlign w:val="superscript"/>
              </w:rPr>
              <w:t>(17)</w:t>
            </w:r>
          </w:p>
        </w:tc>
        <w:tc>
          <w:tcPr>
            <w:tcW w:w="80" w:type="dxa"/>
            <w:vAlign w:val="bottom"/>
          </w:tcPr>
          <w:p>
            <w:pPr>
              <w:spacing w:after="0"/>
              <w:rPr>
                <w:sz w:val="14"/>
                <w:szCs w:val="14"/>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Partnership Interest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12/11/2018</w:t>
            </w:r>
          </w:p>
        </w:tc>
        <w:tc>
          <w:tcPr>
            <w:tcW w:w="80" w:type="dxa"/>
            <w:vAlign w:val="bottom"/>
          </w:tcPr>
          <w:p>
            <w:pPr>
              <w:spacing w:after="0"/>
              <w:rPr>
                <w:sz w:val="14"/>
                <w:szCs w:val="14"/>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12,466,667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12,466,667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Limited Partnership</w:t>
            </w:r>
          </w:p>
        </w:tc>
        <w:tc>
          <w:tcPr>
            <w:tcW w:w="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Caribe Media Inc. (fka Caribe</w:t>
            </w:r>
          </w:p>
        </w:tc>
        <w:tc>
          <w:tcPr>
            <w:tcW w:w="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Information Investments</w:t>
            </w:r>
          </w:p>
        </w:tc>
        <w:tc>
          <w:tcPr>
            <w:tcW w:w="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1"/>
                <w:szCs w:val="11"/>
                <w:color w:val="auto"/>
              </w:rPr>
              <w:t>Incorporated)</w:t>
            </w:r>
            <w:r>
              <w:rPr>
                <w:rFonts w:ascii="Times New Roman" w:cs="Times New Roman" w:eastAsia="Times New Roman" w:hAnsi="Times New Roman"/>
                <w:sz w:val="16"/>
                <w:szCs w:val="16"/>
                <w:color w:val="auto"/>
                <w:vertAlign w:val="superscript"/>
              </w:rPr>
              <w:t>(8)(13)</w:t>
            </w:r>
          </w:p>
        </w:tc>
        <w:tc>
          <w:tcPr>
            <w:tcW w:w="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Media: Advertising, Printing &amp;</w:t>
            </w:r>
          </w:p>
        </w:tc>
        <w:tc>
          <w:tcPr>
            <w:tcW w:w="80" w:type="dxa"/>
            <w:vAlign w:val="bottom"/>
            <w:shd w:val="clear" w:color="auto" w:fill="CCEEFF"/>
          </w:tcPr>
          <w:p>
            <w:pPr>
              <w:spacing w:after="0"/>
              <w:rPr>
                <w:sz w:val="12"/>
                <w:szCs w:val="12"/>
                <w:color w:val="auto"/>
              </w:rPr>
            </w:pPr>
          </w:p>
        </w:tc>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12/18/2006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359,765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108,675</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Publishing</w:t>
            </w:r>
          </w:p>
        </w:tc>
        <w:tc>
          <w:tcPr>
            <w:tcW w:w="80" w:type="dxa"/>
            <w:vAlign w:val="bottom"/>
            <w:shd w:val="clear" w:color="auto" w:fill="CCEEFF"/>
          </w:tcPr>
          <w:p>
            <w:pPr>
              <w:spacing w:after="0"/>
              <w:rPr>
                <w:sz w:val="16"/>
                <w:szCs w:val="16"/>
                <w:color w:val="auto"/>
              </w:rPr>
            </w:pPr>
          </w:p>
        </w:tc>
        <w:tc>
          <w:tcPr>
            <w:tcW w:w="232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6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eInstruction Acquisition, LLC</w:t>
            </w:r>
            <w:r>
              <w:rPr>
                <w:rFonts w:ascii="Times New Roman" w:cs="Times New Roman" w:eastAsia="Times New Roman" w:hAnsi="Times New Roman"/>
                <w:sz w:val="19"/>
                <w:szCs w:val="19"/>
                <w:color w:val="auto"/>
                <w:vertAlign w:val="superscript"/>
              </w:rPr>
              <w:t>(8)(13)</w:t>
            </w:r>
          </w:p>
        </w:tc>
        <w:tc>
          <w:tcPr>
            <w:tcW w:w="80" w:type="dxa"/>
            <w:vAlign w:val="bottom"/>
          </w:tcPr>
          <w:p>
            <w:pPr>
              <w:spacing w:after="0"/>
              <w:rPr>
                <w:sz w:val="14"/>
                <w:szCs w:val="14"/>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Membership Units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7/2/2007</w:t>
            </w:r>
          </w:p>
        </w:tc>
        <w:tc>
          <w:tcPr>
            <w:tcW w:w="80" w:type="dxa"/>
            <w:vAlign w:val="bottom"/>
          </w:tcPr>
          <w:p>
            <w:pPr>
              <w:spacing w:after="0"/>
              <w:rPr>
                <w:sz w:val="14"/>
                <w:szCs w:val="14"/>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1,079,617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Services: Business</w:t>
            </w:r>
          </w:p>
        </w:tc>
        <w:tc>
          <w:tcPr>
            <w:tcW w:w="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FP WRCA Coinvestment Fund VII,</w:t>
            </w:r>
          </w:p>
        </w:tc>
        <w:tc>
          <w:tcPr>
            <w:tcW w:w="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6"/>
                <w:szCs w:val="16"/>
                <w:color w:val="auto"/>
                <w:vertAlign w:val="subscript"/>
              </w:rPr>
              <w:t>Ltd.</w:t>
            </w:r>
            <w:r>
              <w:rPr>
                <w:rFonts w:ascii="Times New Roman" w:cs="Times New Roman" w:eastAsia="Times New Roman" w:hAnsi="Times New Roman"/>
                <w:sz w:val="8"/>
                <w:szCs w:val="8"/>
                <w:color w:val="auto"/>
              </w:rPr>
              <w:t>(3)(13)</w:t>
            </w:r>
          </w:p>
        </w:tc>
        <w:tc>
          <w:tcPr>
            <w:tcW w:w="80" w:type="dxa"/>
            <w:vAlign w:val="bottom"/>
            <w:shd w:val="clear" w:color="auto" w:fill="CCEEFF"/>
          </w:tcPr>
          <w:p>
            <w:pPr>
              <w:spacing w:after="0"/>
              <w:rPr>
                <w:sz w:val="12"/>
                <w:szCs w:val="12"/>
                <w:color w:val="auto"/>
              </w:rPr>
            </w:pPr>
          </w:p>
        </w:tc>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Shares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669,000</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Equipment</w:t>
            </w:r>
          </w:p>
        </w:tc>
        <w:tc>
          <w:tcPr>
            <w:tcW w:w="80" w:type="dxa"/>
            <w:vAlign w:val="bottom"/>
            <w:shd w:val="clear" w:color="auto" w:fill="CCEEFF"/>
          </w:tcPr>
          <w:p>
            <w:pPr>
              <w:spacing w:after="0"/>
              <w:rPr>
                <w:sz w:val="17"/>
                <w:szCs w:val="17"/>
                <w:color w:val="auto"/>
              </w:rPr>
            </w:pPr>
          </w:p>
        </w:tc>
        <w:tc>
          <w:tcPr>
            <w:tcW w:w="2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New Millennium Holdco, Inc.</w:t>
            </w: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180"/>
              <w:spacing w:after="0" w:line="139" w:lineRule="exact"/>
              <w:rPr>
                <w:sz w:val="20"/>
                <w:szCs w:val="20"/>
                <w:color w:val="auto"/>
              </w:rPr>
            </w:pPr>
            <w:r>
              <w:rPr>
                <w:rFonts w:ascii="Times New Roman" w:cs="Times New Roman" w:eastAsia="Times New Roman" w:hAnsi="Times New Roman"/>
                <w:sz w:val="11"/>
                <w:szCs w:val="11"/>
                <w:color w:val="auto"/>
              </w:rPr>
              <w:t>(Millennium Health, LLC)</w:t>
            </w:r>
            <w:r>
              <w:rPr>
                <w:rFonts w:ascii="Times New Roman" w:cs="Times New Roman" w:eastAsia="Times New Roman" w:hAnsi="Times New Roman"/>
                <w:sz w:val="16"/>
                <w:szCs w:val="16"/>
                <w:color w:val="auto"/>
                <w:vertAlign w:val="superscript"/>
              </w:rPr>
              <w:t>(8)(13)</w:t>
            </w:r>
          </w:p>
        </w:tc>
        <w:tc>
          <w:tcPr>
            <w:tcW w:w="80" w:type="dxa"/>
            <w:vAlign w:val="bottom"/>
          </w:tcPr>
          <w:p>
            <w:pPr>
              <w:spacing w:after="0"/>
              <w:rPr>
                <w:sz w:val="12"/>
                <w:szCs w:val="12"/>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10/7/2014</w:t>
            </w:r>
          </w:p>
        </w:tc>
        <w:tc>
          <w:tcPr>
            <w:tcW w:w="8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1,953,299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Perseus Holding Corp.</w:t>
            </w:r>
            <w:r>
              <w:rPr>
                <w:rFonts w:ascii="Times New Roman" w:cs="Times New Roman" w:eastAsia="Times New Roman" w:hAnsi="Times New Roman"/>
                <w:sz w:val="19"/>
                <w:szCs w:val="19"/>
                <w:color w:val="auto"/>
                <w:vertAlign w:val="superscript"/>
              </w:rPr>
              <w:t>(8)(13)</w:t>
            </w:r>
          </w:p>
        </w:tc>
        <w:tc>
          <w:tcPr>
            <w:tcW w:w="80" w:type="dxa"/>
            <w:vAlign w:val="bottom"/>
            <w:shd w:val="clear" w:color="auto" w:fill="CCEEFF"/>
          </w:tcPr>
          <w:p>
            <w:pPr>
              <w:spacing w:after="0"/>
              <w:rPr>
                <w:sz w:val="14"/>
                <w:szCs w:val="14"/>
                <w:color w:val="auto"/>
              </w:rPr>
            </w:pPr>
          </w:p>
        </w:tc>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4/5/2007</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Hotel, Gaming &amp; Leisure</w:t>
            </w:r>
          </w:p>
        </w:tc>
        <w:tc>
          <w:tcPr>
            <w:tcW w:w="80" w:type="dxa"/>
            <w:vAlign w:val="bottom"/>
            <w:shd w:val="clear" w:color="auto" w:fill="CCEEFF"/>
          </w:tcPr>
          <w:p>
            <w:pPr>
              <w:spacing w:after="0"/>
              <w:rPr>
                <w:sz w:val="17"/>
                <w:szCs w:val="17"/>
                <w:color w:val="auto"/>
              </w:rPr>
            </w:pPr>
          </w:p>
        </w:tc>
        <w:tc>
          <w:tcPr>
            <w:tcW w:w="2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6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Roscoe Investors, LLC</w:t>
            </w:r>
            <w:r>
              <w:rPr>
                <w:rFonts w:ascii="Times New Roman" w:cs="Times New Roman" w:eastAsia="Times New Roman" w:hAnsi="Times New Roman"/>
                <w:sz w:val="19"/>
                <w:szCs w:val="19"/>
                <w:color w:val="auto"/>
                <w:vertAlign w:val="superscript"/>
              </w:rPr>
              <w:t>(8)(13)</w:t>
            </w:r>
          </w:p>
        </w:tc>
        <w:tc>
          <w:tcPr>
            <w:tcW w:w="80" w:type="dxa"/>
            <w:vAlign w:val="bottom"/>
          </w:tcPr>
          <w:p>
            <w:pPr>
              <w:spacing w:after="0"/>
              <w:rPr>
                <w:sz w:val="14"/>
                <w:szCs w:val="14"/>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3/26/2014</w:t>
            </w:r>
          </w:p>
        </w:tc>
        <w:tc>
          <w:tcPr>
            <w:tcW w:w="80" w:type="dxa"/>
            <w:vAlign w:val="bottom"/>
          </w:tcPr>
          <w:p>
            <w:pPr>
              <w:spacing w:after="0"/>
              <w:rPr>
                <w:sz w:val="14"/>
                <w:szCs w:val="14"/>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653,000</w:t>
            </w: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Stafford Logistics, Inc.(dba Custom</w:t>
            </w:r>
          </w:p>
        </w:tc>
        <w:tc>
          <w:tcPr>
            <w:tcW w:w="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1"/>
                <w:szCs w:val="11"/>
                <w:color w:val="auto"/>
              </w:rPr>
              <w:t>Ecology, Inc.)</w:t>
            </w:r>
            <w:r>
              <w:rPr>
                <w:rFonts w:ascii="Times New Roman" w:cs="Times New Roman" w:eastAsia="Times New Roman" w:hAnsi="Times New Roman"/>
                <w:sz w:val="16"/>
                <w:szCs w:val="16"/>
                <w:color w:val="auto"/>
                <w:vertAlign w:val="superscript"/>
              </w:rPr>
              <w:t>(8)(13)</w:t>
            </w:r>
          </w:p>
        </w:tc>
        <w:tc>
          <w:tcPr>
            <w:tcW w:w="80" w:type="dxa"/>
            <w:vAlign w:val="bottom"/>
            <w:shd w:val="clear" w:color="auto" w:fill="CCEEFF"/>
          </w:tcPr>
          <w:p>
            <w:pPr>
              <w:spacing w:after="0"/>
              <w:rPr>
                <w:sz w:val="12"/>
                <w:szCs w:val="12"/>
                <w:color w:val="auto"/>
              </w:rPr>
            </w:pPr>
          </w:p>
        </w:tc>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6/25/2013</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Environmental Industries</w:t>
            </w:r>
          </w:p>
        </w:tc>
        <w:tc>
          <w:tcPr>
            <w:tcW w:w="80" w:type="dxa"/>
            <w:vAlign w:val="bottom"/>
            <w:shd w:val="clear" w:color="auto" w:fill="CCEEFF"/>
          </w:tcPr>
          <w:p>
            <w:pPr>
              <w:spacing w:after="0"/>
              <w:rPr>
                <w:sz w:val="17"/>
                <w:szCs w:val="17"/>
                <w:color w:val="auto"/>
              </w:rPr>
            </w:pPr>
          </w:p>
        </w:tc>
        <w:tc>
          <w:tcPr>
            <w:tcW w:w="2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Stafford Logistics, Inc.(dba Custom</w:t>
            </w: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180"/>
              <w:spacing w:after="0" w:line="139" w:lineRule="exact"/>
              <w:rPr>
                <w:sz w:val="20"/>
                <w:szCs w:val="20"/>
                <w:color w:val="auto"/>
              </w:rPr>
            </w:pPr>
            <w:r>
              <w:rPr>
                <w:rFonts w:ascii="Times New Roman" w:cs="Times New Roman" w:eastAsia="Times New Roman" w:hAnsi="Times New Roman"/>
                <w:sz w:val="11"/>
                <w:szCs w:val="11"/>
                <w:color w:val="auto"/>
              </w:rPr>
              <w:t>Ecology, Inc.)</w:t>
            </w:r>
            <w:r>
              <w:rPr>
                <w:rFonts w:ascii="Times New Roman" w:cs="Times New Roman" w:eastAsia="Times New Roman" w:hAnsi="Times New Roman"/>
                <w:sz w:val="16"/>
                <w:szCs w:val="16"/>
                <w:color w:val="auto"/>
                <w:vertAlign w:val="superscript"/>
              </w:rPr>
              <w:t>(8)(13)</w:t>
            </w:r>
          </w:p>
        </w:tc>
        <w:tc>
          <w:tcPr>
            <w:tcW w:w="80" w:type="dxa"/>
            <w:vAlign w:val="bottom"/>
          </w:tcPr>
          <w:p>
            <w:pPr>
              <w:spacing w:after="0"/>
              <w:rPr>
                <w:sz w:val="12"/>
                <w:szCs w:val="12"/>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B Equity</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6/25/2013</w:t>
            </w:r>
          </w:p>
        </w:tc>
        <w:tc>
          <w:tcPr>
            <w:tcW w:w="8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Environmental Industries</w:t>
            </w:r>
          </w:p>
        </w:tc>
        <w:tc>
          <w:tcPr>
            <w:tcW w:w="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Tank Partners Holdings, LLC</w:t>
            </w:r>
            <w:r>
              <w:rPr>
                <w:rFonts w:ascii="Times New Roman" w:cs="Times New Roman" w:eastAsia="Times New Roman" w:hAnsi="Times New Roman"/>
                <w:sz w:val="19"/>
                <w:szCs w:val="19"/>
                <w:color w:val="auto"/>
                <w:vertAlign w:val="superscript"/>
              </w:rPr>
              <w:t>(8)(10)(13)</w:t>
            </w:r>
          </w:p>
        </w:tc>
        <w:tc>
          <w:tcPr>
            <w:tcW w:w="80" w:type="dxa"/>
            <w:vAlign w:val="bottom"/>
            <w:shd w:val="clear" w:color="auto" w:fill="CCEEFF"/>
          </w:tcPr>
          <w:p>
            <w:pPr>
              <w:spacing w:after="0"/>
              <w:rPr>
                <w:sz w:val="14"/>
                <w:szCs w:val="14"/>
                <w:color w:val="auto"/>
              </w:rPr>
            </w:pPr>
          </w:p>
        </w:tc>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8/28/2014</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980,000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Aerospace and Defense</w:t>
            </w:r>
          </w:p>
        </w:tc>
        <w:tc>
          <w:tcPr>
            <w:tcW w:w="80" w:type="dxa"/>
            <w:vAlign w:val="bottom"/>
            <w:shd w:val="clear" w:color="auto" w:fill="CCEEFF"/>
          </w:tcPr>
          <w:p>
            <w:pPr>
              <w:spacing w:after="0"/>
              <w:rPr>
                <w:sz w:val="17"/>
                <w:szCs w:val="17"/>
                <w:color w:val="auto"/>
              </w:rPr>
            </w:pPr>
          </w:p>
        </w:tc>
        <w:tc>
          <w:tcPr>
            <w:tcW w:w="2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6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Tank Partners Holdings, LLC</w:t>
            </w:r>
            <w:r>
              <w:rPr>
                <w:rFonts w:ascii="Times New Roman" w:cs="Times New Roman" w:eastAsia="Times New Roman" w:hAnsi="Times New Roman"/>
                <w:sz w:val="19"/>
                <w:szCs w:val="19"/>
                <w:color w:val="auto"/>
                <w:vertAlign w:val="superscript"/>
              </w:rPr>
              <w:t>(8)(13)</w:t>
            </w:r>
          </w:p>
        </w:tc>
        <w:tc>
          <w:tcPr>
            <w:tcW w:w="80" w:type="dxa"/>
            <w:vAlign w:val="bottom"/>
          </w:tcPr>
          <w:p>
            <w:pPr>
              <w:spacing w:after="0"/>
              <w:rPr>
                <w:sz w:val="14"/>
                <w:szCs w:val="14"/>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8/28/2014</w:t>
            </w:r>
          </w:p>
        </w:tc>
        <w:tc>
          <w:tcPr>
            <w:tcW w:w="80" w:type="dxa"/>
            <w:vAlign w:val="bottom"/>
          </w:tcPr>
          <w:p>
            <w:pPr>
              <w:spacing w:after="0"/>
              <w:rPr>
                <w:sz w:val="14"/>
                <w:szCs w:val="14"/>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185,205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Aerospace and Defense</w:t>
            </w:r>
          </w:p>
        </w:tc>
        <w:tc>
          <w:tcPr>
            <w:tcW w:w="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TRSO II, Inc.</w:t>
            </w:r>
            <w:r>
              <w:rPr>
                <w:rFonts w:ascii="Times New Roman" w:cs="Times New Roman" w:eastAsia="Times New Roman" w:hAnsi="Times New Roman"/>
                <w:sz w:val="19"/>
                <w:szCs w:val="19"/>
                <w:color w:val="auto"/>
                <w:vertAlign w:val="superscript"/>
              </w:rPr>
              <w:t>(8)(13)</w:t>
            </w:r>
          </w:p>
        </w:tc>
        <w:tc>
          <w:tcPr>
            <w:tcW w:w="80" w:type="dxa"/>
            <w:vAlign w:val="bottom"/>
            <w:shd w:val="clear" w:color="auto" w:fill="CCEEFF"/>
          </w:tcPr>
          <w:p>
            <w:pPr>
              <w:spacing w:after="0"/>
              <w:rPr>
                <w:sz w:val="14"/>
                <w:szCs w:val="14"/>
                <w:color w:val="auto"/>
              </w:rPr>
            </w:pPr>
          </w:p>
        </w:tc>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12/24/2012</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1,680,161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548,345</w:t>
            </w:r>
          </w:p>
        </w:tc>
        <w:tc>
          <w:tcPr>
            <w:tcW w:w="0" w:type="dxa"/>
            <w:vAlign w:val="bottom"/>
          </w:tcPr>
          <w:p>
            <w:pPr>
              <w:spacing w:after="0"/>
              <w:rPr>
                <w:sz w:val="1"/>
                <w:szCs w:val="1"/>
                <w:color w:val="auto"/>
              </w:rPr>
            </w:pPr>
          </w:p>
        </w:tc>
      </w:tr>
      <w:tr>
        <w:trPr>
          <w:trHeight w:val="212"/>
        </w:trPr>
        <w:tc>
          <w:tcPr>
            <w:tcW w:w="2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Energy: Oil &amp; Gas</w:t>
            </w:r>
          </w:p>
        </w:tc>
        <w:tc>
          <w:tcPr>
            <w:tcW w:w="8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gridSpan w:val="2"/>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60" w:type="dxa"/>
            <w:vAlign w:val="bottom"/>
            <w:tcBorders>
              <w:top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 Equity</w:t>
            </w:r>
          </w:p>
        </w:tc>
        <w:tc>
          <w:tcPr>
            <w:tcW w:w="80" w:type="dxa"/>
            <w:vAlign w:val="bottom"/>
            <w:tcBorders>
              <w:top w:val="single" w:sz="8" w:color="CCEEFF"/>
            </w:tcBorders>
          </w:tcPr>
          <w:p>
            <w:pPr>
              <w:spacing w:after="0"/>
              <w:rPr>
                <w:sz w:val="13"/>
                <w:szCs w:val="13"/>
                <w:color w:val="auto"/>
              </w:rPr>
            </w:pPr>
          </w:p>
        </w:tc>
        <w:tc>
          <w:tcPr>
            <w:tcW w:w="22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(9% of net asset value at</w:t>
            </w:r>
          </w:p>
        </w:tc>
        <w:tc>
          <w:tcPr>
            <w:tcW w:w="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21,944,430</w:t>
            </w:r>
          </w:p>
        </w:tc>
        <w:tc>
          <w:tcPr>
            <w:tcW w:w="8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14,504,687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-307975</wp:posOffset>
            </wp:positionV>
            <wp:extent cx="342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-4570095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-4570095</wp:posOffset>
            </wp:positionV>
            <wp:extent cx="514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-4570095</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-4570095</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-4570095</wp:posOffset>
            </wp:positionV>
            <wp:extent cx="431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95" w:name="page96"/>
    <w:bookmarkEnd w:id="95"/>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Fund Securities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Subordinated</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(15)(11)</w:t>
            </w:r>
          </w:p>
        </w:tc>
        <w:tc>
          <w:tcPr>
            <w:tcW w:w="80" w:type="dxa"/>
            <w:vAlign w:val="bottom"/>
            <w:vMerge w:val="restart"/>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Katonah III, Ltd.</w:t>
            </w:r>
            <w:r>
              <w:rPr>
                <w:rFonts w:ascii="Times New Roman" w:cs="Times New Roman" w:eastAsia="Times New Roman" w:hAnsi="Times New Roman"/>
                <w:sz w:val="19"/>
                <w:szCs w:val="19"/>
                <w:color w:val="auto"/>
                <w:vertAlign w:val="superscript"/>
              </w:rPr>
              <w:t>(3)(12)(13)</w:t>
            </w:r>
          </w:p>
        </w:tc>
        <w:tc>
          <w:tcPr>
            <w:tcW w:w="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Subordinated Securities, effective</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interest N/M</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5"/>
                <w:szCs w:val="15"/>
                <w:color w:val="auto"/>
              </w:rPr>
              <w:t>, 5/15 maturity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12/11/2006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1,287,155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369,280</w:t>
            </w:r>
          </w:p>
        </w:tc>
        <w:tc>
          <w:tcPr>
            <w:tcW w:w="0" w:type="dxa"/>
            <w:vAlign w:val="bottom"/>
          </w:tcPr>
          <w:p>
            <w:pPr>
              <w:spacing w:after="0"/>
              <w:rPr>
                <w:sz w:val="1"/>
                <w:szCs w:val="1"/>
                <w:color w:val="auto"/>
              </w:rPr>
            </w:pPr>
          </w:p>
        </w:tc>
      </w:tr>
      <w:tr>
        <w:trPr>
          <w:trHeight w:val="176"/>
        </w:trPr>
        <w:tc>
          <w:tcPr>
            <w:tcW w:w="26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Catamaran CLO 2013- 1 Ltd.</w:t>
            </w:r>
            <w:r>
              <w:rPr>
                <w:rFonts w:ascii="Times New Roman" w:cs="Times New Roman" w:eastAsia="Times New Roman" w:hAnsi="Times New Roman"/>
                <w:sz w:val="20"/>
                <w:szCs w:val="20"/>
                <w:color w:val="auto"/>
                <w:vertAlign w:val="superscript"/>
              </w:rPr>
              <w:t>(3)(13)</w:t>
            </w:r>
          </w:p>
        </w:tc>
        <w:tc>
          <w:tcPr>
            <w:tcW w:w="6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Subordinated Securities, effective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6/4/2013</w:t>
            </w:r>
          </w:p>
        </w:tc>
        <w:tc>
          <w:tcPr>
            <w:tcW w:w="80" w:type="dxa"/>
            <w:vAlign w:val="bottom"/>
          </w:tcPr>
          <w:p>
            <w:pPr>
              <w:spacing w:after="0"/>
              <w:rPr>
                <w:sz w:val="15"/>
                <w:szCs w:val="15"/>
                <w:color w:val="auto"/>
              </w:rPr>
            </w:pPr>
          </w:p>
        </w:tc>
        <w:tc>
          <w:tcPr>
            <w:tcW w:w="72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6,378,611</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7,016,733</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21.9%, 1/28 maturity</w:t>
            </w: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4"/>
                <w:szCs w:val="14"/>
                <w:color w:val="auto"/>
              </w:rPr>
              <w:t>Catamaran CLO 2014-1 Ltd.</w:t>
            </w:r>
            <w:r>
              <w:rPr>
                <w:rFonts w:ascii="Times New Roman" w:cs="Times New Roman" w:eastAsia="Times New Roman" w:hAnsi="Times New Roman"/>
                <w:sz w:val="20"/>
                <w:szCs w:val="20"/>
                <w:color w:val="auto"/>
                <w:vertAlign w:val="superscript"/>
              </w:rPr>
              <w:t>(3)(13)</w:t>
            </w:r>
          </w:p>
        </w:tc>
        <w:tc>
          <w:tcPr>
            <w:tcW w:w="6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Subordinated Securities, effective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5/6/2014</w:t>
            </w: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11,740,622</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9,777,251</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13.6%, 4/30 maturity</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Dryden 30 Senior Loan Fund</w:t>
            </w:r>
            <w:r>
              <w:rPr>
                <w:rFonts w:ascii="Times New Roman" w:cs="Times New Roman" w:eastAsia="Times New Roman" w:hAnsi="Times New Roman"/>
                <w:sz w:val="20"/>
                <w:szCs w:val="20"/>
                <w:color w:val="auto"/>
                <w:vertAlign w:val="superscript"/>
              </w:rPr>
              <w:t>(3)(13)</w:t>
            </w:r>
          </w:p>
        </w:tc>
        <w:tc>
          <w:tcPr>
            <w:tcW w:w="6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Subordinated Securities, effective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10/10/2013</w:t>
            </w:r>
          </w:p>
        </w:tc>
        <w:tc>
          <w:tcPr>
            <w:tcW w:w="80" w:type="dxa"/>
            <w:vAlign w:val="bottom"/>
          </w:tcPr>
          <w:p>
            <w:pPr>
              <w:spacing w:after="0"/>
              <w:rPr>
                <w:sz w:val="15"/>
                <w:szCs w:val="15"/>
                <w:color w:val="auto"/>
              </w:rPr>
            </w:pPr>
          </w:p>
        </w:tc>
        <w:tc>
          <w:tcPr>
            <w:tcW w:w="72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1,438,701</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1,913,925</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27.0%, 12/29 maturity</w:t>
            </w: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4"/>
                <w:szCs w:val="14"/>
                <w:color w:val="auto"/>
              </w:rPr>
              <w:t>Catamaran CLO 2014-2 Ltd.</w:t>
            </w:r>
            <w:r>
              <w:rPr>
                <w:rFonts w:ascii="Times New Roman" w:cs="Times New Roman" w:eastAsia="Times New Roman" w:hAnsi="Times New Roman"/>
                <w:sz w:val="20"/>
                <w:szCs w:val="20"/>
                <w:color w:val="auto"/>
                <w:vertAlign w:val="superscript"/>
              </w:rPr>
              <w:t>(3)(13)</w:t>
            </w:r>
          </w:p>
        </w:tc>
        <w:tc>
          <w:tcPr>
            <w:tcW w:w="6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Subordinated Securities, effective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8/15/2014</w:t>
            </w: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24.9%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6,314,484</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2,158,200</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10.4%, 11/25 maturity</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Catamaran CLO 2015-1 Ltd.</w:t>
            </w:r>
            <w:r>
              <w:rPr>
                <w:rFonts w:ascii="Times New Roman" w:cs="Times New Roman" w:eastAsia="Times New Roman" w:hAnsi="Times New Roman"/>
                <w:sz w:val="20"/>
                <w:szCs w:val="20"/>
                <w:color w:val="auto"/>
                <w:vertAlign w:val="superscript"/>
              </w:rPr>
              <w:t>(3)(13)</w:t>
            </w:r>
          </w:p>
        </w:tc>
        <w:tc>
          <w:tcPr>
            <w:tcW w:w="6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Subordinated Securities, effective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5/5/2015</w:t>
            </w:r>
          </w:p>
        </w:tc>
        <w:tc>
          <w:tcPr>
            <w:tcW w:w="80" w:type="dxa"/>
            <w:vAlign w:val="bottom"/>
          </w:tcPr>
          <w:p>
            <w:pPr>
              <w:spacing w:after="0"/>
              <w:rPr>
                <w:sz w:val="15"/>
                <w:szCs w:val="15"/>
                <w:color w:val="auto"/>
              </w:rPr>
            </w:pPr>
          </w:p>
        </w:tc>
        <w:tc>
          <w:tcPr>
            <w:tcW w:w="72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4,353,347</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3,048,698</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11.4%, 10/26 maturity</w:t>
            </w: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4"/>
                <w:szCs w:val="14"/>
                <w:color w:val="auto"/>
              </w:rPr>
              <w:t>Catamaran CLO 2016-1 Ltd.</w:t>
            </w:r>
            <w:r>
              <w:rPr>
                <w:rFonts w:ascii="Times New Roman" w:cs="Times New Roman" w:eastAsia="Times New Roman" w:hAnsi="Times New Roman"/>
                <w:sz w:val="20"/>
                <w:szCs w:val="20"/>
                <w:color w:val="auto"/>
                <w:vertAlign w:val="superscript"/>
              </w:rPr>
              <w:t>(3)(13)</w:t>
            </w:r>
          </w:p>
        </w:tc>
        <w:tc>
          <w:tcPr>
            <w:tcW w:w="6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Subordinated Securities, effective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12/21/2016</w:t>
            </w: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24.9%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9,717,150</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7,067,073</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9.1%, 4/27 maturity</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Catamaran CLO 2018-1 Ltd</w:t>
            </w:r>
            <w:r>
              <w:rPr>
                <w:rFonts w:ascii="Times New Roman" w:cs="Times New Roman" w:eastAsia="Times New Roman" w:hAnsi="Times New Roman"/>
                <w:sz w:val="20"/>
                <w:szCs w:val="20"/>
                <w:color w:val="auto"/>
                <w:vertAlign w:val="superscript"/>
              </w:rPr>
              <w:t>(3)(13)</w:t>
            </w:r>
          </w:p>
        </w:tc>
        <w:tc>
          <w:tcPr>
            <w:tcW w:w="6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Subordinated Securities, effective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9/27/2018</w:t>
            </w:r>
          </w:p>
        </w:tc>
        <w:tc>
          <w:tcPr>
            <w:tcW w:w="80" w:type="dxa"/>
            <w:vAlign w:val="bottom"/>
          </w:tcPr>
          <w:p>
            <w:pPr>
              <w:spacing w:after="0"/>
              <w:rPr>
                <w:sz w:val="15"/>
                <w:szCs w:val="15"/>
                <w:color w:val="auto"/>
              </w:rPr>
            </w:pPr>
          </w:p>
        </w:tc>
        <w:tc>
          <w:tcPr>
            <w:tcW w:w="72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24.8%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9,843,450</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8,500,000</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interest 14.5%, 10/31 maturity</w:t>
            </w:r>
          </w:p>
        </w:tc>
        <w:tc>
          <w:tcPr>
            <w:tcW w:w="7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 in CLO Subordinated</w:t>
            </w:r>
          </w:p>
        </w:tc>
        <w:tc>
          <w:tcPr>
            <w:tcW w:w="6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w w:val="7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51,073,520</w:t>
            </w:r>
          </w:p>
        </w:tc>
        <w:tc>
          <w:tcPr>
            <w:tcW w:w="8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39,851,160</w:t>
            </w: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-239395</wp:posOffset>
            </wp:positionV>
            <wp:extent cx="47250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-2186305</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-2186305</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-2186305</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-2186305</wp:posOffset>
            </wp:positionV>
            <wp:extent cx="43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-2186305</wp:posOffset>
            </wp:positionV>
            <wp:extent cx="342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Rated-Note Investment</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tc>
        <w:tc>
          <w:tcPr>
            <w:tcW w:w="80" w:type="dxa"/>
            <w:vAlign w:val="bottom"/>
            <w:vMerge w:val="restart"/>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8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KCAP 2017-1A</w:t>
            </w:r>
            <w:r>
              <w:rPr>
                <w:rFonts w:ascii="Times New Roman" w:cs="Times New Roman" w:eastAsia="Times New Roman" w:hAnsi="Times New Roman"/>
                <w:sz w:val="21"/>
                <w:szCs w:val="21"/>
                <w:color w:val="auto"/>
                <w:vertAlign w:val="superscript"/>
              </w:rPr>
              <w:t>(6)(13)</w:t>
            </w:r>
          </w:p>
        </w:tc>
        <w:tc>
          <w:tcPr>
            <w:tcW w:w="8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Class E Notes, 10.29% Cash,</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3 month LIBOR (2.79%) +</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10/24/2017</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4,407,106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4,473,840</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7.50%, Due 12/29</w:t>
            </w: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in CLO</w:t>
            </w: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4,407,106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4,473,840</w:t>
            </w:r>
          </w:p>
        </w:tc>
        <w:tc>
          <w:tcPr>
            <w:tcW w:w="0" w:type="dxa"/>
            <w:vAlign w:val="bottom"/>
          </w:tcPr>
          <w:p>
            <w:pPr>
              <w:spacing w:after="0"/>
              <w:rPr>
                <w:sz w:val="1"/>
                <w:szCs w:val="1"/>
                <w:color w:val="auto"/>
              </w:rPr>
            </w:pPr>
          </w:p>
        </w:tc>
      </w:tr>
      <w:tr>
        <w:trPr>
          <w:trHeight w:val="223"/>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Rated-Note</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 in CLO</w:t>
            </w:r>
          </w:p>
        </w:tc>
        <w:tc>
          <w:tcPr>
            <w:tcW w:w="8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Fund Securities (28% of net</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8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55,480,626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44,325,000</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asset value at fair value)</w:t>
            </w:r>
          </w:p>
        </w:tc>
        <w:tc>
          <w:tcPr>
            <w:tcW w:w="8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-8255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-359410</wp:posOffset>
            </wp:positionV>
            <wp:extent cx="52139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-633730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-1011555</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-1011555</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-1011555</wp:posOffset>
            </wp:positionV>
            <wp:extent cx="514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-1011555</wp:posOffset>
            </wp:positionV>
            <wp:extent cx="514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-1011555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p>
      <w:pPr>
        <w:spacing w:after="0" w:line="3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p>
      <w:pPr>
        <w:spacing w:after="0" w:line="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Asset Manager Affiliates</w:t>
      </w:r>
      <w:r>
        <w:rPr>
          <w:rFonts w:ascii="Times New Roman" w:cs="Times New Roman" w:eastAsia="Times New Roman" w:hAnsi="Times New Roman"/>
          <w:sz w:val="25"/>
          <w:szCs w:val="25"/>
          <w:color w:val="auto"/>
          <w:vertAlign w:val="superscript"/>
        </w:rPr>
        <w:t>(8)(13)(17)</w:t>
      </w:r>
    </w:p>
    <w:p>
      <w:pPr>
        <w:spacing w:after="0" w:line="45" w:lineRule="exact"/>
        <w:rPr>
          <w:sz w:val="20"/>
          <w:szCs w:val="20"/>
          <w:color w:val="auto"/>
        </w:rPr>
      </w:pPr>
    </w:p>
    <w:p>
      <w:pPr>
        <w:jc w:val="both"/>
        <w:ind w:left="1440" w:hanging="179"/>
        <w:spacing w:after="0" w:line="224" w:lineRule="auto"/>
        <w:rPr>
          <w:sz w:val="20"/>
          <w:szCs w:val="20"/>
          <w:color w:val="auto"/>
        </w:rPr>
      </w:pPr>
      <w:r>
        <w:rPr>
          <w:rFonts w:ascii="Times New Roman" w:cs="Times New Roman" w:eastAsia="Times New Roman" w:hAnsi="Times New Roman"/>
          <w:sz w:val="16"/>
          <w:szCs w:val="16"/>
          <w:b w:val="1"/>
          <w:bCs w:val="1"/>
          <w:color w:val="auto"/>
        </w:rPr>
        <w:t>Total Investment in Asset Manager Affiliates (2%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tc>
        <w:tc>
          <w:tcPr>
            <w:tcW w:w="100" w:type="dxa"/>
            <w:vAlign w:val="bottom"/>
            <w:vMerge w:val="restart"/>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1"/>
              </w:rPr>
              <w:t>Fair Value</w:t>
            </w:r>
            <w:r>
              <w:rPr>
                <w:rFonts w:ascii="Times New Roman" w:cs="Times New Roman" w:eastAsia="Times New Roman" w:hAnsi="Times New Roman"/>
                <w:sz w:val="21"/>
                <w:szCs w:val="21"/>
                <w:b w:val="1"/>
                <w:bCs w:val="1"/>
                <w:color w:val="auto"/>
                <w:w w:val="91"/>
                <w:vertAlign w:val="superscript"/>
              </w:rPr>
              <w:t>(2)</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8"/>
                <w:szCs w:val="18"/>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Asset Management Company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12/11/2006</w:t>
            </w:r>
          </w:p>
        </w:tc>
        <w:tc>
          <w:tcPr>
            <w:tcW w:w="80" w:type="dxa"/>
            <w:vAlign w:val="bottom"/>
          </w:tcPr>
          <w:p>
            <w:pPr>
              <w:spacing w:after="0"/>
              <w:rPr>
                <w:sz w:val="22"/>
                <w:szCs w:val="22"/>
                <w:color w:val="auto"/>
              </w:rPr>
            </w:pPr>
          </w:p>
        </w:tc>
        <w:tc>
          <w:tcPr>
            <w:tcW w:w="8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2"/>
                <w:szCs w:val="22"/>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$17,791,230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$3,470,000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0"/>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17,791,230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3,470,000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-539750</wp:posOffset>
            </wp:positionV>
            <wp:extent cx="5213985"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3985" cy="18859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700" w:space="40"/>
            <w:col w:w="6479"/>
          </w:cols>
          <w:pgMar w:left="240" w:top="114" w:right="1440" w:bottom="1440" w:gutter="0" w:footer="0" w:header="0"/>
          <w:type w:val="continuous"/>
        </w:sectPr>
      </w:pP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Joint Ventures</w:t>
      </w:r>
    </w:p>
    <w:p>
      <w:pPr>
        <w:spacing w:after="0" w:line="200" w:lineRule="exact"/>
        <w:rPr>
          <w:sz w:val="20"/>
          <w:szCs w:val="20"/>
          <w:color w:val="auto"/>
        </w:rPr>
      </w:pP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59"/>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60" w:type="dxa"/>
            <w:vAlign w:val="bottom"/>
          </w:tcPr>
          <w:p>
            <w:pPr>
              <w:spacing w:after="0"/>
              <w:rPr>
                <w:sz w:val="22"/>
                <w:szCs w:val="22"/>
                <w:color w:val="auto"/>
              </w:rPr>
            </w:pPr>
          </w:p>
        </w:tc>
        <w:tc>
          <w:tcPr>
            <w:tcW w:w="21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tc>
      </w:tr>
      <w:tr>
        <w:trPr>
          <w:trHeight w:val="277"/>
        </w:trPr>
        <w:tc>
          <w:tcPr>
            <w:tcW w:w="2440" w:type="dxa"/>
            <w:vAlign w:val="bottom"/>
            <w:shd w:val="clear" w:color="auto" w:fill="CCEEFF"/>
          </w:tcPr>
          <w:p>
            <w:pPr>
              <w:spacing w:after="0" w:line="277" w:lineRule="exact"/>
              <w:rPr>
                <w:sz w:val="20"/>
                <w:szCs w:val="20"/>
                <w:color w:val="auto"/>
              </w:rPr>
            </w:pPr>
            <w:r>
              <w:rPr>
                <w:rFonts w:ascii="Times New Roman" w:cs="Times New Roman" w:eastAsia="Times New Roman" w:hAnsi="Times New Roman"/>
                <w:sz w:val="16"/>
                <w:szCs w:val="16"/>
                <w:color w:val="auto"/>
              </w:rPr>
              <w:t>KCAP Freedom 3 LLC</w:t>
            </w:r>
            <w:r>
              <w:rPr>
                <w:rFonts w:ascii="Times New Roman" w:cs="Times New Roman" w:eastAsia="Times New Roman" w:hAnsi="Times New Roman"/>
                <w:sz w:val="25"/>
                <w:szCs w:val="25"/>
                <w:color w:val="auto"/>
                <w:vertAlign w:val="superscript"/>
              </w:rPr>
              <w:t>(9)(13)</w:t>
            </w:r>
          </w:p>
        </w:tc>
        <w:tc>
          <w:tcPr>
            <w:tcW w:w="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Joint Venture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-187960</wp:posOffset>
            </wp:positionV>
            <wp:extent cx="5213985"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3985" cy="18859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Total Investment in Joint Ventures</w:t>
      </w:r>
    </w:p>
    <w:p>
      <w:pPr>
        <w:ind w:left="1440"/>
        <w:spacing w:after="0" w:line="211" w:lineRule="auto"/>
        <w:rPr>
          <w:sz w:val="20"/>
          <w:szCs w:val="20"/>
          <w:color w:val="auto"/>
        </w:rPr>
      </w:pPr>
      <w:r>
        <w:rPr>
          <w:rFonts w:ascii="Times New Roman" w:cs="Times New Roman" w:eastAsia="Times New Roman" w:hAnsi="Times New Roman"/>
          <w:sz w:val="16"/>
          <w:szCs w:val="16"/>
          <w:b w:val="1"/>
          <w:bCs w:val="1"/>
          <w:color w:val="auto"/>
        </w:rPr>
        <w:t>(12% of net asset value at fair</w:t>
      </w:r>
    </w:p>
    <w:p>
      <w:pPr>
        <w:ind w:left="1440"/>
        <w:spacing w:after="0"/>
        <w:rPr>
          <w:sz w:val="20"/>
          <w:szCs w:val="20"/>
          <w:color w:val="auto"/>
        </w:rPr>
      </w:pPr>
      <w:r>
        <w:rPr>
          <w:rFonts w:ascii="Times New Roman" w:cs="Times New Roman" w:eastAsia="Times New Roman" w:hAnsi="Times New Roman"/>
          <w:sz w:val="16"/>
          <w:szCs w:val="16"/>
          <w:b w:val="1"/>
          <w:bCs w:val="1"/>
          <w:color w:val="auto"/>
        </w:rPr>
        <w:t>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6"/>
                <w:szCs w:val="16"/>
                <w:color w:val="auto"/>
              </w:rPr>
            </w:pPr>
          </w:p>
        </w:tc>
      </w:tr>
      <w:tr>
        <w:trPr>
          <w:trHeight w:val="24"/>
        </w:trPr>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4"/>
        </w:trPr>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7/19/2017</w:t>
            </w:r>
          </w:p>
        </w:tc>
        <w:tc>
          <w:tcPr>
            <w:tcW w:w="80" w:type="dxa"/>
            <w:vAlign w:val="bottom"/>
          </w:tcPr>
          <w:p>
            <w:pPr>
              <w:spacing w:after="0"/>
              <w:rPr>
                <w:sz w:val="22"/>
                <w:szCs w:val="22"/>
                <w:color w:val="auto"/>
              </w:rPr>
            </w:pPr>
          </w:p>
        </w:tc>
        <w:tc>
          <w:tcPr>
            <w:tcW w:w="80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2"/>
                <w:szCs w:val="2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$24,914,858</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$18,390,440</w:t>
            </w:r>
          </w:p>
        </w:tc>
        <w:tc>
          <w:tcPr>
            <w:tcW w:w="20" w:type="dxa"/>
            <w:vAlign w:val="bottom"/>
          </w:tcPr>
          <w:p>
            <w:pPr>
              <w:spacing w:after="0"/>
              <w:rPr>
                <w:sz w:val="22"/>
                <w:szCs w:val="22"/>
                <w:color w:val="auto"/>
              </w:rPr>
            </w:pPr>
          </w:p>
        </w:tc>
      </w:tr>
      <w:tr>
        <w:trPr>
          <w:trHeight w:val="23"/>
        </w:trPr>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540"/>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24,914,858</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18,390,440</w:t>
            </w:r>
          </w:p>
        </w:tc>
        <w:tc>
          <w:tcPr>
            <w:tcW w:w="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-359410</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5900" w:space="100"/>
            <w:col w:w="4219"/>
          </w:cols>
          <w:pgMar w:left="240" w:top="114" w:right="1440"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(15)</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14"/>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Short-term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Par/Amortized Cost</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2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US Bank Money Market</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6"/>
                <w:szCs w:val="16"/>
                <w:color w:val="auto"/>
              </w:rPr>
              <w:t>Account</w:t>
            </w:r>
            <w:r>
              <w:rPr>
                <w:rFonts w:ascii="Times New Roman" w:cs="Times New Roman" w:eastAsia="Times New Roman" w:hAnsi="Times New Roman"/>
                <w:sz w:val="25"/>
                <w:szCs w:val="25"/>
                <w:color w:val="auto"/>
                <w:vertAlign w:val="superscript"/>
              </w:rPr>
              <w:t>(7)(8)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Account</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34,757,129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34,757,129</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US Treasury Bill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180"/>
              <w:spacing w:after="0" w:line="242" w:lineRule="exact"/>
              <w:rPr>
                <w:sz w:val="20"/>
                <w:szCs w:val="20"/>
                <w:color w:val="auto"/>
              </w:rPr>
            </w:pPr>
            <w:r>
              <w:rPr>
                <w:rFonts w:ascii="Times New Roman" w:cs="Times New Roman" w:eastAsia="Times New Roman" w:hAnsi="Times New Roman"/>
                <w:sz w:val="16"/>
                <w:szCs w:val="16"/>
                <w:color w:val="auto"/>
              </w:rPr>
              <w:t>(Cusip:912796UH0)</w:t>
            </w:r>
            <w:r>
              <w:rPr>
                <w:rFonts w:ascii="Times New Roman" w:cs="Times New Roman" w:eastAsia="Times New Roman" w:hAnsi="Times New Roman"/>
                <w:sz w:val="25"/>
                <w:szCs w:val="25"/>
                <w:color w:val="auto"/>
                <w:vertAlign w:val="superscript"/>
              </w:rPr>
              <w:t>(8)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Government Obligation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9,999,349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9,999,349</w:t>
            </w:r>
          </w:p>
        </w:tc>
        <w:tc>
          <w:tcPr>
            <w:tcW w:w="0" w:type="dxa"/>
            <w:vAlign w:val="bottom"/>
          </w:tcPr>
          <w:p>
            <w:pPr>
              <w:spacing w:after="0"/>
              <w:rPr>
                <w:sz w:val="1"/>
                <w:szCs w:val="1"/>
                <w:color w:val="auto"/>
              </w:rPr>
            </w:pPr>
          </w:p>
        </w:tc>
      </w:tr>
      <w:tr>
        <w:trPr>
          <w:trHeight w:val="183"/>
        </w:trPr>
        <w:tc>
          <w:tcPr>
            <w:tcW w:w="19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Short-term</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Investments (28% of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44,756,478</w:t>
            </w:r>
          </w:p>
        </w:tc>
        <w:tc>
          <w:tcPr>
            <w:tcW w:w="16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44,756,478</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asset value at fair value)</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line="257" w:lineRule="exact"/>
              <w:rPr>
                <w:sz w:val="20"/>
                <w:szCs w:val="20"/>
                <w:color w:val="auto"/>
              </w:rPr>
            </w:pPr>
            <w:r>
              <w:rPr>
                <w:rFonts w:ascii="Times New Roman" w:cs="Times New Roman" w:eastAsia="Times New Roman" w:hAnsi="Times New Roman"/>
                <w:sz w:val="16"/>
                <w:szCs w:val="16"/>
                <w:b w:val="1"/>
                <w:bCs w:val="1"/>
                <w:color w:val="auto"/>
              </w:rPr>
              <w:t>Total Investments</w:t>
            </w:r>
            <w:r>
              <w:rPr>
                <w:rFonts w:ascii="Times New Roman" w:cs="Times New Roman" w:eastAsia="Times New Roman" w:hAnsi="Times New Roman"/>
                <w:sz w:val="25"/>
                <w:szCs w:val="25"/>
                <w:b w:val="1"/>
                <w:bCs w:val="1"/>
                <w:color w:val="auto"/>
                <w:vertAlign w:val="superscript"/>
              </w:rPr>
              <w:t>(4)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327,152,104</w:t>
            </w:r>
          </w:p>
        </w:tc>
        <w:tc>
          <w:tcPr>
            <w:tcW w:w="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273,308,349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-736600</wp:posOffset>
            </wp:positionV>
            <wp:extent cx="46482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-1285875</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-1285875</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-1285875</wp:posOffset>
            </wp:positionV>
            <wp:extent cx="514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-1285875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-1285875</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1620" w:right="799" w:hanging="352"/>
        <w:spacing w:after="0" w:line="255"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2018. As noted in the table above, 81% (based on par) of debt securities contain floors which range between 0.75% and 3.00%.</w:t>
      </w:r>
    </w:p>
    <w:p>
      <w:pPr>
        <w:spacing w:after="0" w:line="162" w:lineRule="exact"/>
        <w:rPr>
          <w:rFonts w:ascii="Times New Roman" w:cs="Times New Roman" w:eastAsia="Times New Roman" w:hAnsi="Times New Roman"/>
          <w:sz w:val="18"/>
          <w:szCs w:val="18"/>
          <w:color w:val="auto"/>
        </w:rPr>
      </w:pPr>
    </w:p>
    <w:p>
      <w:pPr>
        <w:ind w:left="1620" w:right="839" w:hanging="352"/>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market value of all investments as of December 31, 2018, as determined by the Company’s Board of Directors.</w:t>
      </w:r>
    </w:p>
    <w:p>
      <w:pPr>
        <w:spacing w:after="0" w:line="12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company or principal place of business outside the U.S.</w:t>
      </w:r>
    </w:p>
    <w:p>
      <w:pPr>
        <w:spacing w:after="0" w:line="184" w:lineRule="exact"/>
        <w:rPr>
          <w:rFonts w:ascii="Times New Roman" w:cs="Times New Roman" w:eastAsia="Times New Roman" w:hAnsi="Times New Roman"/>
          <w:sz w:val="18"/>
          <w:szCs w:val="18"/>
          <w:color w:val="auto"/>
        </w:rPr>
      </w:pPr>
    </w:p>
    <w:p>
      <w:pPr>
        <w:ind w:left="1620" w:right="1219" w:hanging="352"/>
        <w:spacing w:after="0" w:line="261"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cost of investments for federal income tax purposes is approximately $327 million. The aggregate gross unrealized appreciation is approximately $0 million, the aggregate gross unrealized depreciation is approximately $53.8 million, and the net unrealized depreciation is approximately $53.8 million.</w:t>
      </w:r>
    </w:p>
    <w:p>
      <w:pPr>
        <w:spacing w:after="0" w:line="139"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debt security is on non-accrual status and therefore is considered non-income producing.</w:t>
      </w:r>
    </w:p>
    <w:p>
      <w:pPr>
        <w:spacing w:after="0" w:line="198" w:lineRule="exact"/>
        <w:rPr>
          <w:rFonts w:ascii="Times New Roman" w:cs="Times New Roman" w:eastAsia="Times New Roman" w:hAnsi="Times New Roman"/>
          <w:sz w:val="18"/>
          <w:szCs w:val="18"/>
          <w:color w:val="auto"/>
        </w:rPr>
      </w:pPr>
    </w:p>
    <w:p>
      <w:pPr>
        <w:ind w:left="1620" w:right="959" w:hanging="352"/>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CLO Fund managed by an Asset Manager Affiliate (as such term is defined in the notes to the consolidated financial statements).</w:t>
      </w:r>
    </w:p>
    <w:p>
      <w:pPr>
        <w:spacing w:after="0" w:line="12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account.</w:t>
      </w:r>
    </w:p>
    <w:p>
      <w:pPr>
        <w:spacing w:after="0" w:line="184" w:lineRule="exact"/>
        <w:rPr>
          <w:rFonts w:ascii="Times New Roman" w:cs="Times New Roman" w:eastAsia="Times New Roman" w:hAnsi="Times New Roman"/>
          <w:sz w:val="18"/>
          <w:szCs w:val="18"/>
          <w:color w:val="auto"/>
        </w:rPr>
      </w:pPr>
    </w:p>
    <w:p>
      <w:pPr>
        <w:jc w:val="both"/>
        <w:ind w:left="1620" w:right="1179" w:hanging="352"/>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asset for purposes of section 55(a) of the Investment Company Act of 1940, as amended (the “1940 Act”). Qualifying assets represent approximately 72% of the total assets at December 31, 2018.</w:t>
      </w:r>
    </w:p>
    <w:p>
      <w:pPr>
        <w:spacing w:after="0" w:line="134" w:lineRule="exact"/>
        <w:rPr>
          <w:rFonts w:ascii="Times New Roman" w:cs="Times New Roman" w:eastAsia="Times New Roman" w:hAnsi="Times New Roman"/>
          <w:sz w:val="18"/>
          <w:szCs w:val="18"/>
          <w:color w:val="auto"/>
        </w:rPr>
      </w:pPr>
    </w:p>
    <w:p>
      <w:pPr>
        <w:ind w:left="1620" w:right="819" w:hanging="352"/>
        <w:spacing w:after="0" w:line="258"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4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Non-voting.</w:t>
      </w:r>
    </w:p>
    <w:p>
      <w:pPr>
        <w:spacing w:after="0" w:line="184" w:lineRule="exact"/>
        <w:rPr>
          <w:rFonts w:ascii="Times New Roman" w:cs="Times New Roman" w:eastAsia="Times New Roman" w:hAnsi="Times New Roman"/>
          <w:sz w:val="18"/>
          <w:szCs w:val="18"/>
          <w:color w:val="auto"/>
        </w:rPr>
      </w:pPr>
    </w:p>
    <w:p>
      <w:pPr>
        <w:ind w:left="1620" w:right="879" w:hanging="352"/>
        <w:spacing w:after="0" w:line="258"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4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has been received for this security.</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97" w:name="page98"/>
    <w:bookmarkEnd w:id="97"/>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20" w:hanging="352"/>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this investment was determined using significant unobservable inputs.</w:t>
      </w:r>
    </w:p>
    <w:p>
      <w:pPr>
        <w:spacing w:after="0" w:line="198" w:lineRule="exact"/>
        <w:rPr>
          <w:rFonts w:ascii="Times New Roman" w:cs="Times New Roman" w:eastAsia="Times New Roman" w:hAnsi="Times New Roman"/>
          <w:sz w:val="18"/>
          <w:szCs w:val="18"/>
          <w:color w:val="auto"/>
        </w:rPr>
      </w:pPr>
    </w:p>
    <w:p>
      <w:pPr>
        <w:ind w:left="1620" w:right="819" w:hanging="352"/>
        <w:spacing w:after="0" w:line="258"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2018, this investment is owned by KCAP Funding I, LLC and was pledged to secure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143" w:lineRule="exact"/>
        <w:rPr>
          <w:rFonts w:ascii="Times New Roman" w:cs="Times New Roman" w:eastAsia="Times New Roman" w:hAnsi="Times New Roman"/>
          <w:sz w:val="18"/>
          <w:szCs w:val="18"/>
          <w:color w:val="auto"/>
        </w:rPr>
      </w:pPr>
    </w:p>
    <w:p>
      <w:pPr>
        <w:ind w:left="1620" w:right="979" w:hanging="352"/>
        <w:spacing w:after="0" w:line="26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securities’’under the Securities Act of 1933.</w:t>
      </w:r>
    </w:p>
    <w:p>
      <w:pPr>
        <w:spacing w:after="0" w:line="135" w:lineRule="exact"/>
        <w:rPr>
          <w:rFonts w:ascii="Times New Roman" w:cs="Times New Roman" w:eastAsia="Times New Roman" w:hAnsi="Times New Roman"/>
          <w:sz w:val="18"/>
          <w:szCs w:val="18"/>
          <w:color w:val="auto"/>
        </w:rPr>
      </w:pPr>
    </w:p>
    <w:p>
      <w:pPr>
        <w:ind w:left="1620" w:right="759" w:hanging="352"/>
        <w:spacing w:after="0" w:line="258"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collateral in these CLO Fund portfolios are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spacing w:after="0" w:line="156" w:lineRule="exact"/>
        <w:rPr>
          <w:rFonts w:ascii="Times New Roman" w:cs="Times New Roman" w:eastAsia="Times New Roman" w:hAnsi="Times New Roman"/>
          <w:sz w:val="18"/>
          <w:szCs w:val="18"/>
          <w:color w:val="auto"/>
        </w:rPr>
      </w:pPr>
    </w:p>
    <w:p>
      <w:pPr>
        <w:jc w:val="both"/>
        <w:ind w:left="1620" w:right="819" w:hanging="352"/>
        <w:spacing w:after="0" w:line="26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98" w:name="page99"/>
    <w:bookmarkEnd w:id="98"/>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Securities Portfolio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r>
              <w:rPr>
                <w:rFonts w:ascii="Times New Roman" w:cs="Times New Roman" w:eastAsia="Times New Roman" w:hAnsi="Times New Roman"/>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2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ind w:left="360"/>
              <w:spacing w:after="0" w:line="230" w:lineRule="exact"/>
              <w:rPr>
                <w:sz w:val="20"/>
                <w:szCs w:val="20"/>
                <w:color w:val="auto"/>
              </w:rPr>
            </w:pPr>
            <w:r>
              <w:rPr>
                <w:rFonts w:ascii="Times New Roman" w:cs="Times New Roman" w:eastAsia="Times New Roman" w:hAnsi="Times New Roman"/>
                <w:sz w:val="14"/>
                <w:szCs w:val="14"/>
                <w:b w:val="1"/>
                <w:bCs w:val="1"/>
                <w:color w:val="auto"/>
              </w:rPr>
              <w:t>Interest Rate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/Maturity</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Advanced Lighting Technologies,</w:t>
            </w:r>
          </w:p>
        </w:tc>
        <w:tc>
          <w:tcPr>
            <w:tcW w:w="246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Junior Secured Loan — Second</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8"/>
                <w:szCs w:val="8"/>
                <w:color w:val="auto"/>
              </w:rPr>
              <w:t>(8)(14)</w:t>
            </w:r>
          </w:p>
        </w:tc>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Lien Notes 8.7% Cash, 10.0% PIK,</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Consumer goods: Durable</w:t>
            </w:r>
          </w:p>
        </w:tc>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 month LIBOR (1.70%) + 17.00%;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889,340</w:t>
            </w:r>
          </w:p>
        </w:tc>
        <w:tc>
          <w:tcPr>
            <w:tcW w:w="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889,338</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803,598</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LIBOR Floor 1.00%, Due 10/23</w:t>
            </w:r>
          </w:p>
        </w:tc>
        <w:tc>
          <w:tcPr>
            <w:tcW w:w="18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Advantage Sales &amp; Marketing</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8"/>
                <w:szCs w:val="8"/>
                <w:color w:val="auto"/>
              </w:rPr>
              <w:t>(8)(14)</w:t>
            </w:r>
          </w:p>
        </w:tc>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 Lien) 7.9% Cash, 3 month</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Services: Business</w:t>
            </w: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LIBOR (1.38%) + 6.50%; LIBOR</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1,000,000</w:t>
            </w:r>
          </w:p>
        </w:tc>
        <w:tc>
          <w:tcPr>
            <w:tcW w:w="2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1,001,438</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988,000</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1.00%, Due 7/22</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API Technologies Corp.</w:t>
            </w:r>
            <w:r>
              <w:rPr>
                <w:rFonts w:ascii="Times New Roman" w:cs="Times New Roman" w:eastAsia="Times New Roman" w:hAnsi="Times New Roman"/>
                <w:sz w:val="18"/>
                <w:szCs w:val="18"/>
                <w:color w:val="auto"/>
                <w:vertAlign w:val="superscript"/>
              </w:rPr>
              <w:t>(8)</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8.2% Cash, 3 month LIBOR</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(1.69%) + 6.50%; LIBOR Floor</w:t>
            </w: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3,080,305</w:t>
            </w: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3,110,759</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3,111,108</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Due 4/22</w:t>
            </w: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line="162" w:lineRule="exact"/>
              <w:rPr>
                <w:sz w:val="20"/>
                <w:szCs w:val="20"/>
                <w:color w:val="auto"/>
              </w:rPr>
            </w:pPr>
            <w:r>
              <w:rPr>
                <w:rFonts w:ascii="Times New Roman" w:cs="Times New Roman" w:eastAsia="Times New Roman" w:hAnsi="Times New Roman"/>
                <w:sz w:val="13"/>
                <w:szCs w:val="13"/>
                <w:color w:val="auto"/>
              </w:rPr>
              <w:t>Avalign Technologies, Inc.</w:t>
            </w:r>
            <w:r>
              <w:rPr>
                <w:rFonts w:ascii="Times New Roman" w:cs="Times New Roman" w:eastAsia="Times New Roman" w:hAnsi="Times New Roman"/>
                <w:sz w:val="18"/>
                <w:szCs w:val="18"/>
                <w:color w:val="auto"/>
                <w:vertAlign w:val="superscript"/>
              </w:rPr>
              <w:t>(8)</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 (First Lien) 6.1% Cash,</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1 month LIBOR (1.57%) + 4.50%;</w:t>
            </w:r>
          </w:p>
        </w:tc>
        <w:tc>
          <w:tcPr>
            <w:tcW w:w="18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1,065,342</w:t>
            </w:r>
          </w:p>
        </w:tc>
        <w:tc>
          <w:tcPr>
            <w:tcW w:w="24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1,062,983</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1,054,689</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LIBOR Floor 1.00%, Due 7/21</w:t>
            </w: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Avalign Technologies, Inc.</w:t>
            </w:r>
            <w:r>
              <w:rPr>
                <w:rFonts w:ascii="Times New Roman" w:cs="Times New Roman" w:eastAsia="Times New Roman" w:hAnsi="Times New Roman"/>
                <w:sz w:val="18"/>
                <w:szCs w:val="18"/>
                <w:color w:val="auto"/>
                <w:vertAlign w:val="superscript"/>
              </w:rPr>
              <w:t>(8)(14)</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(Second Lien) 9.7% Cash,</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6 month LIBOR (1.46%) + 8.25%;</w:t>
            </w: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1,500,000</w:t>
            </w: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1,488,964</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1,467,300</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LIBOR Floor 1.00%, Due 7/22</w:t>
            </w: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BMC Acquisition, Inc. (aka</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1"/>
                <w:szCs w:val="11"/>
                <w:color w:val="auto"/>
              </w:rPr>
              <w:t>BenefitMall)</w:t>
            </w:r>
            <w:r>
              <w:rPr>
                <w:rFonts w:ascii="Times New Roman" w:cs="Times New Roman" w:eastAsia="Times New Roman" w:hAnsi="Times New Roman"/>
                <w:sz w:val="15"/>
                <w:szCs w:val="15"/>
                <w:color w:val="auto"/>
                <w:vertAlign w:val="superscript"/>
              </w:rPr>
              <w:t>(8)(14)</w:t>
            </w:r>
          </w:p>
        </w:tc>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Loan 7.0% Cash, 3 month LIBOR</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Banking, Finance, Insurance &amp; Real</w:t>
            </w:r>
          </w:p>
        </w:tc>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(1.84%) + 5.17%; LIBOR Floor</w:t>
            </w:r>
          </w:p>
        </w:tc>
        <w:tc>
          <w:tcPr>
            <w:tcW w:w="18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3,000,000</w:t>
            </w:r>
          </w:p>
        </w:tc>
        <w:tc>
          <w:tcPr>
            <w:tcW w:w="240" w:type="dxa"/>
            <w:vAlign w:val="bottom"/>
          </w:tcPr>
          <w:p>
            <w:pPr>
              <w:spacing w:after="0"/>
              <w:rPr>
                <w:sz w:val="11"/>
                <w:szCs w:val="11"/>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2,998,125</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2,970,000</w:t>
            </w:r>
          </w:p>
        </w:tc>
        <w:tc>
          <w:tcPr>
            <w:tcW w:w="0" w:type="dxa"/>
            <w:vAlign w:val="bottom"/>
          </w:tcPr>
          <w:p>
            <w:pPr>
              <w:spacing w:after="0"/>
              <w:rPr>
                <w:sz w:val="1"/>
                <w:szCs w:val="1"/>
                <w:color w:val="auto"/>
              </w:rPr>
            </w:pPr>
          </w:p>
        </w:tc>
      </w:tr>
      <w:tr>
        <w:trPr>
          <w:trHeight w:val="189"/>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Estate</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 Due 12/24</w:t>
            </w: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Carolina Beverage Group LLC</w:t>
            </w:r>
            <w:r>
              <w:rPr>
                <w:rFonts w:ascii="Times New Roman" w:cs="Times New Roman" w:eastAsia="Times New Roman" w:hAnsi="Times New Roman"/>
                <w:sz w:val="18"/>
                <w:szCs w:val="18"/>
                <w:color w:val="auto"/>
                <w:vertAlign w:val="superscript"/>
              </w:rPr>
              <w:t>(8)(14)</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Bond — 10.625% –</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Beverage, Food and Tobacco</w:t>
            </w:r>
          </w:p>
        </w:tc>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08/2018 – 143818AA0 144A 10.6%</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1,500,000</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1,502,374</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1,518,750</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8/18</w:t>
            </w: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CSM Bakery Solutions Limited (fka</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1"/>
                <w:szCs w:val="11"/>
                <w:color w:val="auto"/>
              </w:rPr>
              <w:t>CSM Bakery Supplies Limited)</w:t>
            </w:r>
            <w:r>
              <w:rPr>
                <w:rFonts w:ascii="Times New Roman" w:cs="Times New Roman" w:eastAsia="Times New Roman" w:hAnsi="Times New Roman"/>
                <w:sz w:val="15"/>
                <w:szCs w:val="15"/>
                <w:color w:val="auto"/>
                <w:vertAlign w:val="superscript"/>
              </w:rPr>
              <w:t>(8)(14)</w:t>
            </w:r>
          </w:p>
        </w:tc>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 Lien) 9.1% Cash, 3 month</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Beverage, Food and Tobacco</w:t>
            </w: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LIBOR (1.33%) + 7.75%; LIBOR</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3,000,000</w:t>
            </w:r>
          </w:p>
        </w:tc>
        <w:tc>
          <w:tcPr>
            <w:tcW w:w="2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3,008,816</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2,914,800</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1.00%, Due 7/21</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DigiCert, Inc.</w:t>
            </w:r>
            <w:r>
              <w:rPr>
                <w:rFonts w:ascii="Times New Roman" w:cs="Times New Roman" w:eastAsia="Times New Roman" w:hAnsi="Times New Roman"/>
                <w:sz w:val="18"/>
                <w:szCs w:val="18"/>
                <w:color w:val="auto"/>
                <w:vertAlign w:val="superscript"/>
              </w:rPr>
              <w:t>(8)</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Secured Loan — Initial Loan</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(Second Lien) 9.4% Cash, 3 month</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LIBOR (1.38%) + 8.00%; LIBOR</w:t>
            </w: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1,000,000</w:t>
            </w: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995,059</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979,100</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1.00%, Due 10/25</w:t>
            </w: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line="162" w:lineRule="exact"/>
              <w:rPr>
                <w:sz w:val="20"/>
                <w:szCs w:val="20"/>
                <w:color w:val="auto"/>
              </w:rPr>
            </w:pPr>
            <w:r>
              <w:rPr>
                <w:rFonts w:ascii="Times New Roman" w:cs="Times New Roman" w:eastAsia="Times New Roman" w:hAnsi="Times New Roman"/>
                <w:sz w:val="13"/>
                <w:szCs w:val="13"/>
                <w:color w:val="auto"/>
              </w:rPr>
              <w:t>Drew Marine Group Inc.</w:t>
            </w:r>
            <w:r>
              <w:rPr>
                <w:rFonts w:ascii="Times New Roman" w:cs="Times New Roman" w:eastAsia="Times New Roman" w:hAnsi="Times New Roman"/>
                <w:sz w:val="18"/>
                <w:szCs w:val="18"/>
                <w:color w:val="auto"/>
                <w:vertAlign w:val="superscript"/>
              </w:rPr>
              <w:t>(8)</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Transportation: Cargo</w:t>
            </w: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(Second Lien) 8.6% Cash, 1 month</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LIBOR (1.57%) + 7.00%; LIBOR</w:t>
            </w:r>
          </w:p>
        </w:tc>
        <w:tc>
          <w:tcPr>
            <w:tcW w:w="18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4,000,000</w:t>
            </w:r>
          </w:p>
        </w:tc>
        <w:tc>
          <w:tcPr>
            <w:tcW w:w="24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4,000,901</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4,010,000</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1.00%, Due 5/21</w:t>
            </w: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EagleTree-Carbide Acquisition Corp.</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(aka Corsair Components,</w:t>
            </w:r>
          </w:p>
        </w:tc>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(Second Lien) 10.2% Cash, 3 month</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8"/>
                <w:szCs w:val="8"/>
                <w:color w:val="auto"/>
              </w:rPr>
              <w:t>(8)(14)</w:t>
            </w:r>
          </w:p>
        </w:tc>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LIBOR (1.69%) + 8.50%; LIBOR</w:t>
            </w: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5,000,000</w:t>
            </w: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4,927,010</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4,997,500</w:t>
            </w:r>
          </w:p>
        </w:tc>
        <w:tc>
          <w:tcPr>
            <w:tcW w:w="0" w:type="dxa"/>
            <w:vAlign w:val="bottom"/>
          </w:tcPr>
          <w:p>
            <w:pPr>
              <w:spacing w:after="0"/>
              <w:rPr>
                <w:sz w:val="1"/>
                <w:szCs w:val="1"/>
                <w:color w:val="auto"/>
              </w:rPr>
            </w:pPr>
          </w:p>
        </w:tc>
      </w:tr>
      <w:tr>
        <w:trPr>
          <w:trHeight w:val="189"/>
        </w:trPr>
        <w:tc>
          <w:tcPr>
            <w:tcW w:w="2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High Tech Industries</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1.00%, Due 8/25</w:t>
            </w: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American Payment Systems,</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1"/>
                <w:szCs w:val="11"/>
                <w:color w:val="auto"/>
              </w:rPr>
              <w:t>L.P.</w:t>
            </w:r>
            <w:r>
              <w:rPr>
                <w:rFonts w:ascii="Times New Roman" w:cs="Times New Roman" w:eastAsia="Times New Roman" w:hAnsi="Times New Roman"/>
                <w:sz w:val="15"/>
                <w:szCs w:val="15"/>
                <w:color w:val="auto"/>
                <w:vertAlign w:val="superscript"/>
              </w:rPr>
              <w:t>(8)</w:t>
            </w:r>
          </w:p>
        </w:tc>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 Lien) 11.9% Cash, 1 month</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Banking, Finance, Insurance &amp; Real</w:t>
            </w:r>
          </w:p>
        </w:tc>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LIBOR (1.39%) + 10.50%; LIBOR</w:t>
            </w:r>
          </w:p>
        </w:tc>
        <w:tc>
          <w:tcPr>
            <w:tcW w:w="18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1,500,000</w:t>
            </w:r>
          </w:p>
        </w:tc>
        <w:tc>
          <w:tcPr>
            <w:tcW w:w="240" w:type="dxa"/>
            <w:vAlign w:val="bottom"/>
          </w:tcPr>
          <w:p>
            <w:pPr>
              <w:spacing w:after="0"/>
              <w:rPr>
                <w:sz w:val="11"/>
                <w:szCs w:val="11"/>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1,460,837</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1,448,400</w:t>
            </w:r>
          </w:p>
        </w:tc>
        <w:tc>
          <w:tcPr>
            <w:tcW w:w="0" w:type="dxa"/>
            <w:vAlign w:val="bottom"/>
          </w:tcPr>
          <w:p>
            <w:pPr>
              <w:spacing w:after="0"/>
              <w:rPr>
                <w:sz w:val="1"/>
                <w:szCs w:val="1"/>
                <w:color w:val="auto"/>
              </w:rPr>
            </w:pPr>
          </w:p>
        </w:tc>
      </w:tr>
      <w:tr>
        <w:trPr>
          <w:trHeight w:val="189"/>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Estate</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1.00%, Due 7/24</w:t>
            </w: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Flexera Software LLC (fka Flexera</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Software, Inc.)</w:t>
            </w:r>
            <w:r>
              <w:rPr>
                <w:rFonts w:ascii="Times New Roman" w:cs="Times New Roman" w:eastAsia="Times New Roman" w:hAnsi="Times New Roman"/>
                <w:sz w:val="15"/>
                <w:szCs w:val="15"/>
                <w:color w:val="auto"/>
                <w:vertAlign w:val="superscript"/>
              </w:rPr>
              <w:t>(8)</w:t>
            </w:r>
          </w:p>
        </w:tc>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 Lien) 5.1% Cash, 1 month</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LIBOR (1.57%) + 3.50%; LIBOR</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2,000,000</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1,995,443</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1.00%, Due 4/20</w:t>
            </w: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line="162" w:lineRule="exact"/>
              <w:rPr>
                <w:sz w:val="20"/>
                <w:szCs w:val="20"/>
                <w:color w:val="auto"/>
              </w:rPr>
            </w:pPr>
            <w:r>
              <w:rPr>
                <w:rFonts w:ascii="Times New Roman" w:cs="Times New Roman" w:eastAsia="Times New Roman" w:hAnsi="Times New Roman"/>
                <w:sz w:val="13"/>
                <w:szCs w:val="13"/>
                <w:color w:val="auto"/>
              </w:rPr>
              <w:t>GI Advo Opco, LLC</w:t>
            </w:r>
            <w:r>
              <w:rPr>
                <w:rFonts w:ascii="Times New Roman" w:cs="Times New Roman" w:eastAsia="Times New Roman" w:hAnsi="Times New Roman"/>
                <w:sz w:val="18"/>
                <w:szCs w:val="18"/>
                <w:color w:val="auto"/>
                <w:vertAlign w:val="superscript"/>
              </w:rPr>
              <w:t>(8)</w:t>
            </w: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6.2% Cash, 3 month LIBOR (1.69%)</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+ 4.50%; LIBOR Floor 1.00%, Due</w:t>
            </w:r>
          </w:p>
        </w:tc>
        <w:tc>
          <w:tcPr>
            <w:tcW w:w="18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230,756</w:t>
            </w:r>
          </w:p>
        </w:tc>
        <w:tc>
          <w:tcPr>
            <w:tcW w:w="24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229,252</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230,732</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11/21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GK Holdings, Inc. (aka Global</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Knowledge)</w:t>
            </w:r>
            <w:r>
              <w:rPr>
                <w:rFonts w:ascii="Times New Roman" w:cs="Times New Roman" w:eastAsia="Times New Roman" w:hAnsi="Times New Roman"/>
                <w:sz w:val="15"/>
                <w:szCs w:val="15"/>
                <w:color w:val="auto"/>
                <w:vertAlign w:val="superscript"/>
              </w:rPr>
              <w:t>(8)</w:t>
            </w:r>
          </w:p>
        </w:tc>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Loan (Second Lien) 11.9% Cash,</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Services: Business</w:t>
            </w:r>
          </w:p>
        </w:tc>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 month LIBOR (1.69%) + 10.25%;</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1,500,000</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1,482,520</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1,376,400</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LIBOR Floor 1.00%, Due 1/22</w:t>
            </w: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-5865495</wp:posOffset>
            </wp:positionV>
            <wp:extent cx="137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-5865495</wp:posOffset>
            </wp:positionV>
            <wp:extent cx="1371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-5865495</wp:posOffset>
            </wp:positionV>
            <wp:extent cx="1371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-5865495</wp:posOffset>
            </wp:positionV>
            <wp:extent cx="1289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Global Tel*Link Corporation</w:t>
      </w:r>
      <w:r>
        <w:rPr>
          <w:rFonts w:ascii="Times New Roman" w:cs="Times New Roman" w:eastAsia="Times New Roman" w:hAnsi="Times New Roman"/>
          <w:sz w:val="21"/>
          <w:szCs w:val="21"/>
          <w:color w:val="auto"/>
          <w:vertAlign w:val="superscript"/>
        </w:rPr>
        <w:t>(8)</w:t>
      </w:r>
    </w:p>
    <w:p>
      <w:pPr>
        <w:ind w:left="1440"/>
        <w:spacing w:after="0"/>
        <w:rPr>
          <w:sz w:val="20"/>
          <w:szCs w:val="20"/>
          <w:color w:val="auto"/>
        </w:rPr>
      </w:pPr>
      <w:r>
        <w:rPr>
          <w:rFonts w:ascii="Times New Roman" w:cs="Times New Roman" w:eastAsia="Times New Roman" w:hAnsi="Times New Roman"/>
          <w:sz w:val="14"/>
          <w:szCs w:val="14"/>
          <w:color w:val="auto"/>
        </w:rPr>
        <w:t>Telecommunications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Global Tel*Link Corporation</w:t>
      </w:r>
      <w:r>
        <w:rPr>
          <w:rFonts w:ascii="Times New Roman" w:cs="Times New Roman" w:eastAsia="Times New Roman" w:hAnsi="Times New Roman"/>
          <w:sz w:val="21"/>
          <w:szCs w:val="21"/>
          <w:color w:val="auto"/>
          <w:vertAlign w:val="superscript"/>
        </w:rPr>
        <w:t>(8)(14)</w:t>
      </w:r>
    </w:p>
    <w:p>
      <w:pPr>
        <w:ind w:left="1440"/>
        <w:spacing w:after="0"/>
        <w:rPr>
          <w:sz w:val="20"/>
          <w:szCs w:val="20"/>
          <w:color w:val="auto"/>
        </w:rPr>
      </w:pPr>
      <w:r>
        <w:rPr>
          <w:rFonts w:ascii="Times New Roman" w:cs="Times New Roman" w:eastAsia="Times New Roman" w:hAnsi="Times New Roman"/>
          <w:sz w:val="14"/>
          <w:szCs w:val="14"/>
          <w:color w:val="auto"/>
        </w:rPr>
        <w:t>Telecommunications</w:t>
      </w:r>
    </w:p>
    <w:p>
      <w:pPr>
        <w:spacing w:after="0" w:line="278" w:lineRule="exact"/>
        <w:rPr>
          <w:sz w:val="20"/>
          <w:szCs w:val="20"/>
          <w:color w:val="auto"/>
        </w:rPr>
      </w:pPr>
    </w:p>
    <w:p>
      <w:pPr>
        <w:ind w:left="1440" w:right="420" w:hanging="179"/>
        <w:spacing w:after="0" w:line="211" w:lineRule="auto"/>
        <w:rPr>
          <w:sz w:val="20"/>
          <w:szCs w:val="20"/>
          <w:color w:val="auto"/>
        </w:rPr>
      </w:pPr>
      <w:r>
        <w:rPr>
          <w:rFonts w:ascii="Times New Roman" w:cs="Times New Roman" w:eastAsia="Times New Roman" w:hAnsi="Times New Roman"/>
          <w:sz w:val="14"/>
          <w:szCs w:val="14"/>
          <w:color w:val="auto"/>
        </w:rPr>
        <w:t>Grupo HIMA San Pablo, Inc.</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4"/>
          <w:szCs w:val="14"/>
          <w:color w:val="auto"/>
        </w:rPr>
        <w:t xml:space="preserve"> Healthcare &amp; Pharmaceuticals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Grupo HIMA San Pablo, Inc.</w:t>
      </w:r>
      <w:r>
        <w:rPr>
          <w:rFonts w:ascii="Times New Roman" w:cs="Times New Roman" w:eastAsia="Times New Roman" w:hAnsi="Times New Roman"/>
          <w:sz w:val="21"/>
          <w:szCs w:val="21"/>
          <w:color w:val="auto"/>
          <w:vertAlign w:val="superscript"/>
        </w:rPr>
        <w:t>(8)(14)</w:t>
      </w:r>
    </w:p>
    <w:p>
      <w:pPr>
        <w:ind w:left="1440"/>
        <w:spacing w:after="0"/>
        <w:rPr>
          <w:sz w:val="20"/>
          <w:szCs w:val="20"/>
          <w:color w:val="auto"/>
        </w:rPr>
      </w:pPr>
      <w:r>
        <w:rPr>
          <w:rFonts w:ascii="Times New Roman" w:cs="Times New Roman" w:eastAsia="Times New Roman" w:hAnsi="Times New Roman"/>
          <w:sz w:val="14"/>
          <w:szCs w:val="14"/>
          <w:color w:val="auto"/>
        </w:rPr>
        <w:t>Healthcare &amp; Pharmaceuticals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r>
              <w:rPr>
                <w:rFonts w:ascii="Times New Roman" w:cs="Times New Roman" w:eastAsia="Times New Roman" w:hAnsi="Times New Roman"/>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auto"/>
            </w:tcBorders>
          </w:tcPr>
          <w:p>
            <w:pPr>
              <w:ind w:left="360"/>
              <w:spacing w:after="0" w:line="230" w:lineRule="exact"/>
              <w:rPr>
                <w:sz w:val="20"/>
                <w:szCs w:val="20"/>
                <w:color w:val="auto"/>
              </w:rPr>
            </w:pPr>
            <w:r>
              <w:rPr>
                <w:rFonts w:ascii="Times New Roman" w:cs="Times New Roman" w:eastAsia="Times New Roman" w:hAnsi="Times New Roman"/>
                <w:sz w:val="14"/>
                <w:szCs w:val="14"/>
                <w:b w:val="1"/>
                <w:bCs w:val="1"/>
                <w:color w:val="auto"/>
              </w:rPr>
              <w:t>Interest Rate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9"/>
                <w:szCs w:val="19"/>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Senior Secured Loan — Term Loan</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 Lien) 5.7% Cash, 3 month</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LIBOR (1.69%) + 4.00%; LIBOR</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1,495,689</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1,492,021</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$1,491,949</w:t>
            </w:r>
          </w:p>
        </w:tc>
        <w:tc>
          <w:tcPr>
            <w:tcW w:w="0" w:type="dxa"/>
            <w:vAlign w:val="bottom"/>
          </w:tcPr>
          <w:p>
            <w:pPr>
              <w:spacing w:after="0"/>
              <w:rPr>
                <w:sz w:val="1"/>
                <w:szCs w:val="1"/>
                <w:color w:val="auto"/>
              </w:rPr>
            </w:pPr>
          </w:p>
        </w:tc>
      </w:tr>
      <w:tr>
        <w:trPr>
          <w:trHeight w:val="188"/>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1.25%, Due 5/20</w:t>
            </w:r>
          </w:p>
        </w:tc>
        <w:tc>
          <w:tcPr>
            <w:tcW w:w="11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 Lien) 9.9% Cash, 3 month</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LIBOR (1.69%) + 8.25%; LIBOR</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5,000,000</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4,963,469</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4,975,000</w:t>
            </w:r>
          </w:p>
        </w:tc>
        <w:tc>
          <w:tcPr>
            <w:tcW w:w="0" w:type="dxa"/>
            <w:vAlign w:val="bottom"/>
          </w:tcPr>
          <w:p>
            <w:pPr>
              <w:spacing w:after="0"/>
              <w:rPr>
                <w:sz w:val="1"/>
                <w:szCs w:val="1"/>
                <w:color w:val="auto"/>
              </w:rPr>
            </w:pPr>
          </w:p>
        </w:tc>
      </w:tr>
      <w:tr>
        <w:trPr>
          <w:trHeight w:val="188"/>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1.25%, Due 11/20</w:t>
            </w:r>
          </w:p>
        </w:tc>
        <w:tc>
          <w:tcPr>
            <w:tcW w:w="11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Secured Loan — Term B</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Loan (First Lien) 8.5% Cash,</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3 month LIBOR (1.50%) + 7.00%;</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2,850,000</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2,849,063</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2,593,500</w:t>
            </w:r>
          </w:p>
        </w:tc>
        <w:tc>
          <w:tcPr>
            <w:tcW w:w="0" w:type="dxa"/>
            <w:vAlign w:val="bottom"/>
          </w:tcPr>
          <w:p>
            <w:pPr>
              <w:spacing w:after="0"/>
              <w:rPr>
                <w:sz w:val="1"/>
                <w:szCs w:val="1"/>
                <w:color w:val="auto"/>
              </w:rPr>
            </w:pPr>
          </w:p>
        </w:tc>
      </w:tr>
      <w:tr>
        <w:trPr>
          <w:trHeight w:val="188"/>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LIBOR Floor 1.50%, Due 1/18</w:t>
            </w:r>
          </w:p>
        </w:tc>
        <w:tc>
          <w:tcPr>
            <w:tcW w:w="11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7,191,667</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7,174,676</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4,566,708</w:t>
            </w:r>
          </w:p>
        </w:tc>
        <w:tc>
          <w:tcPr>
            <w:tcW w:w="0" w:type="dxa"/>
            <w:vAlign w:val="bottom"/>
          </w:tcPr>
          <w:p>
            <w:pPr>
              <w:spacing w:after="0"/>
              <w:rPr>
                <w:sz w:val="1"/>
                <w:szCs w:val="1"/>
                <w:color w:val="auto"/>
              </w:rPr>
            </w:pPr>
          </w:p>
        </w:tc>
      </w:tr>
      <w:tr>
        <w:trPr>
          <w:trHeight w:val="187"/>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Lien) 13.8% Cash, Due 7/18</w:t>
            </w:r>
          </w:p>
        </w:tc>
        <w:tc>
          <w:tcPr>
            <w:tcW w:w="11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-624205</wp:posOffset>
            </wp:positionV>
            <wp:extent cx="5213985" cy="394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3985" cy="39433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-1421765</wp:posOffset>
            </wp:positionV>
            <wp:extent cx="5213985" cy="4032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3985" cy="40322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3620" w:space="220"/>
            <w:col w:w="637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1"/>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Harland Clarke Holdings Corp. (fka</w:t>
            </w:r>
          </w:p>
        </w:tc>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Clarke American Corp.)</w:t>
            </w:r>
            <w:r>
              <w:rPr>
                <w:rFonts w:ascii="Times New Roman" w:cs="Times New Roman" w:eastAsia="Times New Roman" w:hAnsi="Times New Roman"/>
                <w:sz w:val="15"/>
                <w:szCs w:val="15"/>
                <w:color w:val="auto"/>
                <w:vertAlign w:val="superscript"/>
              </w:rPr>
              <w:t>(8)(14)</w:t>
            </w:r>
          </w:p>
        </w:tc>
        <w:tc>
          <w:tcPr>
            <w:tcW w:w="270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4"/>
                <w:szCs w:val="14"/>
                <w:color w:val="auto"/>
              </w:rPr>
              <w:t>Loan 6.4% Cash, 3 month LIBOR</w:t>
            </w:r>
          </w:p>
        </w:tc>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Media: Advertising, Printing &amp;</w:t>
            </w:r>
          </w:p>
        </w:tc>
        <w:tc>
          <w:tcPr>
            <w:tcW w:w="270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4"/>
                <w:szCs w:val="14"/>
                <w:color w:val="auto"/>
              </w:rPr>
              <w:t>(1.69%) + 4.75%; LIBOR Floor</w:t>
            </w:r>
          </w:p>
        </w:tc>
        <w:tc>
          <w:tcPr>
            <w:tcW w:w="12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2,986,482</w:t>
            </w:r>
          </w:p>
        </w:tc>
        <w:tc>
          <w:tcPr>
            <w:tcW w:w="10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3,011,321</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3,003,281</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Publishing</w:t>
            </w:r>
          </w:p>
        </w:tc>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1.00%, Due 11/23</w:t>
            </w:r>
          </w:p>
        </w:tc>
        <w:tc>
          <w:tcPr>
            <w:tcW w:w="124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19"/>
          </w:cols>
          <w:pgMar w:left="240" w:top="114" w:right="1440" w:bottom="1440" w:gutter="0" w:footer="0" w:header="0"/>
          <w:type w:val="continuous"/>
        </w:sectPr>
      </w:pPr>
    </w:p>
    <w:p>
      <w:pPr>
        <w:ind w:left="1260"/>
        <w:spacing w:after="0" w:line="200" w:lineRule="auto"/>
        <w:rPr>
          <w:sz w:val="20"/>
          <w:szCs w:val="20"/>
          <w:color w:val="auto"/>
        </w:rPr>
      </w:pPr>
      <w:r>
        <w:rPr>
          <w:rFonts w:ascii="Times New Roman" w:cs="Times New Roman" w:eastAsia="Times New Roman" w:hAnsi="Times New Roman"/>
          <w:sz w:val="13"/>
          <w:szCs w:val="13"/>
          <w:color w:val="auto"/>
        </w:rPr>
        <w:t>Hoffmaster Group, Inc.</w:t>
      </w:r>
      <w:r>
        <w:rPr>
          <w:rFonts w:ascii="Times New Roman" w:cs="Times New Roman" w:eastAsia="Times New Roman" w:hAnsi="Times New Roman"/>
          <w:sz w:val="19"/>
          <w:szCs w:val="19"/>
          <w:color w:val="auto"/>
          <w:vertAlign w:val="superscript"/>
        </w:rPr>
        <w:t>(8)(14)</w:t>
      </w:r>
    </w:p>
    <w:p>
      <w:pPr>
        <w:ind w:left="1440"/>
        <w:spacing w:after="0"/>
        <w:rPr>
          <w:sz w:val="20"/>
          <w:szCs w:val="20"/>
          <w:color w:val="auto"/>
        </w:rPr>
      </w:pPr>
      <w:r>
        <w:rPr>
          <w:rFonts w:ascii="Times New Roman" w:cs="Times New Roman" w:eastAsia="Times New Roman" w:hAnsi="Times New Roman"/>
          <w:sz w:val="14"/>
          <w:szCs w:val="14"/>
          <w:color w:val="auto"/>
        </w:rPr>
        <w:t>Forest Products &amp; Paper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Loan (Second Lien) 11.2% Cash,</w:t>
            </w:r>
          </w:p>
        </w:tc>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3 month LIBOR (1.69%) + 9.50%;</w:t>
            </w:r>
          </w:p>
        </w:tc>
        <w:tc>
          <w:tcPr>
            <w:tcW w:w="12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1,600,000</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1,558,556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1,600,960</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LIBOR Floor 1.00%, Due 11/24</w:t>
            </w:r>
          </w:p>
        </w:tc>
        <w:tc>
          <w:tcPr>
            <w:tcW w:w="12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3120" w:space="720"/>
            <w:col w:w="637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 Services Acquisition, LLC</w:t>
            </w: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1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(aka Evergreen/NAIC)</w:t>
            </w:r>
            <w:r>
              <w:rPr>
                <w:rFonts w:ascii="Times New Roman" w:cs="Times New Roman" w:eastAsia="Times New Roman" w:hAnsi="Times New Roman"/>
                <w:sz w:val="15"/>
                <w:szCs w:val="15"/>
                <w:color w:val="auto"/>
                <w:vertAlign w:val="superscript"/>
              </w:rPr>
              <w:t>(8)(14)</w:t>
            </w:r>
          </w:p>
        </w:tc>
        <w:tc>
          <w:tcPr>
            <w:tcW w:w="27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6.6% Cash, 1 month LIBOR (1.63%)</w:t>
            </w:r>
          </w:p>
        </w:tc>
        <w:tc>
          <w:tcPr>
            <w:tcW w:w="1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Environmental Industries</w:t>
            </w:r>
          </w:p>
        </w:tc>
        <w:tc>
          <w:tcPr>
            <w:tcW w:w="27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+ 5.00%; LIBOR Floor 1.00%,</w:t>
            </w:r>
          </w:p>
        </w:tc>
        <w:tc>
          <w:tcPr>
            <w:tcW w:w="12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1,167,909</w:t>
            </w:r>
          </w:p>
        </w:tc>
        <w:tc>
          <w:tcPr>
            <w:tcW w:w="10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1,173,405</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1,167,909</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Due 6/22</w:t>
            </w:r>
          </w:p>
        </w:tc>
        <w:tc>
          <w:tcPr>
            <w:tcW w:w="120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19"/>
          </w:cols>
          <w:pgMar w:left="240" w:top="114" w:right="1440" w:bottom="1440" w:gutter="0" w:footer="0" w:header="0"/>
          <w:type w:val="continuous"/>
        </w:sectPr>
      </w:pPr>
    </w:p>
    <w:p>
      <w:pPr>
        <w:ind w:left="1260"/>
        <w:spacing w:after="0" w:line="200" w:lineRule="auto"/>
        <w:rPr>
          <w:sz w:val="20"/>
          <w:szCs w:val="20"/>
          <w:color w:val="auto"/>
        </w:rPr>
      </w:pPr>
      <w:r>
        <w:rPr>
          <w:rFonts w:ascii="Times New Roman" w:cs="Times New Roman" w:eastAsia="Times New Roman" w:hAnsi="Times New Roman"/>
          <w:sz w:val="13"/>
          <w:szCs w:val="13"/>
          <w:color w:val="auto"/>
        </w:rPr>
        <w:t>Infobase Holdings, Inc.</w:t>
      </w:r>
      <w:r>
        <w:rPr>
          <w:rFonts w:ascii="Times New Roman" w:cs="Times New Roman" w:eastAsia="Times New Roman" w:hAnsi="Times New Roman"/>
          <w:sz w:val="19"/>
          <w:szCs w:val="19"/>
          <w:color w:val="auto"/>
          <w:vertAlign w:val="superscript"/>
        </w:rPr>
        <w:t>(8)(14)</w:t>
      </w:r>
    </w:p>
    <w:p>
      <w:pPr>
        <w:ind w:left="1440"/>
        <w:spacing w:after="0"/>
        <w:rPr>
          <w:sz w:val="20"/>
          <w:szCs w:val="20"/>
          <w:color w:val="auto"/>
        </w:rPr>
      </w:pPr>
      <w:r>
        <w:rPr>
          <w:rFonts w:ascii="Times New Roman" w:cs="Times New Roman" w:eastAsia="Times New Roman" w:hAnsi="Times New Roman"/>
          <w:sz w:val="14"/>
          <w:szCs w:val="14"/>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8.0% Cash, Prime LIBOR (0.00%) +</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8.00%; LIBOR Floor 0.00%, Due</w:t>
            </w:r>
          </w:p>
        </w:tc>
        <w:tc>
          <w:tcPr>
            <w:tcW w:w="12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2,000,000</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1,980,000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1,980,000</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12/22</w:t>
            </w: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3120" w:space="720"/>
            <w:col w:w="6379"/>
          </w:cols>
          <w:pgMar w:left="24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Ivanti Software, Inc. (fka LANDesk</w:t>
            </w: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Junior Secured Loan — Loan</w:t>
            </w:r>
          </w:p>
        </w:tc>
        <w:tc>
          <w:tcPr>
            <w:tcW w:w="1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Group, Inc.)</w:t>
            </w:r>
            <w:r>
              <w:rPr>
                <w:rFonts w:ascii="Times New Roman" w:cs="Times New Roman" w:eastAsia="Times New Roman" w:hAnsi="Times New Roman"/>
                <w:sz w:val="15"/>
                <w:szCs w:val="15"/>
                <w:color w:val="auto"/>
                <w:vertAlign w:val="superscript"/>
              </w:rPr>
              <w:t>(8)</w:t>
            </w:r>
          </w:p>
        </w:tc>
        <w:tc>
          <w:tcPr>
            <w:tcW w:w="27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(Second Lien) 10.6% Cash, 1 month</w:t>
            </w:r>
          </w:p>
        </w:tc>
        <w:tc>
          <w:tcPr>
            <w:tcW w:w="1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7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LIBOR (1.57%) + 9.00%; LIBOR</w:t>
            </w:r>
          </w:p>
        </w:tc>
        <w:tc>
          <w:tcPr>
            <w:tcW w:w="12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3,228,619</w:t>
            </w:r>
          </w:p>
        </w:tc>
        <w:tc>
          <w:tcPr>
            <w:tcW w:w="10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3,228,619</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3,200,530</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Floor 1.00%, Due 1/25</w:t>
            </w:r>
          </w:p>
        </w:tc>
        <w:tc>
          <w:tcPr>
            <w:tcW w:w="120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MB Aerospace ACP Holdings II</w:t>
            </w: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Corp.</w:t>
            </w:r>
            <w:r>
              <w:rPr>
                <w:rFonts w:ascii="Times New Roman" w:cs="Times New Roman" w:eastAsia="Times New Roman" w:hAnsi="Times New Roman"/>
                <w:sz w:val="8"/>
                <w:szCs w:val="8"/>
                <w:color w:val="auto"/>
              </w:rPr>
              <w:t>(8)(14)</w:t>
            </w:r>
          </w:p>
        </w:tc>
        <w:tc>
          <w:tcPr>
            <w:tcW w:w="27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Loan 7.1% Cash, 1 month LIBOR</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27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(1.63%) + 5.50%; LIBOR Floor</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980,000</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981,158</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980,000</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1.00%, Due 12/22</w:t>
            </w:r>
          </w:p>
        </w:tc>
        <w:tc>
          <w:tcPr>
            <w:tcW w:w="12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MB Aerospace ACP Holdings III</w:t>
            </w: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1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Corp.</w:t>
            </w:r>
            <w:r>
              <w:rPr>
                <w:rFonts w:ascii="Times New Roman" w:cs="Times New Roman" w:eastAsia="Times New Roman" w:hAnsi="Times New Roman"/>
                <w:sz w:val="8"/>
                <w:szCs w:val="8"/>
                <w:color w:val="auto"/>
              </w:rPr>
              <w:t>(8)(14)</w:t>
            </w:r>
          </w:p>
        </w:tc>
        <w:tc>
          <w:tcPr>
            <w:tcW w:w="27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5.1% Cash, 1 month LIBOR (1.58%)</w:t>
            </w:r>
          </w:p>
        </w:tc>
        <w:tc>
          <w:tcPr>
            <w:tcW w:w="1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27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+ 3.50%; LIBOR Floor 1.00%, Due</w:t>
            </w:r>
          </w:p>
        </w:tc>
        <w:tc>
          <w:tcPr>
            <w:tcW w:w="12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1,250,000</w:t>
            </w:r>
          </w:p>
        </w:tc>
        <w:tc>
          <w:tcPr>
            <w:tcW w:w="10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1,243,750</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1,243,750</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1/25</w:t>
            </w:r>
          </w:p>
        </w:tc>
        <w:tc>
          <w:tcPr>
            <w:tcW w:w="120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National Home Health Care</w:t>
            </w: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80"/>
              <w:spacing w:after="0" w:line="135" w:lineRule="exact"/>
              <w:rPr>
                <w:sz w:val="20"/>
                <w:szCs w:val="20"/>
                <w:color w:val="auto"/>
              </w:rPr>
            </w:pPr>
            <w:r>
              <w:rPr>
                <w:rFonts w:ascii="Times New Roman" w:cs="Times New Roman" w:eastAsia="Times New Roman" w:hAnsi="Times New Roman"/>
                <w:sz w:val="15"/>
                <w:szCs w:val="15"/>
                <w:color w:val="auto"/>
                <w:vertAlign w:val="subscript"/>
              </w:rPr>
              <w:t>Corp.</w:t>
            </w:r>
            <w:r>
              <w:rPr>
                <w:rFonts w:ascii="Times New Roman" w:cs="Times New Roman" w:eastAsia="Times New Roman" w:hAnsi="Times New Roman"/>
                <w:sz w:val="8"/>
                <w:szCs w:val="8"/>
                <w:color w:val="auto"/>
              </w:rPr>
              <w:t>(8)(14)</w:t>
            </w:r>
          </w:p>
        </w:tc>
        <w:tc>
          <w:tcPr>
            <w:tcW w:w="27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(Second Lien) 10.4% Cash, 1 month</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7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LIBOR (1.43%) + 9.00%; LIBOR</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1,500,728</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1,482,044</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1,458,257</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Floor 1.00%, Due 12/22</w:t>
            </w:r>
          </w:p>
        </w:tc>
        <w:tc>
          <w:tcPr>
            <w:tcW w:w="12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Onex Carestream Finance LP</w:t>
            </w:r>
            <w:r>
              <w:rPr>
                <w:rFonts w:ascii="Times New Roman" w:cs="Times New Roman" w:eastAsia="Times New Roman" w:hAnsi="Times New Roman"/>
                <w:sz w:val="18"/>
                <w:szCs w:val="18"/>
                <w:color w:val="auto"/>
                <w:vertAlign w:val="superscript"/>
              </w:rPr>
              <w:t>(8)</w:t>
            </w: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27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(Second Lien) 10.2% Cash, 3 month</w:t>
            </w:r>
          </w:p>
        </w:tc>
        <w:tc>
          <w:tcPr>
            <w:tcW w:w="1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spacing w:after="0"/>
              <w:rPr>
                <w:sz w:val="10"/>
                <w:szCs w:val="10"/>
                <w:color w:val="auto"/>
              </w:rPr>
            </w:pPr>
          </w:p>
        </w:tc>
        <w:tc>
          <w:tcPr>
            <w:tcW w:w="272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4"/>
                <w:szCs w:val="14"/>
                <w:color w:val="auto"/>
              </w:rPr>
              <w:t>LIBOR (1.69%) + 8.50%; LIBOR</w:t>
            </w:r>
          </w:p>
        </w:tc>
        <w:tc>
          <w:tcPr>
            <w:tcW w:w="12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1,495,995</w:t>
            </w:r>
          </w:p>
        </w:tc>
        <w:tc>
          <w:tcPr>
            <w:tcW w:w="10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1,495,995</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1,487,618</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Floor 1.00%, Due 12/19</w:t>
            </w:r>
          </w:p>
        </w:tc>
        <w:tc>
          <w:tcPr>
            <w:tcW w:w="12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Playpower, Inc.</w:t>
            </w:r>
            <w:r>
              <w:rPr>
                <w:rFonts w:ascii="Times New Roman" w:cs="Times New Roman" w:eastAsia="Times New Roman" w:hAnsi="Times New Roman"/>
                <w:sz w:val="18"/>
                <w:szCs w:val="18"/>
                <w:color w:val="auto"/>
                <w:vertAlign w:val="superscript"/>
              </w:rPr>
              <w:t>(8)(14)</w:t>
            </w: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Construction &amp; Building</w:t>
            </w:r>
          </w:p>
        </w:tc>
        <w:tc>
          <w:tcPr>
            <w:tcW w:w="27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Loan (First Lien) 6.4% Cash, 3</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2720" w:type="dxa"/>
            <w:vAlign w:val="bottom"/>
          </w:tcPr>
          <w:p>
            <w:pPr>
              <w:ind w:left="220"/>
              <w:spacing w:after="0" w:line="122" w:lineRule="exact"/>
              <w:rPr>
                <w:sz w:val="20"/>
                <w:szCs w:val="20"/>
                <w:color w:val="auto"/>
              </w:rPr>
            </w:pPr>
            <w:r>
              <w:rPr>
                <w:rFonts w:ascii="Times New Roman" w:cs="Times New Roman" w:eastAsia="Times New Roman" w:hAnsi="Times New Roman"/>
                <w:sz w:val="14"/>
                <w:szCs w:val="14"/>
                <w:color w:val="auto"/>
              </w:rPr>
              <w:t>month LIBOR (1.69%) + 4.75%;</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994,898</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1,004,093</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999,872</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LIBOR Floor 1.00%, Due 6/21</w:t>
            </w:r>
          </w:p>
        </w:tc>
        <w:tc>
          <w:tcPr>
            <w:tcW w:w="1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PSC Industrial Holdings Corp.</w:t>
            </w:r>
            <w:r>
              <w:rPr>
                <w:rFonts w:ascii="Times New Roman" w:cs="Times New Roman" w:eastAsia="Times New Roman" w:hAnsi="Times New Roman"/>
                <w:sz w:val="18"/>
                <w:szCs w:val="18"/>
                <w:color w:val="auto"/>
                <w:vertAlign w:val="superscript"/>
              </w:rPr>
              <w:t>(8)(14)</w:t>
            </w: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1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Environmental Industries</w:t>
            </w:r>
          </w:p>
        </w:tc>
        <w:tc>
          <w:tcPr>
            <w:tcW w:w="27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Loan (Second Lien) 10.0% Cash,</w:t>
            </w:r>
          </w:p>
        </w:tc>
        <w:tc>
          <w:tcPr>
            <w:tcW w:w="1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spacing w:after="0"/>
              <w:rPr>
                <w:sz w:val="10"/>
                <w:szCs w:val="10"/>
                <w:color w:val="auto"/>
              </w:rPr>
            </w:pPr>
          </w:p>
        </w:tc>
        <w:tc>
          <w:tcPr>
            <w:tcW w:w="272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4"/>
                <w:szCs w:val="14"/>
                <w:color w:val="auto"/>
              </w:rPr>
              <w:t>1 month LIBOR (1.46%) + 8.50%;</w:t>
            </w:r>
          </w:p>
        </w:tc>
        <w:tc>
          <w:tcPr>
            <w:tcW w:w="12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3,000,000</w:t>
            </w:r>
          </w:p>
        </w:tc>
        <w:tc>
          <w:tcPr>
            <w:tcW w:w="10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2,941,524</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2,940,000</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LIBOR Floor 1.00%, Due 10/25</w:t>
            </w:r>
          </w:p>
        </w:tc>
        <w:tc>
          <w:tcPr>
            <w:tcW w:w="12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RESIC Enterprises, LLC (aka Lyons</w:t>
            </w: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80"/>
              <w:spacing w:after="0" w:line="135" w:lineRule="exact"/>
              <w:rPr>
                <w:sz w:val="20"/>
                <w:szCs w:val="20"/>
                <w:color w:val="auto"/>
              </w:rPr>
            </w:pPr>
            <w:r>
              <w:rPr>
                <w:rFonts w:ascii="Times New Roman" w:cs="Times New Roman" w:eastAsia="Times New Roman" w:hAnsi="Times New Roman"/>
                <w:sz w:val="11"/>
                <w:szCs w:val="11"/>
                <w:color w:val="auto"/>
              </w:rPr>
              <w:t>Magnus)</w:t>
            </w:r>
            <w:r>
              <w:rPr>
                <w:rFonts w:ascii="Times New Roman" w:cs="Times New Roman" w:eastAsia="Times New Roman" w:hAnsi="Times New Roman"/>
                <w:sz w:val="15"/>
                <w:szCs w:val="15"/>
                <w:color w:val="auto"/>
                <w:vertAlign w:val="superscript"/>
              </w:rPr>
              <w:t>(8)</w:t>
            </w:r>
          </w:p>
        </w:tc>
        <w:tc>
          <w:tcPr>
            <w:tcW w:w="27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Loan (First Lien) 5.7% Cash, 1</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Beverage, Food and Tobacco</w:t>
            </w:r>
          </w:p>
        </w:tc>
        <w:tc>
          <w:tcPr>
            <w:tcW w:w="27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month LIBOR (1.43%) + 4.25%;</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3,000,000</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2,985,247</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3,001,500</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LIBOR Floor 1.00%, Due 11/24</w:t>
            </w:r>
          </w:p>
        </w:tc>
        <w:tc>
          <w:tcPr>
            <w:tcW w:w="12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Roscoe Medical, Inc.</w:t>
            </w:r>
            <w:r>
              <w:rPr>
                <w:rFonts w:ascii="Times New Roman" w:cs="Times New Roman" w:eastAsia="Times New Roman" w:hAnsi="Times New Roman"/>
                <w:sz w:val="20"/>
                <w:szCs w:val="20"/>
                <w:color w:val="auto"/>
                <w:vertAlign w:val="superscript"/>
              </w:rPr>
              <w:t>(8)(14)</w:t>
            </w: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12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6,700,000</w:t>
            </w:r>
          </w:p>
        </w:tc>
        <w:tc>
          <w:tcPr>
            <w:tcW w:w="10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6,678,900</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6,468,850</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(Second Lien) 11.3% Cash, Due 9/19</w:t>
            </w:r>
          </w:p>
        </w:tc>
        <w:tc>
          <w:tcPr>
            <w:tcW w:w="12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Salient CRGT Inc.</w:t>
            </w:r>
            <w:r>
              <w:rPr>
                <w:rFonts w:ascii="Times New Roman" w:cs="Times New Roman" w:eastAsia="Times New Roman" w:hAnsi="Times New Roman"/>
                <w:sz w:val="18"/>
                <w:szCs w:val="18"/>
                <w:color w:val="auto"/>
                <w:vertAlign w:val="superscript"/>
              </w:rPr>
              <w:t>(8)</w:t>
            </w: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c>
          <w:tcPr>
            <w:tcW w:w="27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Loan 7.3% Cash, 1 month LIBOR</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2720" w:type="dxa"/>
            <w:vAlign w:val="bottom"/>
          </w:tcPr>
          <w:p>
            <w:pPr>
              <w:ind w:left="220"/>
              <w:spacing w:after="0" w:line="122" w:lineRule="exact"/>
              <w:rPr>
                <w:sz w:val="20"/>
                <w:szCs w:val="20"/>
                <w:color w:val="auto"/>
              </w:rPr>
            </w:pPr>
            <w:r>
              <w:rPr>
                <w:rFonts w:ascii="Times New Roman" w:cs="Times New Roman" w:eastAsia="Times New Roman" w:hAnsi="Times New Roman"/>
                <w:sz w:val="14"/>
                <w:szCs w:val="14"/>
                <w:color w:val="auto"/>
              </w:rPr>
              <w:t>(1.57%) + 5.75%; LIBOR Floor</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1,967,742</w:t>
            </w: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1,992,339</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1,992,339</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1.00%, Due 2/22</w:t>
            </w:r>
          </w:p>
        </w:tc>
        <w:tc>
          <w:tcPr>
            <w:tcW w:w="1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18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ind w:left="360"/>
              <w:spacing w:after="0" w:line="230" w:lineRule="exact"/>
              <w:rPr>
                <w:sz w:val="20"/>
                <w:szCs w:val="20"/>
                <w:color w:val="auto"/>
              </w:rPr>
            </w:pPr>
            <w:r>
              <w:rPr>
                <w:rFonts w:ascii="Times New Roman" w:cs="Times New Roman" w:eastAsia="Times New Roman" w:hAnsi="Times New Roman"/>
                <w:sz w:val="14"/>
                <w:szCs w:val="14"/>
                <w:b w:val="1"/>
                <w:bCs w:val="1"/>
                <w:color w:val="auto"/>
              </w:rPr>
              <w:t>Interest Rate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/Maturity</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SCSG EA Acquisition Company,</w:t>
            </w:r>
          </w:p>
        </w:tc>
        <w:tc>
          <w:tcPr>
            <w:tcW w:w="180" w:type="dxa"/>
            <w:vAlign w:val="bottom"/>
            <w:shd w:val="clear" w:color="auto" w:fill="CCEEFF"/>
          </w:tcPr>
          <w:p>
            <w:pPr>
              <w:spacing w:after="0"/>
              <w:rPr>
                <w:sz w:val="13"/>
                <w:szCs w:val="13"/>
                <w:color w:val="auto"/>
              </w:rPr>
            </w:pPr>
          </w:p>
        </w:tc>
        <w:tc>
          <w:tcPr>
            <w:tcW w:w="2460" w:type="dxa"/>
            <w:vAlign w:val="bottom"/>
            <w:tcBorders>
              <w:right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Senior Secured Loan — Initial Term</w:t>
            </w: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Inc.</w:t>
            </w:r>
            <w:r>
              <w:rPr>
                <w:rFonts w:ascii="Times New Roman" w:cs="Times New Roman" w:eastAsia="Times New Roman" w:hAnsi="Times New Roman"/>
                <w:sz w:val="15"/>
                <w:szCs w:val="15"/>
                <w:color w:val="auto"/>
                <w:vertAlign w:val="superscript"/>
              </w:rPr>
              <w:t>(8)</w:t>
            </w:r>
          </w:p>
        </w:tc>
        <w:tc>
          <w:tcPr>
            <w:tcW w:w="180" w:type="dxa"/>
            <w:vAlign w:val="bottom"/>
            <w:shd w:val="clear" w:color="auto" w:fill="CCEEFF"/>
          </w:tcPr>
          <w:p>
            <w:pPr>
              <w:spacing w:after="0"/>
              <w:rPr>
                <w:sz w:val="11"/>
                <w:szCs w:val="11"/>
                <w:color w:val="auto"/>
              </w:rPr>
            </w:pPr>
          </w:p>
        </w:tc>
        <w:tc>
          <w:tcPr>
            <w:tcW w:w="2460" w:type="dxa"/>
            <w:vAlign w:val="bottom"/>
            <w:tcBorders>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Loan (Second Lien) 9.7% Cash, 3</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180" w:type="dxa"/>
            <w:vAlign w:val="bottom"/>
            <w:shd w:val="clear" w:color="auto" w:fill="CCEEFF"/>
          </w:tcPr>
          <w:p>
            <w:pPr>
              <w:spacing w:after="0"/>
              <w:rPr>
                <w:sz w:val="12"/>
                <w:szCs w:val="12"/>
                <w:color w:val="auto"/>
              </w:rPr>
            </w:pPr>
          </w:p>
        </w:tc>
        <w:tc>
          <w:tcPr>
            <w:tcW w:w="246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month LIBOR (1.48%) + 8.25%;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4,952,274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4,955,000</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LIBOR Floor 1.00%, Due 9/24</w:t>
            </w:r>
          </w:p>
        </w:tc>
        <w:tc>
          <w:tcPr>
            <w:tcW w:w="80" w:type="dxa"/>
            <w:vAlign w:val="bottom"/>
            <w:vMerge w:val="continue"/>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Stafford Logistics, Inc.(dba Custom</w:t>
            </w:r>
          </w:p>
        </w:tc>
        <w:tc>
          <w:tcPr>
            <w:tcW w:w="18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180"/>
              <w:spacing w:after="0" w:line="135" w:lineRule="exact"/>
              <w:rPr>
                <w:sz w:val="20"/>
                <w:szCs w:val="20"/>
                <w:color w:val="auto"/>
              </w:rPr>
            </w:pPr>
            <w:r>
              <w:rPr>
                <w:rFonts w:ascii="Times New Roman" w:cs="Times New Roman" w:eastAsia="Times New Roman" w:hAnsi="Times New Roman"/>
                <w:sz w:val="11"/>
                <w:szCs w:val="11"/>
                <w:color w:val="auto"/>
              </w:rPr>
              <w:t>Ecology, Inc.)</w:t>
            </w:r>
            <w:r>
              <w:rPr>
                <w:rFonts w:ascii="Times New Roman" w:cs="Times New Roman" w:eastAsia="Times New Roman" w:hAnsi="Times New Roman"/>
                <w:sz w:val="15"/>
                <w:szCs w:val="15"/>
                <w:color w:val="auto"/>
                <w:vertAlign w:val="superscript"/>
              </w:rPr>
              <w:t>(8)(13)(14)</w:t>
            </w:r>
          </w:p>
        </w:tc>
        <w:tc>
          <w:tcPr>
            <w:tcW w:w="180" w:type="dxa"/>
            <w:vAlign w:val="bottom"/>
          </w:tcPr>
          <w:p>
            <w:pPr>
              <w:spacing w:after="0"/>
              <w:rPr>
                <w:sz w:val="11"/>
                <w:szCs w:val="11"/>
                <w:color w:val="auto"/>
              </w:rPr>
            </w:pPr>
          </w:p>
        </w:tc>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Restructured Term Loan 8.2% Cash,</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Environmental Industries</w:t>
            </w:r>
          </w:p>
        </w:tc>
        <w:tc>
          <w:tcPr>
            <w:tcW w:w="18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7.2% PIK, 3 month LIBOR (1.57%)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6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+ 6.62%; LIBOR Floor 1.00%,</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1,883,914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1,875,914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1,318,740</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10/22</w:t>
            </w: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Stafford Logistics, Inc.(dba Custom</w:t>
            </w:r>
          </w:p>
        </w:tc>
        <w:tc>
          <w:tcPr>
            <w:tcW w:w="180" w:type="dxa"/>
            <w:vAlign w:val="bottom"/>
            <w:shd w:val="clear" w:color="auto" w:fill="CCEEFF"/>
          </w:tcPr>
          <w:p>
            <w:pPr>
              <w:spacing w:after="0"/>
              <w:rPr>
                <w:sz w:val="14"/>
                <w:szCs w:val="14"/>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1"/>
                <w:szCs w:val="11"/>
                <w:color w:val="auto"/>
              </w:rPr>
              <w:t>Ecology, Inc.)</w:t>
            </w:r>
            <w:r>
              <w:rPr>
                <w:rFonts w:ascii="Times New Roman" w:cs="Times New Roman" w:eastAsia="Times New Roman" w:hAnsi="Times New Roman"/>
                <w:sz w:val="15"/>
                <w:szCs w:val="15"/>
                <w:color w:val="auto"/>
                <w:vertAlign w:val="superscript"/>
              </w:rPr>
              <w:t>(8)(14)</w:t>
            </w:r>
          </w:p>
        </w:tc>
        <w:tc>
          <w:tcPr>
            <w:tcW w:w="180" w:type="dxa"/>
            <w:vAlign w:val="bottom"/>
            <w:shd w:val="clear" w:color="auto" w:fill="CCEEFF"/>
          </w:tcPr>
          <w:p>
            <w:pPr>
              <w:spacing w:after="0"/>
              <w:rPr>
                <w:sz w:val="11"/>
                <w:szCs w:val="11"/>
                <w:color w:val="auto"/>
              </w:rPr>
            </w:pPr>
          </w:p>
        </w:tc>
        <w:tc>
          <w:tcPr>
            <w:tcW w:w="2460" w:type="dxa"/>
            <w:vAlign w:val="bottom"/>
            <w:tcBorders>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13.7% Cash, 3 month LIBOR</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Environmental Industries</w:t>
            </w:r>
          </w:p>
        </w:tc>
        <w:tc>
          <w:tcPr>
            <w:tcW w:w="180" w:type="dxa"/>
            <w:vAlign w:val="bottom"/>
            <w:shd w:val="clear" w:color="auto" w:fill="CCEEFF"/>
          </w:tcPr>
          <w:p>
            <w:pPr>
              <w:spacing w:after="0"/>
              <w:rPr>
                <w:sz w:val="12"/>
                <w:szCs w:val="12"/>
                <w:color w:val="auto"/>
              </w:rPr>
            </w:pPr>
          </w:p>
        </w:tc>
        <w:tc>
          <w:tcPr>
            <w:tcW w:w="246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(1.69%) + 12.00%; LIBOR Floor</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339,788</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339,788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339,788</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Due 10/22</w:t>
            </w: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Tank Partners Holdings, LLC</w:t>
            </w:r>
            <w:r>
              <w:rPr>
                <w:rFonts w:ascii="Times New Roman" w:cs="Times New Roman" w:eastAsia="Times New Roman" w:hAnsi="Times New Roman"/>
                <w:sz w:val="18"/>
                <w:szCs w:val="18"/>
                <w:color w:val="auto"/>
                <w:vertAlign w:val="superscript"/>
              </w:rPr>
              <w:t>(8)(13)</w:t>
            </w:r>
          </w:p>
        </w:tc>
        <w:tc>
          <w:tcPr>
            <w:tcW w:w="18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Secured Loan — Loan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Energy: Oil &amp; Gas</w:t>
            </w:r>
          </w:p>
        </w:tc>
        <w:tc>
          <w:tcPr>
            <w:tcW w:w="18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 Cash, 12.8% PIK, Base Rate</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12,739,078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12,258,031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9,153,028</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(4.25%) + 10.5%, Due 8/19</w:t>
            </w: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Tex-Tech Industries, Inc.</w:t>
            </w:r>
            <w:r>
              <w:rPr>
                <w:rFonts w:ascii="Times New Roman" w:cs="Times New Roman" w:eastAsia="Times New Roman" w:hAnsi="Times New Roman"/>
                <w:sz w:val="18"/>
                <w:szCs w:val="18"/>
                <w:color w:val="auto"/>
                <w:vertAlign w:val="superscript"/>
              </w:rPr>
              <w:t>(8)</w:t>
            </w:r>
          </w:p>
        </w:tc>
        <w:tc>
          <w:tcPr>
            <w:tcW w:w="180" w:type="dxa"/>
            <w:vAlign w:val="bottom"/>
            <w:shd w:val="clear" w:color="auto" w:fill="CCEEFF"/>
          </w:tcPr>
          <w:p>
            <w:pPr>
              <w:spacing w:after="0"/>
              <w:rPr>
                <w:sz w:val="14"/>
                <w:szCs w:val="14"/>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Textiles and Leather</w:t>
            </w:r>
          </w:p>
        </w:tc>
        <w:tc>
          <w:tcPr>
            <w:tcW w:w="180" w:type="dxa"/>
            <w:vAlign w:val="bottom"/>
            <w:shd w:val="clear" w:color="auto" w:fill="CCEEFF"/>
          </w:tcPr>
          <w:p>
            <w:pPr>
              <w:spacing w:after="0"/>
              <w:rPr>
                <w:sz w:val="12"/>
                <w:szCs w:val="12"/>
                <w:color w:val="auto"/>
              </w:rPr>
            </w:pPr>
          </w:p>
        </w:tc>
        <w:tc>
          <w:tcPr>
            <w:tcW w:w="246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(Second Lien) 10.6% Cash, 1 month</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60" w:type="dxa"/>
            <w:vAlign w:val="bottom"/>
            <w:tcBorders>
              <w:right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LIBOR (1.57%) + 9.00%; LIBOR</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8,008,000</w:t>
            </w:r>
          </w:p>
        </w:tc>
        <w:tc>
          <w:tcPr>
            <w:tcW w:w="2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7,950,994</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7,947,940</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1.00%, Due 8/24</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Time Manufacturing Acquisition,</w:t>
            </w:r>
          </w:p>
        </w:tc>
        <w:tc>
          <w:tcPr>
            <w:tcW w:w="18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180"/>
              <w:spacing w:after="0" w:line="135" w:lineRule="exact"/>
              <w:rPr>
                <w:sz w:val="20"/>
                <w:szCs w:val="20"/>
                <w:color w:val="auto"/>
              </w:rPr>
            </w:pPr>
            <w:r>
              <w:rPr>
                <w:rFonts w:ascii="Times New Roman" w:cs="Times New Roman" w:eastAsia="Times New Roman" w:hAnsi="Times New Roman"/>
                <w:sz w:val="11"/>
                <w:szCs w:val="11"/>
                <w:color w:val="auto"/>
              </w:rPr>
              <w:t>LLC</w:t>
            </w:r>
            <w:r>
              <w:rPr>
                <w:rFonts w:ascii="Times New Roman" w:cs="Times New Roman" w:eastAsia="Times New Roman" w:hAnsi="Times New Roman"/>
                <w:sz w:val="15"/>
                <w:szCs w:val="15"/>
                <w:color w:val="auto"/>
                <w:vertAlign w:val="superscript"/>
              </w:rPr>
              <w:t>(8)</w:t>
            </w:r>
          </w:p>
        </w:tc>
        <w:tc>
          <w:tcPr>
            <w:tcW w:w="180" w:type="dxa"/>
            <w:vAlign w:val="bottom"/>
          </w:tcPr>
          <w:p>
            <w:pPr>
              <w:spacing w:after="0"/>
              <w:rPr>
                <w:sz w:val="11"/>
                <w:szCs w:val="11"/>
                <w:color w:val="auto"/>
              </w:rPr>
            </w:pPr>
          </w:p>
        </w:tc>
        <w:tc>
          <w:tcPr>
            <w:tcW w:w="2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6.8% Cash, 3 month LIBOR (1.75%)</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 Equipment</w:t>
            </w:r>
          </w:p>
        </w:tc>
        <w:tc>
          <w:tcPr>
            <w:tcW w:w="18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+ 5.00%; LIBOR Floor 1.00%,</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994,987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992,633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999,962</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2/23</w:t>
            </w: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Trimaran Advisors, L.L.C.</w:t>
            </w:r>
            <w:r>
              <w:rPr>
                <w:rFonts w:ascii="Times New Roman" w:cs="Times New Roman" w:eastAsia="Times New Roman" w:hAnsi="Times New Roman"/>
                <w:sz w:val="20"/>
                <w:szCs w:val="20"/>
                <w:color w:val="auto"/>
                <w:vertAlign w:val="superscript"/>
              </w:rPr>
              <w:t>(8)(9)(14)</w:t>
            </w:r>
          </w:p>
        </w:tc>
        <w:tc>
          <w:tcPr>
            <w:tcW w:w="180" w:type="dxa"/>
            <w:vAlign w:val="bottom"/>
            <w:shd w:val="clear" w:color="auto" w:fill="CCEEFF"/>
          </w:tcPr>
          <w:p>
            <w:pPr>
              <w:spacing w:after="0"/>
              <w:rPr>
                <w:sz w:val="15"/>
                <w:szCs w:val="15"/>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Unsecured Loan — Term</w:t>
            </w: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8,359,051</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8,359,051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8,359,051</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Related Party Loan</w:t>
            </w:r>
          </w:p>
        </w:tc>
        <w:tc>
          <w:tcPr>
            <w:tcW w:w="180" w:type="dxa"/>
            <w:vAlign w:val="bottom"/>
            <w:shd w:val="clear" w:color="auto" w:fill="CCEEFF"/>
          </w:tcPr>
          <w:p>
            <w:pPr>
              <w:spacing w:after="0"/>
              <w:rPr>
                <w:sz w:val="16"/>
                <w:szCs w:val="16"/>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Series 1 10.5% Cash, Due 4/30</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Trimaran Advisors, L.L.C.</w:t>
            </w:r>
            <w:r>
              <w:rPr>
                <w:rFonts w:ascii="Times New Roman" w:cs="Times New Roman" w:eastAsia="Times New Roman" w:hAnsi="Times New Roman"/>
                <w:sz w:val="20"/>
                <w:szCs w:val="20"/>
                <w:color w:val="auto"/>
                <w:vertAlign w:val="superscript"/>
              </w:rPr>
              <w:t>(8)(9)(14)</w:t>
            </w:r>
          </w:p>
        </w:tc>
        <w:tc>
          <w:tcPr>
            <w:tcW w:w="18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Unsecured Loan — Term</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4,418,232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4,418,232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4,418,232</w:t>
            </w:r>
          </w:p>
        </w:tc>
        <w:tc>
          <w:tcPr>
            <w:tcW w:w="0" w:type="dxa"/>
            <w:vAlign w:val="bottom"/>
          </w:tcPr>
          <w:p>
            <w:pPr>
              <w:spacing w:after="0"/>
              <w:rPr>
                <w:sz w:val="1"/>
                <w:szCs w:val="1"/>
                <w:color w:val="auto"/>
              </w:rPr>
            </w:pPr>
          </w:p>
        </w:tc>
      </w:tr>
      <w:tr>
        <w:trPr>
          <w:trHeight w:val="189"/>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Related Party Loan</w:t>
            </w:r>
          </w:p>
        </w:tc>
        <w:tc>
          <w:tcPr>
            <w:tcW w:w="18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Series 2 10.5% Cash, Due 1/28</w:t>
            </w: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TronAir Parent Inc.</w:t>
            </w:r>
            <w:r>
              <w:rPr>
                <w:rFonts w:ascii="Times New Roman" w:cs="Times New Roman" w:eastAsia="Times New Roman" w:hAnsi="Times New Roman"/>
                <w:sz w:val="18"/>
                <w:szCs w:val="18"/>
                <w:color w:val="auto"/>
                <w:vertAlign w:val="superscript"/>
              </w:rPr>
              <w:t>(8)(14)</w:t>
            </w:r>
          </w:p>
        </w:tc>
        <w:tc>
          <w:tcPr>
            <w:tcW w:w="180" w:type="dxa"/>
            <w:vAlign w:val="bottom"/>
            <w:shd w:val="clear" w:color="auto" w:fill="CCEEFF"/>
          </w:tcPr>
          <w:p>
            <w:pPr>
              <w:spacing w:after="0"/>
              <w:rPr>
                <w:sz w:val="14"/>
                <w:szCs w:val="14"/>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Loan — Initial Term</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180" w:type="dxa"/>
            <w:vAlign w:val="bottom"/>
            <w:shd w:val="clear" w:color="auto" w:fill="CCEEFF"/>
          </w:tcPr>
          <w:p>
            <w:pPr>
              <w:spacing w:after="0"/>
              <w:rPr>
                <w:sz w:val="12"/>
                <w:szCs w:val="12"/>
                <w:color w:val="auto"/>
              </w:rPr>
            </w:pPr>
          </w:p>
        </w:tc>
        <w:tc>
          <w:tcPr>
            <w:tcW w:w="246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(First Lien) 6.2% Cash, 1</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60" w:type="dxa"/>
            <w:vAlign w:val="bottom"/>
            <w:tcBorders>
              <w:right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month LIBOR (1.41%) + 4.75%;</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997,475</w:t>
            </w:r>
          </w:p>
        </w:tc>
        <w:tc>
          <w:tcPr>
            <w:tcW w:w="2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994,981</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997,076</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LIBOR Floor 1.00%, Due 9/23</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TRSO I, Inc.</w:t>
            </w:r>
            <w:r>
              <w:rPr>
                <w:rFonts w:ascii="Times New Roman" w:cs="Times New Roman" w:eastAsia="Times New Roman" w:hAnsi="Times New Roman"/>
                <w:sz w:val="18"/>
                <w:szCs w:val="18"/>
                <w:color w:val="auto"/>
                <w:vertAlign w:val="superscript"/>
              </w:rPr>
              <w:t>(8)(14)</w:t>
            </w:r>
          </w:p>
        </w:tc>
        <w:tc>
          <w:tcPr>
            <w:tcW w:w="18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 Term Loan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Energy: Oil &amp; Gas</w:t>
            </w:r>
          </w:p>
        </w:tc>
        <w:tc>
          <w:tcPr>
            <w:tcW w:w="18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(Second Lien) 14.0% Cash, 3 month</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6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LIBOR (1.00%) + 13.00%; LIBOR</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994,351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1.00%, Due 12/19</w:t>
            </w: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Weiman Products, LLC</w:t>
            </w:r>
            <w:r>
              <w:rPr>
                <w:rFonts w:ascii="Times New Roman" w:cs="Times New Roman" w:eastAsia="Times New Roman" w:hAnsi="Times New Roman"/>
                <w:sz w:val="18"/>
                <w:szCs w:val="18"/>
                <w:color w:val="auto"/>
                <w:vertAlign w:val="superscript"/>
              </w:rPr>
              <w:t>(8)(14)</w:t>
            </w:r>
          </w:p>
        </w:tc>
        <w:tc>
          <w:tcPr>
            <w:tcW w:w="180" w:type="dxa"/>
            <w:vAlign w:val="bottom"/>
            <w:shd w:val="clear" w:color="auto" w:fill="CCEEFF"/>
          </w:tcPr>
          <w:p>
            <w:pPr>
              <w:spacing w:after="0"/>
              <w:rPr>
                <w:sz w:val="14"/>
                <w:szCs w:val="14"/>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Loan — Term Loan</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Consumer goods: Non-durable</w:t>
            </w:r>
          </w:p>
        </w:tc>
        <w:tc>
          <w:tcPr>
            <w:tcW w:w="180" w:type="dxa"/>
            <w:vAlign w:val="bottom"/>
            <w:shd w:val="clear" w:color="auto" w:fill="CCEEFF"/>
          </w:tcPr>
          <w:p>
            <w:pPr>
              <w:spacing w:after="0"/>
              <w:rPr>
                <w:sz w:val="12"/>
                <w:szCs w:val="12"/>
                <w:color w:val="auto"/>
              </w:rPr>
            </w:pPr>
          </w:p>
        </w:tc>
        <w:tc>
          <w:tcPr>
            <w:tcW w:w="246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(2013) 6.2% Cash, 3 month LIBOR</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60" w:type="dxa"/>
            <w:vAlign w:val="bottom"/>
            <w:tcBorders>
              <w:right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(1.69%) + 4.50%; LIBOR Floor</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694,662</w:t>
            </w:r>
          </w:p>
        </w:tc>
        <w:tc>
          <w:tcPr>
            <w:tcW w:w="2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691,234</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694,662</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Due 11/21</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WireCo WorldGroup Inc.</w:t>
            </w:r>
            <w:r>
              <w:rPr>
                <w:rFonts w:ascii="Times New Roman" w:cs="Times New Roman" w:eastAsia="Times New Roman" w:hAnsi="Times New Roman"/>
                <w:sz w:val="18"/>
                <w:szCs w:val="18"/>
                <w:color w:val="auto"/>
                <w:vertAlign w:val="superscript"/>
              </w:rPr>
              <w:t>(8)(14)</w:t>
            </w:r>
          </w:p>
        </w:tc>
        <w:tc>
          <w:tcPr>
            <w:tcW w:w="18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Junior Secured Loan — Initial Term</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 Equipment</w:t>
            </w:r>
          </w:p>
        </w:tc>
        <w:tc>
          <w:tcPr>
            <w:tcW w:w="18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 (Second Lien) 10.5% Cash, 3</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6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month LIBOR (1.48%) + 9.00%;</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2,961,988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2,991,600</w:t>
            </w: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LIBOR Floor 1.00%, Due 9/24</w:t>
            </w: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 in Debt</w:t>
            </w:r>
          </w:p>
        </w:tc>
        <w:tc>
          <w:tcPr>
            <w:tcW w:w="18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(65% of net asset value at</w:t>
            </w:r>
          </w:p>
        </w:tc>
        <w:tc>
          <w:tcPr>
            <w:tcW w:w="1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126,110,659</w:t>
            </w: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125,179,470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118,197,479</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tcBorders>
              <w:right w:val="single" w:sz="8" w:color="CCEEFF"/>
            </w:tcBorders>
            <w:vMerge w:val="continue"/>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tcBorders>
              <w:right w:val="single" w:sz="8" w:color="CCEEFF"/>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-307975</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-307975</wp:posOffset>
            </wp:positionV>
            <wp:extent cx="46482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-4733290</wp:posOffset>
            </wp:positionV>
            <wp:extent cx="137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-4733290</wp:posOffset>
            </wp:positionV>
            <wp:extent cx="12890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-4733290</wp:posOffset>
            </wp:positionV>
            <wp:extent cx="1200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-4733290</wp:posOffset>
            </wp:positionV>
            <wp:extent cx="1117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Securities Portfolio</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14"/>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22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Aerostructures Holdings L.P.</w:t>
            </w:r>
            <w:r>
              <w:rPr>
                <w:rFonts w:ascii="Times New Roman" w:cs="Times New Roman" w:eastAsia="Times New Roman" w:hAnsi="Times New Roman"/>
                <w:sz w:val="18"/>
                <w:szCs w:val="18"/>
                <w:color w:val="auto"/>
                <w:vertAlign w:val="superscript"/>
              </w:rPr>
              <w:t>(8)(14)</w:t>
            </w:r>
          </w:p>
        </w:tc>
        <w:tc>
          <w:tcPr>
            <w:tcW w:w="220" w:type="dxa"/>
            <w:vAlign w:val="bottom"/>
            <w:shd w:val="clear" w:color="auto" w:fill="CCEEFF"/>
          </w:tcPr>
          <w:p>
            <w:pPr>
              <w:spacing w:after="0"/>
              <w:rPr>
                <w:sz w:val="13"/>
                <w:szCs w:val="13"/>
                <w:color w:val="auto"/>
              </w:rPr>
            </w:pPr>
          </w:p>
        </w:tc>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 Interests</w:t>
            </w: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2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Aerospace and Defense</w:t>
            </w:r>
          </w:p>
        </w:tc>
        <w:tc>
          <w:tcPr>
            <w:tcW w:w="220" w:type="dxa"/>
            <w:vAlign w:val="bottom"/>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Aerostructures Holdings L.P.</w:t>
            </w:r>
            <w:r>
              <w:rPr>
                <w:rFonts w:ascii="Times New Roman" w:cs="Times New Roman" w:eastAsia="Times New Roman" w:hAnsi="Times New Roman"/>
                <w:sz w:val="19"/>
                <w:szCs w:val="19"/>
                <w:color w:val="auto"/>
                <w:vertAlign w:val="superscript"/>
              </w:rPr>
              <w:t>(8)(14)</w:t>
            </w:r>
          </w:p>
        </w:tc>
        <w:tc>
          <w:tcPr>
            <w:tcW w:w="220" w:type="dxa"/>
            <w:vAlign w:val="bottom"/>
          </w:tcPr>
          <w:p>
            <w:pPr>
              <w:spacing w:after="0"/>
              <w:rPr>
                <w:sz w:val="14"/>
                <w:szCs w:val="14"/>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A Preferred Interests</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250,960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891,661</w:t>
            </w:r>
          </w:p>
        </w:tc>
        <w:tc>
          <w:tcPr>
            <w:tcW w:w="0" w:type="dxa"/>
            <w:vAlign w:val="bottom"/>
          </w:tcPr>
          <w:p>
            <w:pPr>
              <w:spacing w:after="0"/>
              <w:rPr>
                <w:sz w:val="1"/>
                <w:szCs w:val="1"/>
                <w:color w:val="auto"/>
              </w:rPr>
            </w:pPr>
          </w:p>
        </w:tc>
      </w:tr>
      <w:tr>
        <w:trPr>
          <w:trHeight w:val="193"/>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Aerospace and Defense</w:t>
            </w:r>
          </w:p>
        </w:tc>
        <w:tc>
          <w:tcPr>
            <w:tcW w:w="2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DBI Holding LLC</w:t>
            </w:r>
            <w:r>
              <w:rPr>
                <w:rFonts w:ascii="Times New Roman" w:cs="Times New Roman" w:eastAsia="Times New Roman" w:hAnsi="Times New Roman"/>
                <w:sz w:val="19"/>
                <w:szCs w:val="19"/>
                <w:color w:val="auto"/>
                <w:vertAlign w:val="superscript"/>
              </w:rPr>
              <w:t>(8)(14)</w:t>
            </w:r>
          </w:p>
        </w:tc>
        <w:tc>
          <w:tcPr>
            <w:tcW w:w="220" w:type="dxa"/>
            <w:vAlign w:val="bottom"/>
            <w:shd w:val="clear" w:color="auto" w:fill="CCEEFF"/>
          </w:tcPr>
          <w:p>
            <w:pPr>
              <w:spacing w:after="0"/>
              <w:rPr>
                <w:sz w:val="14"/>
                <w:szCs w:val="14"/>
                <w:color w:val="auto"/>
              </w:rPr>
            </w:pPr>
          </w:p>
        </w:tc>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 Business</w:t>
            </w:r>
          </w:p>
        </w:tc>
        <w:tc>
          <w:tcPr>
            <w:tcW w:w="220" w:type="dxa"/>
            <w:vAlign w:val="bottom"/>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eInstruction Acquisition, LLC</w:t>
            </w:r>
            <w:r>
              <w:rPr>
                <w:rFonts w:ascii="Times New Roman" w:cs="Times New Roman" w:eastAsia="Times New Roman" w:hAnsi="Times New Roman"/>
                <w:sz w:val="19"/>
                <w:szCs w:val="19"/>
                <w:color w:val="auto"/>
                <w:vertAlign w:val="superscript"/>
              </w:rPr>
              <w:t>(8)(14)</w:t>
            </w:r>
          </w:p>
        </w:tc>
        <w:tc>
          <w:tcPr>
            <w:tcW w:w="220" w:type="dxa"/>
            <w:vAlign w:val="bottom"/>
          </w:tcPr>
          <w:p>
            <w:pPr>
              <w:spacing w:after="0"/>
              <w:rPr>
                <w:sz w:val="14"/>
                <w:szCs w:val="14"/>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Membership Units</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1,079,617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Services: Business</w:t>
            </w:r>
          </w:p>
        </w:tc>
        <w:tc>
          <w:tcPr>
            <w:tcW w:w="2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FP WRCA Coinvestment Fund VII,</w:t>
            </w:r>
          </w:p>
        </w:tc>
        <w:tc>
          <w:tcPr>
            <w:tcW w:w="2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6"/>
                <w:szCs w:val="16"/>
                <w:color w:val="auto"/>
                <w:vertAlign w:val="subscript"/>
              </w:rPr>
              <w:t>Ltd.</w:t>
            </w:r>
            <w:r>
              <w:rPr>
                <w:rFonts w:ascii="Times New Roman" w:cs="Times New Roman" w:eastAsia="Times New Roman" w:hAnsi="Times New Roman"/>
                <w:sz w:val="8"/>
                <w:szCs w:val="8"/>
                <w:color w:val="auto"/>
              </w:rPr>
              <w:t>(3)(14)</w:t>
            </w:r>
          </w:p>
        </w:tc>
        <w:tc>
          <w:tcPr>
            <w:tcW w:w="220" w:type="dxa"/>
            <w:vAlign w:val="bottom"/>
            <w:shd w:val="clear" w:color="auto" w:fill="CCEEFF"/>
          </w:tcPr>
          <w:p>
            <w:pPr>
              <w:spacing w:after="0"/>
              <w:rPr>
                <w:sz w:val="12"/>
                <w:szCs w:val="12"/>
                <w:color w:val="auto"/>
              </w:rPr>
            </w:pPr>
          </w:p>
        </w:tc>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Shares</w:t>
            </w: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w:t>
            </w: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689,259</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Equipment</w:t>
            </w:r>
          </w:p>
        </w:tc>
        <w:tc>
          <w:tcPr>
            <w:tcW w:w="220" w:type="dxa"/>
            <w:vAlign w:val="bottom"/>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New Millennium Holdco, Inc.</w:t>
            </w: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80" w:type="dxa"/>
            <w:vAlign w:val="bottom"/>
          </w:tcPr>
          <w:p>
            <w:pPr>
              <w:ind w:left="180"/>
              <w:spacing w:after="0" w:line="139" w:lineRule="exact"/>
              <w:rPr>
                <w:sz w:val="20"/>
                <w:szCs w:val="20"/>
                <w:color w:val="auto"/>
              </w:rPr>
            </w:pPr>
            <w:r>
              <w:rPr>
                <w:rFonts w:ascii="Times New Roman" w:cs="Times New Roman" w:eastAsia="Times New Roman" w:hAnsi="Times New Roman"/>
                <w:sz w:val="11"/>
                <w:szCs w:val="11"/>
                <w:color w:val="auto"/>
              </w:rPr>
              <w:t>(Millennium Health, LLC)</w:t>
            </w:r>
            <w:r>
              <w:rPr>
                <w:rFonts w:ascii="Times New Roman" w:cs="Times New Roman" w:eastAsia="Times New Roman" w:hAnsi="Times New Roman"/>
                <w:sz w:val="16"/>
                <w:szCs w:val="16"/>
                <w:color w:val="auto"/>
                <w:vertAlign w:val="superscript"/>
              </w:rPr>
              <w:t>(8)(14)</w:t>
            </w:r>
          </w:p>
        </w:tc>
        <w:tc>
          <w:tcPr>
            <w:tcW w:w="22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1,953,299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2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Perseus Holding Corp.</w:t>
            </w:r>
            <w:r>
              <w:rPr>
                <w:rFonts w:ascii="Times New Roman" w:cs="Times New Roman" w:eastAsia="Times New Roman" w:hAnsi="Times New Roman"/>
                <w:sz w:val="19"/>
                <w:szCs w:val="19"/>
                <w:color w:val="auto"/>
                <w:vertAlign w:val="superscript"/>
              </w:rPr>
              <w:t>(14)</w:t>
            </w:r>
          </w:p>
        </w:tc>
        <w:tc>
          <w:tcPr>
            <w:tcW w:w="220" w:type="dxa"/>
            <w:vAlign w:val="bottom"/>
            <w:shd w:val="clear" w:color="auto" w:fill="CCEEFF"/>
          </w:tcPr>
          <w:p>
            <w:pPr>
              <w:spacing w:after="0"/>
              <w:rPr>
                <w:sz w:val="14"/>
                <w:szCs w:val="14"/>
                <w:color w:val="auto"/>
              </w:rPr>
            </w:pPr>
          </w:p>
        </w:tc>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w:t>
            </w:r>
          </w:p>
        </w:tc>
        <w:tc>
          <w:tcPr>
            <w:tcW w:w="1060" w:type="dxa"/>
            <w:vAlign w:val="bottom"/>
            <w:tcBorders>
              <w:right w:val="single" w:sz="8" w:color="CCEEFF"/>
            </w:tcBorders>
            <w:gridSpan w:val="2"/>
            <w:vMerge w:val="restart"/>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Hotel, Gaming &amp; Leisure</w:t>
            </w:r>
          </w:p>
        </w:tc>
        <w:tc>
          <w:tcPr>
            <w:tcW w:w="220" w:type="dxa"/>
            <w:vAlign w:val="bottom"/>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106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Roscoe Investors, LLC</w:t>
            </w:r>
            <w:r>
              <w:rPr>
                <w:rFonts w:ascii="Times New Roman" w:cs="Times New Roman" w:eastAsia="Times New Roman" w:hAnsi="Times New Roman"/>
                <w:sz w:val="19"/>
                <w:szCs w:val="19"/>
                <w:color w:val="auto"/>
                <w:vertAlign w:val="superscript"/>
              </w:rPr>
              <w:t>(8)(14)</w:t>
            </w:r>
          </w:p>
        </w:tc>
        <w:tc>
          <w:tcPr>
            <w:tcW w:w="220" w:type="dxa"/>
            <w:vAlign w:val="bottom"/>
          </w:tcPr>
          <w:p>
            <w:pPr>
              <w:spacing w:after="0"/>
              <w:rPr>
                <w:sz w:val="14"/>
                <w:szCs w:val="14"/>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1,229,000</w:t>
            </w:r>
          </w:p>
        </w:tc>
        <w:tc>
          <w:tcPr>
            <w:tcW w:w="0" w:type="dxa"/>
            <w:vAlign w:val="bottom"/>
          </w:tcPr>
          <w:p>
            <w:pPr>
              <w:spacing w:after="0"/>
              <w:rPr>
                <w:sz w:val="1"/>
                <w:szCs w:val="1"/>
                <w:color w:val="auto"/>
              </w:rPr>
            </w:pPr>
          </w:p>
        </w:tc>
      </w:tr>
      <w:tr>
        <w:trPr>
          <w:trHeight w:val="193"/>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2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Stafford Logistics, Inc.(dba Custom</w:t>
            </w:r>
          </w:p>
        </w:tc>
        <w:tc>
          <w:tcPr>
            <w:tcW w:w="2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1"/>
                <w:szCs w:val="11"/>
                <w:color w:val="auto"/>
              </w:rPr>
              <w:t>Ecology, Inc.)</w:t>
            </w:r>
            <w:r>
              <w:rPr>
                <w:rFonts w:ascii="Times New Roman" w:cs="Times New Roman" w:eastAsia="Times New Roman" w:hAnsi="Times New Roman"/>
                <w:sz w:val="16"/>
                <w:szCs w:val="16"/>
                <w:color w:val="auto"/>
                <w:vertAlign w:val="superscript"/>
              </w:rPr>
              <w:t>(8)(14)</w:t>
            </w:r>
          </w:p>
        </w:tc>
        <w:tc>
          <w:tcPr>
            <w:tcW w:w="220" w:type="dxa"/>
            <w:vAlign w:val="bottom"/>
            <w:shd w:val="clear" w:color="auto" w:fill="CCEEFF"/>
          </w:tcPr>
          <w:p>
            <w:pPr>
              <w:spacing w:after="0"/>
              <w:rPr>
                <w:sz w:val="12"/>
                <w:szCs w:val="12"/>
                <w:color w:val="auto"/>
              </w:rPr>
            </w:pPr>
          </w:p>
        </w:tc>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Equity</w:t>
            </w: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Environmental Industries</w:t>
            </w:r>
          </w:p>
        </w:tc>
        <w:tc>
          <w:tcPr>
            <w:tcW w:w="220" w:type="dxa"/>
            <w:vAlign w:val="bottom"/>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Stafford Logistics, Inc.(dba Custom</w:t>
            </w: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80" w:type="dxa"/>
            <w:vAlign w:val="bottom"/>
          </w:tcPr>
          <w:p>
            <w:pPr>
              <w:ind w:left="180"/>
              <w:spacing w:after="0" w:line="139" w:lineRule="exact"/>
              <w:rPr>
                <w:sz w:val="20"/>
                <w:szCs w:val="20"/>
                <w:color w:val="auto"/>
              </w:rPr>
            </w:pPr>
            <w:r>
              <w:rPr>
                <w:rFonts w:ascii="Times New Roman" w:cs="Times New Roman" w:eastAsia="Times New Roman" w:hAnsi="Times New Roman"/>
                <w:sz w:val="11"/>
                <w:szCs w:val="11"/>
                <w:color w:val="auto"/>
              </w:rPr>
              <w:t>Ecology, Inc.)</w:t>
            </w:r>
            <w:r>
              <w:rPr>
                <w:rFonts w:ascii="Times New Roman" w:cs="Times New Roman" w:eastAsia="Times New Roman" w:hAnsi="Times New Roman"/>
                <w:sz w:val="16"/>
                <w:szCs w:val="16"/>
                <w:color w:val="auto"/>
                <w:vertAlign w:val="superscript"/>
              </w:rPr>
              <w:t>(8)(14)</w:t>
            </w:r>
          </w:p>
        </w:tc>
        <w:tc>
          <w:tcPr>
            <w:tcW w:w="22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B Units</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Environmental Industries</w:t>
            </w:r>
          </w:p>
        </w:tc>
        <w:tc>
          <w:tcPr>
            <w:tcW w:w="2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Tank Partners Holdings, LLC</w:t>
            </w:r>
            <w:r>
              <w:rPr>
                <w:rFonts w:ascii="Times New Roman" w:cs="Times New Roman" w:eastAsia="Times New Roman" w:hAnsi="Times New Roman"/>
                <w:sz w:val="19"/>
                <w:szCs w:val="19"/>
                <w:color w:val="auto"/>
                <w:vertAlign w:val="superscript"/>
              </w:rPr>
              <w:t>(8)(10)(14)</w:t>
            </w:r>
          </w:p>
        </w:tc>
        <w:tc>
          <w:tcPr>
            <w:tcW w:w="220" w:type="dxa"/>
            <w:vAlign w:val="bottom"/>
            <w:shd w:val="clear" w:color="auto" w:fill="CCEEFF"/>
          </w:tcPr>
          <w:p>
            <w:pPr>
              <w:spacing w:after="0"/>
              <w:rPr>
                <w:sz w:val="14"/>
                <w:szCs w:val="14"/>
                <w:color w:val="auto"/>
              </w:rPr>
            </w:pPr>
          </w:p>
        </w:tc>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w:t>
            </w: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Energy: Oil &amp; Gas</w:t>
            </w:r>
          </w:p>
        </w:tc>
        <w:tc>
          <w:tcPr>
            <w:tcW w:w="220" w:type="dxa"/>
            <w:vAlign w:val="bottom"/>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Tank Partners Holdings, LLC</w:t>
            </w:r>
            <w:r>
              <w:rPr>
                <w:rFonts w:ascii="Times New Roman" w:cs="Times New Roman" w:eastAsia="Times New Roman" w:hAnsi="Times New Roman"/>
                <w:sz w:val="19"/>
                <w:szCs w:val="19"/>
                <w:color w:val="auto"/>
                <w:vertAlign w:val="superscript"/>
              </w:rPr>
              <w:t>(8)(14)</w:t>
            </w:r>
          </w:p>
        </w:tc>
        <w:tc>
          <w:tcPr>
            <w:tcW w:w="220" w:type="dxa"/>
            <w:vAlign w:val="bottom"/>
          </w:tcPr>
          <w:p>
            <w:pPr>
              <w:spacing w:after="0"/>
              <w:rPr>
                <w:sz w:val="14"/>
                <w:szCs w:val="14"/>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185,205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Energy: Oil &amp; Gas</w:t>
            </w:r>
          </w:p>
        </w:tc>
        <w:tc>
          <w:tcPr>
            <w:tcW w:w="2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TRSO II, Inc.</w:t>
            </w:r>
            <w:r>
              <w:rPr>
                <w:rFonts w:ascii="Times New Roman" w:cs="Times New Roman" w:eastAsia="Times New Roman" w:hAnsi="Times New Roman"/>
                <w:sz w:val="19"/>
                <w:szCs w:val="19"/>
                <w:color w:val="auto"/>
                <w:vertAlign w:val="superscript"/>
              </w:rPr>
              <w:t>(8)(14)</w:t>
            </w:r>
          </w:p>
        </w:tc>
        <w:tc>
          <w:tcPr>
            <w:tcW w:w="220" w:type="dxa"/>
            <w:vAlign w:val="bottom"/>
            <w:shd w:val="clear" w:color="auto" w:fill="CCEEFF"/>
          </w:tcPr>
          <w:p>
            <w:pPr>
              <w:spacing w:after="0"/>
              <w:rPr>
                <w:sz w:val="14"/>
                <w:szCs w:val="14"/>
                <w:color w:val="auto"/>
              </w:rPr>
            </w:pPr>
          </w:p>
        </w:tc>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1,680,161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1,280,749</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Energy: Oil &amp; Gas</w:t>
            </w:r>
          </w:p>
        </w:tc>
        <w:tc>
          <w:tcPr>
            <w:tcW w:w="220" w:type="dxa"/>
            <w:vAlign w:val="bottom"/>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Advanced Lighting Technologies,</w:t>
            </w: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80" w:type="dxa"/>
            <w:vAlign w:val="bottom"/>
          </w:tcPr>
          <w:p>
            <w:pPr>
              <w:ind w:left="180"/>
              <w:spacing w:after="0" w:line="139" w:lineRule="exact"/>
              <w:rPr>
                <w:sz w:val="20"/>
                <w:szCs w:val="20"/>
                <w:color w:val="auto"/>
              </w:rPr>
            </w:pPr>
            <w:r>
              <w:rPr>
                <w:rFonts w:ascii="Times New Roman" w:cs="Times New Roman" w:eastAsia="Times New Roman" w:hAnsi="Times New Roman"/>
                <w:sz w:val="16"/>
                <w:szCs w:val="16"/>
                <w:color w:val="auto"/>
                <w:vertAlign w:val="subscript"/>
              </w:rPr>
              <w:t>Inc,</w:t>
            </w:r>
            <w:r>
              <w:rPr>
                <w:rFonts w:ascii="Times New Roman" w:cs="Times New Roman" w:eastAsia="Times New Roman" w:hAnsi="Times New Roman"/>
                <w:sz w:val="8"/>
                <w:szCs w:val="8"/>
                <w:color w:val="auto"/>
              </w:rPr>
              <w:t>(8)(14)</w:t>
            </w:r>
          </w:p>
        </w:tc>
        <w:tc>
          <w:tcPr>
            <w:tcW w:w="22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Warrants</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 goods: Durable</w:t>
            </w:r>
          </w:p>
        </w:tc>
        <w:tc>
          <w:tcPr>
            <w:tcW w:w="2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Advanced Lighting Technologies,</w:t>
            </w:r>
          </w:p>
        </w:tc>
        <w:tc>
          <w:tcPr>
            <w:tcW w:w="2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6"/>
                <w:szCs w:val="16"/>
                <w:color w:val="auto"/>
                <w:vertAlign w:val="subscript"/>
              </w:rPr>
              <w:t>Inc.</w:t>
            </w:r>
            <w:r>
              <w:rPr>
                <w:rFonts w:ascii="Times New Roman" w:cs="Times New Roman" w:eastAsia="Times New Roman" w:hAnsi="Times New Roman"/>
                <w:sz w:val="8"/>
                <w:szCs w:val="8"/>
                <w:color w:val="auto"/>
              </w:rPr>
              <w:t>(8)(14)</w:t>
            </w:r>
          </w:p>
        </w:tc>
        <w:tc>
          <w:tcPr>
            <w:tcW w:w="220" w:type="dxa"/>
            <w:vAlign w:val="bottom"/>
            <w:shd w:val="clear" w:color="auto" w:fill="CCEEFF"/>
          </w:tcPr>
          <w:p>
            <w:pPr>
              <w:spacing w:after="0"/>
              <w:rPr>
                <w:sz w:val="12"/>
                <w:szCs w:val="12"/>
                <w:color w:val="auto"/>
              </w:rPr>
            </w:pPr>
          </w:p>
        </w:tc>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Interests</w:t>
            </w:r>
          </w:p>
        </w:tc>
        <w:tc>
          <w:tcPr>
            <w:tcW w:w="8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goods: Durable</w:t>
            </w:r>
          </w:p>
        </w:tc>
        <w:tc>
          <w:tcPr>
            <w:tcW w:w="220" w:type="dxa"/>
            <w:vAlign w:val="bottom"/>
            <w:shd w:val="clear" w:color="auto" w:fill="CCEEFF"/>
          </w:tcPr>
          <w:p>
            <w:pPr>
              <w:spacing w:after="0"/>
              <w:rPr>
                <w:sz w:val="17"/>
                <w:szCs w:val="17"/>
                <w:color w:val="auto"/>
              </w:rPr>
            </w:pPr>
          </w:p>
        </w:tc>
        <w:tc>
          <w:tcPr>
            <w:tcW w:w="2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Caribe Media Inc. (fka Caribe</w:t>
            </w: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Information Investments</w:t>
            </w:r>
          </w:p>
        </w:tc>
        <w:tc>
          <w:tcPr>
            <w:tcW w:w="2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80" w:type="dxa"/>
            <w:vAlign w:val="bottom"/>
          </w:tcPr>
          <w:p>
            <w:pPr>
              <w:ind w:left="180"/>
              <w:spacing w:after="0" w:line="139" w:lineRule="exact"/>
              <w:rPr>
                <w:sz w:val="20"/>
                <w:szCs w:val="20"/>
                <w:color w:val="auto"/>
              </w:rPr>
            </w:pPr>
            <w:r>
              <w:rPr>
                <w:rFonts w:ascii="Times New Roman" w:cs="Times New Roman" w:eastAsia="Times New Roman" w:hAnsi="Times New Roman"/>
                <w:sz w:val="11"/>
                <w:szCs w:val="11"/>
                <w:color w:val="auto"/>
              </w:rPr>
              <w:t>Incorporated)</w:t>
            </w:r>
            <w:r>
              <w:rPr>
                <w:rFonts w:ascii="Times New Roman" w:cs="Times New Roman" w:eastAsia="Times New Roman" w:hAnsi="Times New Roman"/>
                <w:sz w:val="16"/>
                <w:szCs w:val="16"/>
                <w:color w:val="auto"/>
                <w:vertAlign w:val="superscript"/>
              </w:rPr>
              <w:t>(8)(14)</w:t>
            </w:r>
          </w:p>
        </w:tc>
        <w:tc>
          <w:tcPr>
            <w:tcW w:w="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Media: Advertising, Printing &amp;</w:t>
            </w:r>
          </w:p>
        </w:tc>
        <w:tc>
          <w:tcPr>
            <w:tcW w:w="22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359,765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315,015</w:t>
            </w:r>
          </w:p>
        </w:tc>
        <w:tc>
          <w:tcPr>
            <w:tcW w:w="0" w:type="dxa"/>
            <w:vAlign w:val="bottom"/>
          </w:tcPr>
          <w:p>
            <w:pPr>
              <w:spacing w:after="0"/>
              <w:rPr>
                <w:sz w:val="1"/>
                <w:szCs w:val="1"/>
                <w:color w:val="auto"/>
              </w:rPr>
            </w:pPr>
          </w:p>
        </w:tc>
      </w:tr>
      <w:tr>
        <w:trPr>
          <w:trHeight w:val="195"/>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Publishing</w:t>
            </w:r>
          </w:p>
        </w:tc>
        <w:tc>
          <w:tcPr>
            <w:tcW w:w="2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 in Equity Securities</w:t>
            </w:r>
          </w:p>
        </w:tc>
        <w:tc>
          <w:tcPr>
            <w:tcW w:w="2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85"/>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10,571,007</w:t>
            </w:r>
          </w:p>
        </w:tc>
        <w:tc>
          <w:tcPr>
            <w:tcW w:w="22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4,414,684</w:t>
            </w: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 of net asset value at fair value)</w:t>
            </w:r>
          </w:p>
        </w:tc>
        <w:tc>
          <w:tcPr>
            <w:tcW w:w="2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-222250</wp:posOffset>
            </wp:positionV>
            <wp:extent cx="521398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-4716145</wp:posOffset>
            </wp:positionV>
            <wp:extent cx="137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-4716145</wp:posOffset>
            </wp:positionV>
            <wp:extent cx="137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-4716145</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-4716145</wp:posOffset>
            </wp:positionV>
            <wp:extent cx="137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Fund Securities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Subordinated</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21"/>
                <w:szCs w:val="21"/>
                <w:b w:val="1"/>
                <w:bCs w:val="1"/>
                <w:color w:val="auto"/>
                <w:vertAlign w:val="superscript"/>
              </w:rPr>
              <w:t>(11)</w:t>
            </w:r>
          </w:p>
        </w:tc>
        <w:tc>
          <w:tcPr>
            <w:tcW w:w="100" w:type="dxa"/>
            <w:vAlign w:val="bottom"/>
            <w:vMerge w:val="restart"/>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0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8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298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Grant Grove CLO, Ltd.</w:t>
            </w:r>
            <w:r>
              <w:rPr>
                <w:rFonts w:ascii="Times New Roman" w:cs="Times New Roman" w:eastAsia="Times New Roman" w:hAnsi="Times New Roman"/>
                <w:sz w:val="21"/>
                <w:szCs w:val="21"/>
                <w:color w:val="auto"/>
                <w:vertAlign w:val="superscript"/>
              </w:rPr>
              <w:t>(3)(12)(14)</w:t>
            </w:r>
          </w:p>
        </w:tc>
        <w:tc>
          <w:tcPr>
            <w:tcW w:w="10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Subordinated Securities, effective</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2,485,886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N/M, 1/21 maturity</w:t>
            </w:r>
          </w:p>
        </w:tc>
        <w:tc>
          <w:tcPr>
            <w:tcW w:w="72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Katonah III, Ltd.</w:t>
            </w:r>
            <w:r>
              <w:rPr>
                <w:rFonts w:ascii="Times New Roman" w:cs="Times New Roman" w:eastAsia="Times New Roman" w:hAnsi="Times New Roman"/>
                <w:sz w:val="21"/>
                <w:szCs w:val="21"/>
                <w:color w:val="auto"/>
                <w:vertAlign w:val="superscript"/>
              </w:rPr>
              <w:t>(3)(12)(14)</w:t>
            </w:r>
          </w:p>
        </w:tc>
        <w:tc>
          <w:tcPr>
            <w:tcW w:w="10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1,287,155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369,280</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N/M, 5/15 maturity</w:t>
            </w:r>
          </w:p>
        </w:tc>
        <w:tc>
          <w:tcPr>
            <w:tcW w:w="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Katonah 2007-I CLO Ltd.</w:t>
            </w:r>
            <w:r>
              <w:rPr>
                <w:rFonts w:ascii="Times New Roman" w:cs="Times New Roman" w:eastAsia="Times New Roman" w:hAnsi="Times New Roman"/>
                <w:sz w:val="22"/>
                <w:szCs w:val="22"/>
                <w:color w:val="auto"/>
                <w:vertAlign w:val="superscript"/>
              </w:rPr>
              <w:t>(3)(6)(12)(14)</w:t>
            </w: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7"/>
              </w:rPr>
              <w:t>20,524,908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10,770,486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9.2%, 4/22 maturity</w:t>
            </w:r>
          </w:p>
        </w:tc>
        <w:tc>
          <w:tcPr>
            <w:tcW w:w="72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Trimaran CLO VII, Ltd.</w:t>
            </w:r>
            <w:r>
              <w:rPr>
                <w:rFonts w:ascii="Times New Roman" w:cs="Times New Roman" w:eastAsia="Times New Roman" w:hAnsi="Times New Roman"/>
                <w:sz w:val="21"/>
                <w:szCs w:val="21"/>
                <w:color w:val="auto"/>
                <w:vertAlign w:val="superscript"/>
              </w:rPr>
              <w:t>(3)(6)(12)(14)</w:t>
            </w:r>
          </w:p>
        </w:tc>
        <w:tc>
          <w:tcPr>
            <w:tcW w:w="10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379,830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N/M, 6/21 maturity</w:t>
            </w:r>
          </w:p>
        </w:tc>
        <w:tc>
          <w:tcPr>
            <w:tcW w:w="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Catamaran CLO 2012-1 Ltd.</w:t>
            </w:r>
            <w:r>
              <w:rPr>
                <w:rFonts w:ascii="Times New Roman" w:cs="Times New Roman" w:eastAsia="Times New Roman" w:hAnsi="Times New Roman"/>
                <w:sz w:val="22"/>
                <w:szCs w:val="22"/>
                <w:color w:val="auto"/>
                <w:vertAlign w:val="superscript"/>
              </w:rPr>
              <w:t>(3)(6)(14)</w:t>
            </w: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5,847,802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2,320,783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15.5%, 12/23 maturity</w:t>
            </w:r>
          </w:p>
        </w:tc>
        <w:tc>
          <w:tcPr>
            <w:tcW w:w="72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Catamaran CLO 2013- 1 Ltd.</w:t>
            </w:r>
            <w:r>
              <w:rPr>
                <w:rFonts w:ascii="Times New Roman" w:cs="Times New Roman" w:eastAsia="Times New Roman" w:hAnsi="Times New Roman"/>
                <w:sz w:val="21"/>
                <w:szCs w:val="21"/>
                <w:color w:val="auto"/>
                <w:vertAlign w:val="superscript"/>
              </w:rPr>
              <w:t>(3)(6)(14)</w:t>
            </w:r>
          </w:p>
        </w:tc>
        <w:tc>
          <w:tcPr>
            <w:tcW w:w="10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5,017,307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6,923,699</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25.1%, 1/28 maturity</w:t>
            </w:r>
          </w:p>
        </w:tc>
        <w:tc>
          <w:tcPr>
            <w:tcW w:w="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Catamaran CLO 2014-1 Ltd.</w:t>
            </w:r>
            <w:r>
              <w:rPr>
                <w:rFonts w:ascii="Times New Roman" w:cs="Times New Roman" w:eastAsia="Times New Roman" w:hAnsi="Times New Roman"/>
                <w:sz w:val="22"/>
                <w:szCs w:val="22"/>
                <w:color w:val="auto"/>
                <w:vertAlign w:val="superscript"/>
              </w:rPr>
              <w:t>(3)(6)(14)</w:t>
            </w: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9,858,073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8,230,178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28.4%, 4/30 maturity</w:t>
            </w:r>
          </w:p>
        </w:tc>
        <w:tc>
          <w:tcPr>
            <w:tcW w:w="72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Dryden 30 Senior Loan Fund</w:t>
            </w:r>
            <w:r>
              <w:rPr>
                <w:rFonts w:ascii="Times New Roman" w:cs="Times New Roman" w:eastAsia="Times New Roman" w:hAnsi="Times New Roman"/>
                <w:sz w:val="21"/>
                <w:szCs w:val="21"/>
                <w:color w:val="auto"/>
                <w:vertAlign w:val="superscript"/>
              </w:rPr>
              <w:t>(3)(14)</w:t>
            </w:r>
          </w:p>
        </w:tc>
        <w:tc>
          <w:tcPr>
            <w:tcW w:w="10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1,353,852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1,820,000</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28.7%, 12/29 maturity</w:t>
            </w:r>
          </w:p>
        </w:tc>
        <w:tc>
          <w:tcPr>
            <w:tcW w:w="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Catamaran CLO 2014-2 Ltd.</w:t>
            </w:r>
            <w:r>
              <w:rPr>
                <w:rFonts w:ascii="Times New Roman" w:cs="Times New Roman" w:eastAsia="Times New Roman" w:hAnsi="Times New Roman"/>
                <w:sz w:val="22"/>
                <w:szCs w:val="22"/>
                <w:color w:val="auto"/>
                <w:vertAlign w:val="superscript"/>
              </w:rPr>
              <w:t>(3)(6)(14)</w:t>
            </w: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6,642,805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4,500,962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11.5%, 11/25 maturity</w:t>
            </w:r>
          </w:p>
        </w:tc>
        <w:tc>
          <w:tcPr>
            <w:tcW w:w="72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Catamaran CLO 2015-1 Ltd.</w:t>
            </w:r>
            <w:r>
              <w:rPr>
                <w:rFonts w:ascii="Times New Roman" w:cs="Times New Roman" w:eastAsia="Times New Roman" w:hAnsi="Times New Roman"/>
                <w:sz w:val="21"/>
                <w:szCs w:val="21"/>
                <w:color w:val="auto"/>
                <w:vertAlign w:val="superscript"/>
              </w:rPr>
              <w:t>(3)(6)(14)</w:t>
            </w:r>
          </w:p>
        </w:tc>
        <w:tc>
          <w:tcPr>
            <w:tcW w:w="10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4,418,647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3,569,600</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11.8%, 10/26 maturity</w:t>
            </w:r>
          </w:p>
        </w:tc>
        <w:tc>
          <w:tcPr>
            <w:tcW w:w="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Catamaran CLO 2016-1 Ltd.</w:t>
            </w:r>
            <w:r>
              <w:rPr>
                <w:rFonts w:ascii="Times New Roman" w:cs="Times New Roman" w:eastAsia="Times New Roman" w:hAnsi="Times New Roman"/>
                <w:sz w:val="22"/>
                <w:szCs w:val="22"/>
                <w:color w:val="auto"/>
                <w:vertAlign w:val="superscript"/>
              </w:rPr>
              <w:t>(3)(6)(14)</w:t>
            </w: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Securities, effective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7"/>
              </w:rPr>
              <w:t>10,086,802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8,530,685</w:t>
            </w:r>
          </w:p>
        </w:tc>
        <w:tc>
          <w:tcPr>
            <w:tcW w:w="0" w:type="dxa"/>
            <w:vAlign w:val="bottom"/>
          </w:tcPr>
          <w:p>
            <w:pPr>
              <w:spacing w:after="0"/>
              <w:rPr>
                <w:sz w:val="1"/>
                <w:szCs w:val="1"/>
                <w:color w:val="auto"/>
              </w:rPr>
            </w:pPr>
          </w:p>
        </w:tc>
      </w:tr>
      <w:tr>
        <w:trPr>
          <w:trHeight w:val="220"/>
        </w:trPr>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9.6%, 4/27 maturity</w:t>
            </w:r>
          </w:p>
        </w:tc>
        <w:tc>
          <w:tcPr>
            <w:tcW w:w="72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 in CLO Subordinated</w:t>
            </w: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7"/>
              </w:rPr>
              <w:t>67,903,067</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47,046,673</w:t>
            </w:r>
          </w:p>
        </w:tc>
        <w:tc>
          <w:tcPr>
            <w:tcW w:w="0" w:type="dxa"/>
            <w:vAlign w:val="bottom"/>
          </w:tcPr>
          <w:p>
            <w:pPr>
              <w:spacing w:after="0"/>
              <w:rPr>
                <w:sz w:val="1"/>
                <w:szCs w:val="1"/>
                <w:color w:val="auto"/>
              </w:rPr>
            </w:pPr>
          </w:p>
        </w:tc>
      </w:tr>
      <w:tr>
        <w:trPr>
          <w:trHeight w:val="189"/>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-3103880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-3103880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-3103880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-3103880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Rated-Note Investment</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60" w:type="dxa"/>
            <w:vAlign w:val="bottom"/>
          </w:tcPr>
          <w:p>
            <w:pPr>
              <w:spacing w:after="0"/>
              <w:rPr>
                <w:sz w:val="16"/>
                <w:szCs w:val="16"/>
                <w:color w:val="auto"/>
              </w:rPr>
            </w:pPr>
          </w:p>
        </w:tc>
        <w:tc>
          <w:tcPr>
            <w:tcW w:w="23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3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KCAP F3C Senior Funding LLC</w:t>
            </w:r>
            <w:r>
              <w:rPr>
                <w:rFonts w:ascii="Times New Roman" w:cs="Times New Roman" w:eastAsia="Times New Roman" w:hAnsi="Times New Roman"/>
                <w:sz w:val="21"/>
                <w:szCs w:val="21"/>
                <w:color w:val="auto"/>
                <w:vertAlign w:val="superscript"/>
              </w:rPr>
              <w:t>(3)(6)(14)</w:t>
            </w:r>
          </w:p>
        </w:tc>
        <w:tc>
          <w:tcPr>
            <w:tcW w:w="6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Class E Notes, 8.9% Cash, 3</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month LIBOR (1.40%) + 7.50%,</w:t>
            </w:r>
          </w:p>
        </w:tc>
        <w:tc>
          <w:tcPr>
            <w:tcW w:w="7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4,435,965</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4,632,000</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12/29</w:t>
            </w: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Investment in CLO Rated-Note</w:t>
            </w:r>
          </w:p>
        </w:tc>
        <w:tc>
          <w:tcPr>
            <w:tcW w:w="6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4,435,965</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4,632,000</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 in CLO Fund Securities (28%</w:t>
            </w:r>
          </w:p>
        </w:tc>
        <w:tc>
          <w:tcPr>
            <w:tcW w:w="6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72,339,032</w:t>
            </w:r>
          </w:p>
        </w:tc>
        <w:tc>
          <w:tcPr>
            <w:tcW w:w="8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51,678,673</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 net asset value at fair value)</w:t>
            </w:r>
          </w:p>
        </w:tc>
        <w:tc>
          <w:tcPr>
            <w:tcW w:w="6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-256540</wp:posOffset>
            </wp:positionV>
            <wp:extent cx="46996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699635"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-805180</wp:posOffset>
            </wp:positionV>
            <wp:extent cx="51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-805180</wp:posOffset>
            </wp:positionV>
            <wp:extent cx="514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-805180</wp:posOffset>
            </wp:positionV>
            <wp:extent cx="342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-805180</wp:posOffset>
            </wp:positionV>
            <wp:extent cx="342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Fair Value</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8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6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Asset Manager Affiliates</w:t>
            </w:r>
            <w:r>
              <w:rPr>
                <w:rFonts w:ascii="Times New Roman" w:cs="Times New Roman" w:eastAsia="Times New Roman" w:hAnsi="Times New Roman"/>
                <w:sz w:val="25"/>
                <w:szCs w:val="25"/>
                <w:color w:val="auto"/>
                <w:vertAlign w:val="superscript"/>
              </w:rPr>
              <w:t>(8)(9)(14)</w:t>
            </w:r>
          </w:p>
        </w:tc>
        <w:tc>
          <w:tcPr>
            <w:tcW w:w="80" w:type="dxa"/>
            <w:vAlign w:val="bottom"/>
            <w:shd w:val="clear" w:color="auto" w:fill="CCEEFF"/>
          </w:tcPr>
          <w:p>
            <w:pPr>
              <w:spacing w:after="0"/>
              <w:rPr>
                <w:sz w:val="22"/>
                <w:szCs w:val="2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Management Company</w:t>
            </w:r>
          </w:p>
        </w:tc>
        <w:tc>
          <w:tcPr>
            <w:tcW w:w="7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$52,591,230</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$38,849,000</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Investment in Asset Manager Affiliates</w:t>
            </w:r>
          </w:p>
        </w:tc>
        <w:tc>
          <w:tcPr>
            <w:tcW w:w="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52,591,230</w:t>
            </w:r>
          </w:p>
        </w:tc>
        <w:tc>
          <w:tcPr>
            <w:tcW w:w="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38,849,000</w:t>
            </w:r>
          </w:p>
        </w:tc>
        <w:tc>
          <w:tcPr>
            <w:tcW w:w="0" w:type="dxa"/>
            <w:vAlign w:val="bottom"/>
          </w:tcPr>
          <w:p>
            <w:pPr>
              <w:spacing w:after="0"/>
              <w:rPr>
                <w:sz w:val="1"/>
                <w:szCs w:val="1"/>
                <w:color w:val="auto"/>
              </w:rPr>
            </w:pPr>
          </w:p>
        </w:tc>
      </w:tr>
      <w:tr>
        <w:trPr>
          <w:trHeight w:val="189"/>
        </w:trPr>
        <w:tc>
          <w:tcPr>
            <w:tcW w:w="31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(21% of net asset value at fair value)</w:t>
            </w:r>
          </w:p>
        </w:tc>
        <w:tc>
          <w:tcPr>
            <w:tcW w:w="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-436880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-436880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-436880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-436880</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Joint Ventures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100" w:type="dxa"/>
            <w:vAlign w:val="bottom"/>
          </w:tcPr>
          <w:p>
            <w:pPr>
              <w:spacing w:after="0"/>
              <w:rPr>
                <w:sz w:val="16"/>
                <w:szCs w:val="16"/>
                <w:color w:val="auto"/>
              </w:rPr>
            </w:pP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KCAP Freedom 3 LLC</w:t>
            </w:r>
            <w:r>
              <w:rPr>
                <w:rFonts w:ascii="Times New Roman" w:cs="Times New Roman" w:eastAsia="Times New Roman" w:hAnsi="Times New Roman"/>
                <w:sz w:val="25"/>
                <w:szCs w:val="25"/>
                <w:color w:val="auto"/>
                <w:vertAlign w:val="superscript"/>
              </w:rPr>
              <w:t>(9)(14)</w:t>
            </w:r>
          </w:p>
        </w:tc>
        <w:tc>
          <w:tcPr>
            <w:tcW w:w="1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Joint Venture</w:t>
            </w:r>
          </w:p>
        </w:tc>
        <w:tc>
          <w:tcPr>
            <w:tcW w:w="7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$24,914,858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$21,516,000</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Investment in Joint Ventures (12% of net</w:t>
            </w: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24,914,858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21,516,000</w:t>
            </w:r>
          </w:p>
        </w:tc>
        <w:tc>
          <w:tcPr>
            <w:tcW w:w="0" w:type="dxa"/>
            <w:vAlign w:val="bottom"/>
          </w:tcPr>
          <w:p>
            <w:pPr>
              <w:spacing w:after="0"/>
              <w:rPr>
                <w:sz w:val="1"/>
                <w:szCs w:val="1"/>
                <w:color w:val="auto"/>
              </w:rPr>
            </w:pPr>
          </w:p>
        </w:tc>
      </w:tr>
      <w:tr>
        <w:trPr>
          <w:trHeight w:val="189"/>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asset value at fair value)</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-436880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-436880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-436880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-436880</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9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Par/Amortized</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14"/>
        </w:trPr>
        <w:tc>
          <w:tcPr>
            <w:tcW w:w="3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Short-term Investments</w:t>
            </w:r>
          </w:p>
        </w:tc>
        <w:tc>
          <w:tcPr>
            <w:tcW w:w="16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Yield</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6"/>
                <w:szCs w:val="16"/>
                <w:color w:val="auto"/>
              </w:rPr>
              <w:t>US Bank Money Market Account</w:t>
            </w:r>
            <w:r>
              <w:rPr>
                <w:rFonts w:ascii="Times New Roman" w:cs="Times New Roman" w:eastAsia="Times New Roman" w:hAnsi="Times New Roman"/>
                <w:sz w:val="25"/>
                <w:szCs w:val="25"/>
                <w:color w:val="auto"/>
                <w:vertAlign w:val="superscript"/>
              </w:rPr>
              <w:t>(7)(8)</w:t>
            </w:r>
          </w:p>
        </w:tc>
        <w:tc>
          <w:tcPr>
            <w:tcW w:w="1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52,293,570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52,293,570</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gridSpan w:val="2"/>
          </w:tcPr>
          <w:p>
            <w:pPr>
              <w:spacing w:after="0" w:line="270" w:lineRule="exact"/>
              <w:rPr>
                <w:sz w:val="20"/>
                <w:szCs w:val="20"/>
                <w:color w:val="auto"/>
              </w:rPr>
            </w:pPr>
            <w:r>
              <w:rPr>
                <w:rFonts w:ascii="Times New Roman" w:cs="Times New Roman" w:eastAsia="Times New Roman" w:hAnsi="Times New Roman"/>
                <w:sz w:val="16"/>
                <w:szCs w:val="16"/>
                <w:color w:val="auto"/>
              </w:rPr>
              <w:t>U.S Treasury Bills – CUSIP: 912796MLO</w:t>
            </w:r>
            <w:r>
              <w:rPr>
                <w:rFonts w:ascii="Times New Roman" w:cs="Times New Roman" w:eastAsia="Times New Roman" w:hAnsi="Times New Roman"/>
                <w:sz w:val="25"/>
                <w:szCs w:val="25"/>
                <w:color w:val="auto"/>
                <w:vertAlign w:val="superscript"/>
              </w:rPr>
              <w:t>(8)</w:t>
            </w:r>
          </w:p>
        </w:tc>
        <w:tc>
          <w:tcPr>
            <w:tcW w:w="160" w:type="dxa"/>
            <w:vAlign w:val="bottom"/>
            <w:tcBorders>
              <w:bottom w:val="single" w:sz="8" w:color="CCEEFF"/>
            </w:tcBorders>
          </w:tcPr>
          <w:p>
            <w:pPr>
              <w:spacing w:after="0"/>
              <w:rPr>
                <w:sz w:val="23"/>
                <w:szCs w:val="23"/>
                <w:color w:val="auto"/>
              </w:rPr>
            </w:pPr>
          </w:p>
        </w:tc>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Government Obligation</w:t>
            </w:r>
          </w:p>
        </w:tc>
        <w:tc>
          <w:tcPr>
            <w:tcW w:w="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25,006,750</w:t>
            </w:r>
          </w:p>
        </w:tc>
        <w:tc>
          <w:tcPr>
            <w:tcW w:w="1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25,006,750</w:t>
            </w:r>
          </w:p>
        </w:tc>
        <w:tc>
          <w:tcPr>
            <w:tcW w:w="0" w:type="dxa"/>
            <w:vAlign w:val="bottom"/>
          </w:tcPr>
          <w:p>
            <w:pPr>
              <w:spacing w:after="0"/>
              <w:rPr>
                <w:sz w:val="1"/>
                <w:szCs w:val="1"/>
                <w:color w:val="auto"/>
              </w:rPr>
            </w:pPr>
          </w:p>
        </w:tc>
      </w:tr>
      <w:tr>
        <w:trPr>
          <w:trHeight w:val="183"/>
        </w:trPr>
        <w:tc>
          <w:tcPr>
            <w:tcW w:w="33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Short-term Investments (43% of net asset</w:t>
            </w:r>
          </w:p>
        </w:tc>
        <w:tc>
          <w:tcPr>
            <w:tcW w:w="1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77,300,320</w:t>
            </w:r>
          </w:p>
        </w:tc>
        <w:tc>
          <w:tcPr>
            <w:tcW w:w="18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77,300,320</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value at fair value)</w:t>
            </w:r>
          </w:p>
        </w:tc>
        <w:tc>
          <w:tcPr>
            <w:tcW w:w="16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gridSpan w:val="2"/>
          </w:tcPr>
          <w:p>
            <w:pPr>
              <w:spacing w:after="0" w:line="257" w:lineRule="exact"/>
              <w:rPr>
                <w:sz w:val="20"/>
                <w:szCs w:val="20"/>
                <w:color w:val="auto"/>
              </w:rPr>
            </w:pPr>
            <w:r>
              <w:rPr>
                <w:rFonts w:ascii="Times New Roman" w:cs="Times New Roman" w:eastAsia="Times New Roman" w:hAnsi="Times New Roman"/>
                <w:sz w:val="16"/>
                <w:szCs w:val="16"/>
                <w:b w:val="1"/>
                <w:bCs w:val="1"/>
                <w:color w:val="auto"/>
              </w:rPr>
              <w:t>Total Investments</w:t>
            </w:r>
            <w:r>
              <w:rPr>
                <w:rFonts w:ascii="Times New Roman" w:cs="Times New Roman" w:eastAsia="Times New Roman" w:hAnsi="Times New Roman"/>
                <w:sz w:val="25"/>
                <w:szCs w:val="25"/>
                <w:b w:val="1"/>
                <w:bCs w:val="1"/>
                <w:color w:val="auto"/>
                <w:vertAlign w:val="superscript"/>
              </w:rPr>
              <w:t>(4)</w:t>
            </w:r>
          </w:p>
        </w:tc>
        <w:tc>
          <w:tcPr>
            <w:tcW w:w="1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362,895,917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311,956,156</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40" w:type="dxa"/>
            <w:vAlign w:val="bottom"/>
            <w:tcBorders>
              <w:bottom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-633730</wp:posOffset>
            </wp:positionV>
            <wp:extent cx="46482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-977265</wp:posOffset>
            </wp:positionV>
            <wp:extent cx="1117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-977265</wp:posOffset>
            </wp:positionV>
            <wp:extent cx="1028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-977265</wp:posOffset>
            </wp:positionV>
            <wp:extent cx="1028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-977265</wp:posOffset>
            </wp:positionV>
            <wp:extent cx="1028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4" w:lineRule="exact"/>
        <w:rPr>
          <w:sz w:val="20"/>
          <w:szCs w:val="20"/>
          <w:color w:val="auto"/>
        </w:rPr>
      </w:pPr>
    </w:p>
    <w:p>
      <w:pPr>
        <w:ind w:left="1620" w:right="819" w:hanging="352"/>
        <w:spacing w:after="0" w:line="255"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2018. As noted in the table above, 74% (based on par) of debt securities contain LIBOR floors which range between 1.00% and 3.0%.</w:t>
      </w:r>
    </w:p>
    <w:p>
      <w:pPr>
        <w:spacing w:after="0" w:line="135" w:lineRule="exact"/>
        <w:rPr>
          <w:rFonts w:ascii="Times New Roman" w:cs="Times New Roman" w:eastAsia="Times New Roman" w:hAnsi="Times New Roman"/>
          <w:sz w:val="18"/>
          <w:szCs w:val="18"/>
          <w:color w:val="auto"/>
        </w:rPr>
      </w:pPr>
    </w:p>
    <w:p>
      <w:pPr>
        <w:ind w:left="1620" w:right="839" w:hanging="352"/>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market value of all investments as of December 31, 2018, as determined by the Company’s Board of Directors.</w:t>
      </w:r>
    </w:p>
    <w:p>
      <w:pPr>
        <w:spacing w:after="0" w:line="12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company or principal place of business outside the U.S.</w:t>
      </w:r>
    </w:p>
    <w:p>
      <w:pPr>
        <w:spacing w:after="0" w:line="171" w:lineRule="exact"/>
        <w:rPr>
          <w:rFonts w:ascii="Times New Roman" w:cs="Times New Roman" w:eastAsia="Times New Roman" w:hAnsi="Times New Roman"/>
          <w:sz w:val="18"/>
          <w:szCs w:val="18"/>
          <w:color w:val="auto"/>
        </w:rPr>
      </w:pPr>
    </w:p>
    <w:p>
      <w:pPr>
        <w:ind w:left="1620" w:right="1219" w:hanging="352"/>
        <w:spacing w:after="0" w:line="261"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cost of investments for federal income tax purposes is approximately $363 million. The aggregate gross unrealized appreciation is approximately $1.1 million, the aggregate gross unrealized depreciation is approximately $52.0 million, and the net unrealized depreciation is approximately $50.9 million.</w:t>
      </w:r>
    </w:p>
    <w:p>
      <w:pPr>
        <w:spacing w:after="0" w:line="139"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debt security is on non-accrual status and therefore is considered non-income producing.</w:t>
      </w:r>
    </w:p>
    <w:p>
      <w:pPr>
        <w:spacing w:after="0" w:line="171" w:lineRule="exact"/>
        <w:rPr>
          <w:rFonts w:ascii="Times New Roman" w:cs="Times New Roman" w:eastAsia="Times New Roman" w:hAnsi="Times New Roman"/>
          <w:sz w:val="18"/>
          <w:szCs w:val="18"/>
          <w:color w:val="auto"/>
        </w:rPr>
      </w:pPr>
    </w:p>
    <w:p>
      <w:pPr>
        <w:ind w:left="1620" w:right="959" w:hanging="352"/>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CLO Fund managed by an Asset Manager Affiliate (as such term is defined in the notes to the consolidated financial statements).</w:t>
      </w:r>
    </w:p>
    <w:p>
      <w:pPr>
        <w:spacing w:after="0" w:line="12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account holding cash.</w:t>
      </w:r>
    </w:p>
    <w:p>
      <w:pPr>
        <w:spacing w:after="0" w:line="18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asset for purposes of section 55(a) of the Investment Company Act of 1940.</w:t>
      </w:r>
    </w:p>
    <w:p>
      <w:pPr>
        <w:spacing w:after="0" w:line="171" w:lineRule="exact"/>
        <w:rPr>
          <w:rFonts w:ascii="Times New Roman" w:cs="Times New Roman" w:eastAsia="Times New Roman" w:hAnsi="Times New Roman"/>
          <w:sz w:val="18"/>
          <w:szCs w:val="18"/>
          <w:color w:val="auto"/>
        </w:rPr>
      </w:pPr>
    </w:p>
    <w:p>
      <w:pPr>
        <w:ind w:left="1620" w:right="779" w:hanging="352"/>
        <w:spacing w:after="0" w:line="258"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Asset Manager Affiliates and the Joint Venture,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4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Non-voting.</w:t>
      </w:r>
    </w:p>
    <w:p>
      <w:pPr>
        <w:spacing w:after="0" w:line="184" w:lineRule="exact"/>
        <w:rPr>
          <w:rFonts w:ascii="Times New Roman" w:cs="Times New Roman" w:eastAsia="Times New Roman" w:hAnsi="Times New Roman"/>
          <w:sz w:val="18"/>
          <w:szCs w:val="18"/>
          <w:color w:val="auto"/>
        </w:rPr>
      </w:pPr>
    </w:p>
    <w:p>
      <w:pPr>
        <w:ind w:left="1620" w:right="879" w:hanging="352"/>
        <w:spacing w:after="0" w:line="258"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4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has been received for this security.</w:t>
      </w:r>
    </w:p>
    <w:p>
      <w:pPr>
        <w:spacing w:after="0" w:line="184" w:lineRule="exact"/>
        <w:rPr>
          <w:rFonts w:ascii="Times New Roman" w:cs="Times New Roman" w:eastAsia="Times New Roman" w:hAnsi="Times New Roman"/>
          <w:sz w:val="18"/>
          <w:szCs w:val="18"/>
          <w:color w:val="auto"/>
        </w:rPr>
      </w:pPr>
    </w:p>
    <w:p>
      <w:pPr>
        <w:ind w:left="1620" w:right="1199" w:hanging="352"/>
        <w:spacing w:after="0" w:line="407"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security was on partial nonaccrual status, whereby we have recognized income on a portion of contractual PIK amounts due.</w:t>
      </w:r>
    </w:p>
    <w:p>
      <w:pPr>
        <w:ind w:left="1620" w:hanging="35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this investment was determined using significant unobservable inputs.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9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 per share)</w:t>
      </w:r>
    </w:p>
    <w:p>
      <w:pPr>
        <w:spacing w:after="0" w:line="118"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Per Share Data:</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asset value,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4.87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5.24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6.94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7.51</w:t>
            </w:r>
          </w:p>
        </w:tc>
        <w:tc>
          <w:tcPr>
            <w:tcW w:w="0" w:type="dxa"/>
            <w:vAlign w:val="bottom"/>
          </w:tcPr>
          <w:p>
            <w:pPr>
              <w:spacing w:after="0"/>
              <w:rPr>
                <w:sz w:val="1"/>
                <w:szCs w:val="1"/>
                <w:color w:val="auto"/>
              </w:rPr>
            </w:pPr>
          </w:p>
        </w:tc>
      </w:tr>
      <w:tr>
        <w:trPr>
          <w:trHeight w:val="203"/>
        </w:trPr>
        <w:tc>
          <w:tcPr>
            <w:tcW w:w="3040" w:type="dxa"/>
            <w:vAlign w:val="bottom"/>
            <w:gridSpan w:val="3"/>
            <w:shd w:val="clear" w:color="auto" w:fill="CCEEFF"/>
          </w:tcPr>
          <w:p>
            <w:pPr>
              <w:ind w:left="180"/>
              <w:spacing w:after="0" w:line="202" w:lineRule="exact"/>
              <w:rPr>
                <w:sz w:val="20"/>
                <w:szCs w:val="20"/>
                <w:color w:val="auto"/>
              </w:rPr>
            </w:pPr>
            <w:r>
              <w:rPr>
                <w:rFonts w:ascii="Times New Roman" w:cs="Times New Roman" w:eastAsia="Times New Roman" w:hAnsi="Times New Roman"/>
                <w:sz w:val="15"/>
                <w:szCs w:val="15"/>
                <w:color w:val="auto"/>
              </w:rPr>
              <w:t>Net investment income</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0.27</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0.30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0.50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0.65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4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5"/>
                <w:szCs w:val="15"/>
                <w:color w:val="auto"/>
              </w:rPr>
              <w:t>Net realized losses from investment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4"/>
                <w:szCs w:val="14"/>
                <w:color w:val="auto"/>
              </w:rPr>
              <w:t>transactions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(0.44)</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(0.19)</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(0.17)</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(0.17)</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(0.30)</w:t>
            </w:r>
          </w:p>
        </w:tc>
        <w:tc>
          <w:tcPr>
            <w:tcW w:w="0" w:type="dxa"/>
            <w:vAlign w:val="bottom"/>
          </w:tcPr>
          <w:p>
            <w:pPr>
              <w:spacing w:after="0"/>
              <w:rPr>
                <w:sz w:val="1"/>
                <w:szCs w:val="1"/>
                <w:color w:val="auto"/>
              </w:rPr>
            </w:pPr>
          </w:p>
        </w:tc>
      </w:tr>
      <w:tr>
        <w:trPr>
          <w:trHeight w:val="162"/>
        </w:trPr>
        <w:tc>
          <w:tcPr>
            <w:tcW w:w="304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5"/>
                <w:szCs w:val="15"/>
                <w:color w:val="auto"/>
              </w:rPr>
              <w:t>Realized losses from extinguishments of</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4"/>
                <w:szCs w:val="14"/>
                <w:color w:val="auto"/>
              </w:rPr>
              <w:t>debt</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(0.11)</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(0.02)</w:t>
            </w:r>
          </w:p>
        </w:tc>
        <w:tc>
          <w:tcPr>
            <w:tcW w:w="0" w:type="dxa"/>
            <w:vAlign w:val="bottom"/>
          </w:tcPr>
          <w:p>
            <w:pPr>
              <w:spacing w:after="0"/>
              <w:rPr>
                <w:sz w:val="1"/>
                <w:szCs w:val="1"/>
                <w:color w:val="auto"/>
              </w:rPr>
            </w:pPr>
          </w:p>
        </w:tc>
      </w:tr>
      <w:tr>
        <w:trPr>
          <w:trHeight w:val="162"/>
        </w:trPr>
        <w:tc>
          <w:tcPr>
            <w:tcW w:w="304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5"/>
                <w:szCs w:val="15"/>
                <w:color w:val="auto"/>
              </w:rPr>
              <w:t>Net change in unrealized appreciation</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(0.08)</w:t>
            </w:r>
          </w:p>
        </w:tc>
        <w:tc>
          <w:tcPr>
            <w:tcW w:w="10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0.09</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(0.36)</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(0.97)</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189"/>
        </w:trPr>
        <w:tc>
          <w:tcPr>
            <w:tcW w:w="304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4"/>
                <w:szCs w:val="14"/>
                <w:color w:val="auto"/>
              </w:rPr>
              <w:t>(depreciation) of investments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increase (decrease) in net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(0.26)</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0.09</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(0.50)</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resulting from operations</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Net decrease in net assets resulting from</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Distribution of ordinary income</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(0.25)</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(0.16)</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(0.40)</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(0.63)</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(0.78)</w:t>
            </w:r>
          </w:p>
        </w:tc>
        <w:tc>
          <w:tcPr>
            <w:tcW w:w="0" w:type="dxa"/>
            <w:vAlign w:val="bottom"/>
          </w:tcPr>
          <w:p>
            <w:pPr>
              <w:spacing w:after="0"/>
              <w:rPr>
                <w:sz w:val="1"/>
                <w:szCs w:val="1"/>
                <w:color w:val="auto"/>
              </w:rPr>
            </w:pPr>
          </w:p>
        </w:tc>
      </w:tr>
      <w:tr>
        <w:trPr>
          <w:trHeight w:val="203"/>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Return of capital</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(0.15)</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(0.32)</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(0.19)</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(0.22)</w:t>
            </w: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5"/>
                <w:szCs w:val="15"/>
                <w:color w:val="auto"/>
              </w:rPr>
              <w:t>Net decrease in net assets resulting</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(0.40)</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(0.48)</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(0.59)</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(0.63)</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76"/>
        </w:trPr>
        <w:tc>
          <w:tcPr>
            <w:tcW w:w="304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from stockholder distributions</w:t>
            </w: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Net increase (decrease) in net assets relating</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to capital share transactions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Offering of common stock</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5"/>
                <w:szCs w:val="15"/>
                <w:color w:val="auto"/>
              </w:rPr>
              <w:t>Common stock withheld for payroll</w:t>
            </w:r>
          </w:p>
        </w:tc>
        <w:tc>
          <w:tcPr>
            <w:tcW w:w="10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04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taxes upon vesting of restricted stock</w:t>
            </w: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Dividend reinvestment plan</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 based compensation</w:t>
            </w:r>
          </w:p>
        </w:tc>
        <w:tc>
          <w:tcPr>
            <w:tcW w:w="2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(0.03)</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increase (decrease) in net assets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vMerge w:val="continue"/>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2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2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2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2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relating to capital share transactions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Net asset value,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4.87</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5.82</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line="197" w:lineRule="exact"/>
              <w:rPr>
                <w:sz w:val="20"/>
                <w:szCs w:val="20"/>
                <w:color w:val="auto"/>
              </w:rPr>
            </w:pPr>
            <w:r>
              <w:rPr>
                <w:rFonts w:ascii="Times New Roman" w:cs="Times New Roman" w:eastAsia="Times New Roman" w:hAnsi="Times New Roman"/>
                <w:sz w:val="15"/>
                <w:szCs w:val="15"/>
                <w:color w:val="auto"/>
              </w:rPr>
              <w:t>Total net asset value return</w:t>
            </w:r>
            <w:r>
              <w:rPr>
                <w:rFonts w:ascii="Times New Roman" w:cs="Times New Roman" w:eastAsia="Times New Roman" w:hAnsi="Times New Roman"/>
                <w:sz w:val="22"/>
                <w:szCs w:val="22"/>
                <w:color w:val="auto"/>
                <w:vertAlign w:val="superscript"/>
              </w:rPr>
              <w:t>(2)</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3"/>
                <w:szCs w:val="13"/>
                <w:color w:val="auto"/>
              </w:rPr>
            </w:pPr>
          </w:p>
        </w:tc>
        <w:tc>
          <w:tcPr>
            <w:tcW w:w="9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297"/>
        </w:trPr>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Ratio/Supplemental Data:</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share market value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4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color w:val="auto"/>
              </w:rPr>
              <w:t>Per share market value at end of period</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3.46</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3.41</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3.98</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4.07</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80"/>
              <w:spacing w:after="0" w:line="167" w:lineRule="exact"/>
              <w:rPr>
                <w:sz w:val="20"/>
                <w:szCs w:val="20"/>
                <w:color w:val="auto"/>
              </w:rPr>
            </w:pPr>
            <w:r>
              <w:rPr>
                <w:rFonts w:ascii="Times New Roman" w:cs="Times New Roman" w:eastAsia="Times New Roman" w:hAnsi="Times New Roman"/>
                <w:sz w:val="15"/>
                <w:szCs w:val="15"/>
                <w:color w:val="auto"/>
              </w:rPr>
              <w:t>6.82</w:t>
            </w:r>
          </w:p>
        </w:tc>
        <w:tc>
          <w:tcPr>
            <w:tcW w:w="0" w:type="dxa"/>
            <w:vAlign w:val="bottom"/>
          </w:tcPr>
          <w:p>
            <w:pPr>
              <w:spacing w:after="0"/>
              <w:rPr>
                <w:sz w:val="1"/>
                <w:szCs w:val="1"/>
                <w:color w:val="auto"/>
              </w:rPr>
            </w:pPr>
          </w:p>
        </w:tc>
      </w:tr>
      <w:tr>
        <w:trPr>
          <w:trHeight w:val="224"/>
        </w:trPr>
        <w:tc>
          <w:tcPr>
            <w:tcW w:w="304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Total market return</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89"/>
        </w:trPr>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Shares outstanding at end of period</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37,326,846</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37,339,224</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37,178,294</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37,100,005</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36,775,127</w:t>
            </w:r>
          </w:p>
        </w:tc>
        <w:tc>
          <w:tcPr>
            <w:tcW w:w="0" w:type="dxa"/>
            <w:vAlign w:val="bottom"/>
          </w:tcPr>
          <w:p>
            <w:pPr>
              <w:spacing w:after="0"/>
              <w:rPr>
                <w:sz w:val="1"/>
                <w:szCs w:val="1"/>
                <w:color w:val="auto"/>
              </w:rPr>
            </w:pPr>
          </w:p>
        </w:tc>
      </w:tr>
      <w:tr>
        <w:trPr>
          <w:trHeight w:val="203"/>
        </w:trPr>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assets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158,021,011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181,804,576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194,924,925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216,100,470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255,316,701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Times New Roman" w:cs="Times New Roman" w:eastAsia="Times New Roman" w:hAnsi="Times New Roman"/>
                <w:sz w:val="15"/>
                <w:szCs w:val="15"/>
                <w:color w:val="auto"/>
              </w:rPr>
              <w:t>Portfolio turnover rate</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32.5%</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45.8%</w:t>
            </w:r>
          </w:p>
        </w:tc>
        <w:tc>
          <w:tcPr>
            <w:tcW w:w="0" w:type="dxa"/>
            <w:vAlign w:val="bottom"/>
          </w:tcPr>
          <w:p>
            <w:pPr>
              <w:spacing w:after="0"/>
              <w:rPr>
                <w:sz w:val="1"/>
                <w:szCs w:val="1"/>
                <w:color w:val="auto"/>
              </w:rPr>
            </w:pPr>
          </w:p>
        </w:tc>
      </w:tr>
      <w:tr>
        <w:trPr>
          <w:trHeight w:val="203"/>
        </w:trPr>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Average par debt outstanding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105,230,252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134,020,367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189,836,675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8"/>
              </w:rPr>
              <w:t>224,498,433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196,622,077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Asset coverage ratio</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271%</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211%</w:t>
            </w:r>
          </w:p>
        </w:tc>
        <w:tc>
          <w:tcPr>
            <w:tcW w:w="0" w:type="dxa"/>
            <w:vAlign w:val="bottom"/>
          </w:tcPr>
          <w:p>
            <w:pPr>
              <w:spacing w:after="0"/>
              <w:rPr>
                <w:sz w:val="1"/>
                <w:szCs w:val="1"/>
                <w:color w:val="auto"/>
              </w:rPr>
            </w:pPr>
          </w:p>
        </w:tc>
      </w:tr>
      <w:tr>
        <w:trPr>
          <w:trHeight w:val="176"/>
        </w:trPr>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Ratio of net investment income to average</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tcPr>
          <w:p>
            <w:pPr>
              <w:spacing w:after="0"/>
              <w:rPr>
                <w:sz w:val="15"/>
                <w:szCs w:val="15"/>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17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net assets</w:t>
            </w: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Ratio of total expenses to average net assets</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203"/>
        </w:trPr>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Ratio of interest expense to average net assets</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76"/>
        </w:trPr>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Ratio of non-interest expenses to average net</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5"/>
                <w:szCs w:val="15"/>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98"/>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assets</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-4567555</wp:posOffset>
            </wp:positionV>
            <wp:extent cx="5213985" cy="2228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-3684270</wp:posOffset>
            </wp:positionV>
            <wp:extent cx="5213985" cy="1200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12001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-2046605</wp:posOffset>
            </wp:positionV>
            <wp:extent cx="5213985"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-1489075</wp:posOffset>
            </wp:positionV>
            <wp:extent cx="5213985"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-716915</wp:posOffset>
            </wp:positionV>
            <wp:extent cx="5213985" cy="2228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-365125</wp:posOffset>
            </wp:positionV>
            <wp:extent cx="5213985"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-2414905</wp:posOffset>
            </wp:positionV>
            <wp:extent cx="5213985" cy="2228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-3435350</wp:posOffset>
            </wp:positionV>
            <wp:extent cx="5213985" cy="2228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-4121785</wp:posOffset>
            </wp:positionV>
            <wp:extent cx="14605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-4121785</wp:posOffset>
            </wp:positionV>
            <wp:extent cx="1460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-4121785</wp:posOffset>
            </wp:positionV>
            <wp:extent cx="14605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-4121785</wp:posOffset>
            </wp:positionV>
            <wp:extent cx="261556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1556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-5167630</wp:posOffset>
            </wp:positionV>
            <wp:extent cx="1371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-5167630</wp:posOffset>
            </wp:positionV>
            <wp:extent cx="137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-5167630</wp:posOffset>
            </wp:positionV>
            <wp:extent cx="137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-5167630</wp:posOffset>
            </wp:positionV>
            <wp:extent cx="260731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131445</wp:posOffset>
            </wp:positionV>
            <wp:extent cx="12350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0" w:lineRule="exact"/>
        <w:rPr>
          <w:sz w:val="20"/>
          <w:szCs w:val="20"/>
          <w:color w:val="auto"/>
        </w:rPr>
      </w:pPr>
    </w:p>
    <w:p>
      <w:pPr>
        <w:ind w:left="1620" w:hanging="352"/>
        <w:spacing w:after="0"/>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weighted average number of common shares outstanding for the period.</w:t>
      </w:r>
    </w:p>
    <w:p>
      <w:pPr>
        <w:spacing w:after="0" w:line="63" w:lineRule="exact"/>
        <w:rPr>
          <w:rFonts w:ascii="Times New Roman" w:cs="Times New Roman" w:eastAsia="Times New Roman" w:hAnsi="Times New Roman"/>
          <w:sz w:val="18"/>
          <w:szCs w:val="18"/>
          <w:color w:val="auto"/>
        </w:rPr>
      </w:pPr>
    </w:p>
    <w:p>
      <w:pPr>
        <w:ind w:left="1620" w:right="879" w:hanging="352"/>
        <w:spacing w:after="0" w:line="266"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asset value return equals the change in the ending of period net asset value per share over the beginning of period net asset value per share plus distributions (including any return of capital), divided by the beginning of period net asset value per share.</w:t>
      </w:r>
    </w:p>
    <w:p>
      <w:pPr>
        <w:spacing w:after="0" w:line="14" w:lineRule="exact"/>
        <w:rPr>
          <w:rFonts w:ascii="Times New Roman" w:cs="Times New Roman" w:eastAsia="Times New Roman" w:hAnsi="Times New Roman"/>
          <w:sz w:val="18"/>
          <w:szCs w:val="18"/>
          <w:color w:val="auto"/>
        </w:rPr>
      </w:pPr>
    </w:p>
    <w:p>
      <w:pPr>
        <w:ind w:left="1620" w:right="799" w:hanging="352"/>
        <w:spacing w:after="0" w:line="266"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market return equals the change in the ending of period market price per share over the beginning of period price per share plus distributions (including any return of capital), divided by the beginning of period market price per share.</w:t>
      </w:r>
    </w:p>
    <w:p>
      <w:pPr>
        <w:ind w:left="1620" w:right="839" w:hanging="352"/>
        <w:spacing w:after="0" w:line="281"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equals the year-to-date sales and paydowns over the average of the invested assets at fair value.</w:t>
      </w:r>
    </w:p>
    <w:p>
      <w:pPr>
        <w:spacing w:after="0" w:line="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sum due to rounding.</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08"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KCAP Financial, Inc. (“KCAP” or the “Company”) is an internally managed, non-diversified closed-end investment company that is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85"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color w:val="auto"/>
        </w:rPr>
        <w:t>During the third quarter of 2017, the Company formed a joint venture with Freedom 3 Opportunities LLC (“Freedom 3 Opportunities”), an affiliate of Freedom 3 Capital LLC, to create KCAP Freedom 3 LLC (the “Joint Venture”). The Company and Freedom 3 Opportunities LLC contributed approximately $37 million and</w:t>
      </w:r>
    </w:p>
    <w:p>
      <w:pPr>
        <w:spacing w:after="0" w:line="2" w:lineRule="exact"/>
        <w:rPr>
          <w:sz w:val="20"/>
          <w:szCs w:val="20"/>
          <w:color w:val="auto"/>
        </w:rPr>
      </w:pPr>
    </w:p>
    <w:p>
      <w:pPr>
        <w:ind w:left="1260" w:right="899"/>
        <w:spacing w:after="0" w:line="252" w:lineRule="auto"/>
        <w:rPr>
          <w:sz w:val="20"/>
          <w:szCs w:val="20"/>
          <w:color w:val="auto"/>
        </w:rPr>
      </w:pPr>
      <w:r>
        <w:rPr>
          <w:rFonts w:ascii="Times New Roman" w:cs="Times New Roman" w:eastAsia="Times New Roman" w:hAnsi="Times New Roman"/>
          <w:sz w:val="18"/>
          <w:szCs w:val="18"/>
          <w:color w:val="auto"/>
        </w:rPr>
        <w:t>$25 million, respectively, in assets to the Joint Venture, which in turn used the assets to capitalize a new fund (KCAP FC3 Senior Funding, L.L.C. or the “Fund”) managed by KCAP Management, LLC, one of the Company’s indirectly wholly-owned Asset Manager Affiliate subsidiaries.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82"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7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6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The Company may also invest in other investments such as debt and subordinated securities issued by CLO Funds (“CLO Fund Securities”) and loans to publicly-traded companies, high-yield bonds, joint venture and distressed debt securities. The Company may also receive warrants or options to purchase common stock in connection with its debt investments.</w:t>
      </w:r>
    </w:p>
    <w:p>
      <w:pPr>
        <w:spacing w:after="0" w:line="7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76" w:lineRule="exact"/>
        <w:rPr>
          <w:sz w:val="20"/>
          <w:szCs w:val="20"/>
          <w:color w:val="auto"/>
        </w:rPr>
      </w:pPr>
    </w:p>
    <w:p>
      <w:pPr>
        <w:ind w:left="1260" w:right="799" w:firstLine="360"/>
        <w:spacing w:after="0" w:line="272" w:lineRule="auto"/>
        <w:rPr>
          <w:sz w:val="20"/>
          <w:szCs w:val="20"/>
          <w:color w:val="auto"/>
        </w:rPr>
      </w:pPr>
      <w:r>
        <w:rPr>
          <w:rFonts w:ascii="Times New Roman" w:cs="Times New Roman" w:eastAsia="Times New Roman" w:hAnsi="Times New Roman"/>
          <w:sz w:val="17"/>
          <w:szCs w:val="17"/>
          <w:color w:val="auto"/>
        </w:rPr>
        <w:t>On March 29, 2018, the Company’s Board of Directors,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will be changed from 200% to 150%, effective as of March 29, 2019. However, despite the SBCA, we will continue to be prohibited by the indentures governing our 6.125% Notes (each, as defined and discussed in Note 6 — “Borrowings” below) from making distributions on our common stock if our asset coverage, as defined in the 1940 Act, falls below 200%. In any such event, we would be prohibited from making distributions required in order to maintain our status as a RIC.</w:t>
      </w:r>
    </w:p>
    <w:p>
      <w:pPr>
        <w:spacing w:after="0" w:line="2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 – (continued)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LibreMax Transaction</w:t>
      </w:r>
    </w:p>
    <w:p>
      <w:pPr>
        <w:spacing w:after="0" w:line="108" w:lineRule="exact"/>
        <w:rPr>
          <w:sz w:val="20"/>
          <w:szCs w:val="20"/>
          <w:color w:val="auto"/>
        </w:rPr>
      </w:pPr>
    </w:p>
    <w:p>
      <w:pPr>
        <w:ind w:left="1260" w:right="879" w:firstLine="360"/>
        <w:spacing w:after="0" w:line="253" w:lineRule="auto"/>
        <w:rPr>
          <w:sz w:val="20"/>
          <w:szCs w:val="20"/>
          <w:color w:val="auto"/>
        </w:rPr>
      </w:pPr>
      <w:r>
        <w:rPr>
          <w:rFonts w:ascii="Times New Roman" w:cs="Times New Roman" w:eastAsia="Times New Roman" w:hAnsi="Times New Roman"/>
          <w:sz w:val="18"/>
          <w:szCs w:val="18"/>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December 31, 2018,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Externalization Agreement</w:t>
      </w:r>
    </w:p>
    <w:p>
      <w:pPr>
        <w:spacing w:after="0" w:line="108"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At a meeting of the Company’s Board of Directors held on December 12, 2018, the Board, including all of its independent directors, unanimously voted to approve an investment advisory agreement (the “Advisory Agreement”) between the Company and Sierra Crest Investment Management LLC (the “Adviser”), an affiliate of BC Partners LLP (“BC Partners”), contingent upon entering into a stock purchase and transaction agreement (the “Externalization Agreement”) with BC Partners Advisors L.P. (“BCP”), an affiliate of BC Partners, obtaining Company stockholder approval of the Advisory Agreement, and closing of the transactions contemplated by the Externalization Agreement (the “Closing”), and determined that the Advisory Agreement is in the best interests of the Company and its stockholders. At the special meeting of the Company’s stockholders (the “Special Meeting”) held on February 19, 2019, the Company’s stockholders approved the Advisory Agreement. If the transactions contemplated by the Externalization Agreement are completed, upon the Closing, the Company will commence operations as an externally managed BDC managed by the Adviser.</w:t>
      </w:r>
    </w:p>
    <w:p>
      <w:pPr>
        <w:spacing w:after="0" w:line="85" w:lineRule="exact"/>
        <w:rPr>
          <w:sz w:val="20"/>
          <w:szCs w:val="20"/>
          <w:color w:val="auto"/>
        </w:rPr>
      </w:pPr>
    </w:p>
    <w:p>
      <w:pPr>
        <w:ind w:left="1260" w:right="859" w:firstLine="360"/>
        <w:spacing w:after="0" w:line="253" w:lineRule="auto"/>
        <w:rPr>
          <w:sz w:val="20"/>
          <w:szCs w:val="20"/>
          <w:color w:val="auto"/>
        </w:rPr>
      </w:pPr>
      <w:r>
        <w:rPr>
          <w:rFonts w:ascii="Times New Roman" w:cs="Times New Roman" w:eastAsia="Times New Roman" w:hAnsi="Times New Roman"/>
          <w:sz w:val="18"/>
          <w:szCs w:val="18"/>
          <w:color w:val="auto"/>
        </w:rPr>
        <w:t>Pursuant to the Externalization Agreement with BCP, the Adviser will become the Company’s investment adviser in exchange for a cash payment from BCP, or its affiliate, of $25 million, or approximately $0.67 per share of the Company’s common stock, directly to the Company’s stockholders. In addition, following the Closing, the Adviser (or its affiliate) will use up to $10 million of the incentive fee actually paid to the Adviser prior to the second anniversary of the Closing date to buy newly issued shares of the Company’s common stock at the most recently determined net asset value per share of the Company’s common stock at the time of such purchase. For the period of one year from the first day of the first quarter following the quarter in which the Advisory Agreement becomes effective,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 BCP and the Adviser’s total financial commitment to the transactions contemplated by the Externalization Agreement is $35.0 million.</w:t>
      </w:r>
    </w:p>
    <w:p>
      <w:pPr>
        <w:spacing w:after="0" w:line="83"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Company anticipates that the Closing will occur at the end of the quarter ending March 31, 2019, but the Company will issue a press release announcing the record date and payment date of the stockholder payment.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About the Adviser</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At the Closing, the Adviser, an affiliate of BC Partners, will become the investment adviser of the Company. LibreMax intends to own a portion of the Adviser. Subject to the overall supervision of the Board, the Adviser will be responsible for managing the Company’s business and activities, including</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 – (continued)</w:t>
      </w:r>
    </w:p>
    <w:p>
      <w:pPr>
        <w:spacing w:after="0" w:line="202" w:lineRule="exact"/>
        <w:rPr>
          <w:sz w:val="20"/>
          <w:szCs w:val="20"/>
          <w:color w:val="auto"/>
        </w:rPr>
      </w:pPr>
    </w:p>
    <w:p>
      <w:pPr>
        <w:ind w:left="1260" w:right="839"/>
        <w:spacing w:after="0" w:line="266" w:lineRule="auto"/>
        <w:rPr>
          <w:sz w:val="20"/>
          <w:szCs w:val="20"/>
          <w:color w:val="auto"/>
        </w:rPr>
      </w:pPr>
      <w:r>
        <w:rPr>
          <w:rFonts w:ascii="Times New Roman" w:cs="Times New Roman" w:eastAsia="Times New Roman" w:hAnsi="Times New Roman"/>
          <w:sz w:val="18"/>
          <w:szCs w:val="18"/>
          <w:color w:val="auto"/>
        </w:rPr>
        <w:t>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68"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The Adviser will seek to invest on behalf of the Company in performing, well-established middle market businesses that operate across a wide range of industries (i.e., no concentration in any one industry). The Adviser will employ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will seek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Advisory Agreement</w:t>
      </w:r>
    </w:p>
    <w:p>
      <w:pPr>
        <w:spacing w:after="0" w:line="108"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Pursuant to the terms of the Advisory Agreement, the Company will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will consist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will be 17.50% of pre-incentive fee net investment income with a 7.00% hurdle rate. The Capital Gains Fee will be 17.50%.</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accrual basis of accounting in conformity with U.S. generally accepted accounting principles (“GAAP”).</w:t>
      </w:r>
    </w:p>
    <w:p>
      <w:pPr>
        <w:spacing w:after="0" w:line="54"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Certain prior-year amounts have been reclassified to conform to the current year presentation.</w:t>
      </w:r>
    </w:p>
    <w:p>
      <w:pPr>
        <w:spacing w:after="0" w:line="81"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Company consolidates the financial statements of its wholly-owned special purpose financing subsidiaries KCAP Funding I LLC, Kolhberg Capital Funding LLC I, KCAP Senior Funding I, LLC and KCAP Funding I Holdings, LLC in its consolidated financial statements as they are operated solely for</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ind w:left="1260" w:right="799"/>
        <w:spacing w:after="0" w:line="261" w:lineRule="auto"/>
        <w:rPr>
          <w:sz w:val="20"/>
          <w:szCs w:val="20"/>
          <w:color w:val="auto"/>
        </w:rPr>
      </w:pPr>
      <w:r>
        <w:rPr>
          <w:rFonts w:ascii="Times New Roman" w:cs="Times New Roman" w:eastAsia="Times New Roman" w:hAnsi="Times New Roman"/>
          <w:sz w:val="18"/>
          <w:szCs w:val="18"/>
          <w:color w:val="auto"/>
        </w:rPr>
        <w:t>investment activities of the Company. The creditors of KCAP Senior Funding I, LLC received security interests in the assets which are owned by KCAP Funding I, LLC and such assets are not intended to be available to the creditors of KCAP Financial, Inc., or any other affiliate. All of the borrowings of Kolhberg Capital Funding LLC I, and KCAP Senior Funding I, LLC have been fully repaid.</w:t>
      </w:r>
    </w:p>
    <w:p>
      <w:pPr>
        <w:spacing w:after="0" w:line="58" w:lineRule="exact"/>
        <w:rPr>
          <w:sz w:val="20"/>
          <w:szCs w:val="20"/>
          <w:color w:val="auto"/>
        </w:rPr>
      </w:pPr>
    </w:p>
    <w:p>
      <w:pPr>
        <w:ind w:left="1260" w:right="95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45"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58" w:lineRule="exact"/>
        <w:rPr>
          <w:sz w:val="20"/>
          <w:szCs w:val="20"/>
          <w:color w:val="auto"/>
        </w:rPr>
      </w:pPr>
    </w:p>
    <w:p>
      <w:pPr>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In addition, in accordance with Regulation S-X promulgated by the SEC, additional financial information with respect to one of the CLO Funds in which the Company had an investment, Katonah 2007-I CLO Ltd. (“Katonah 2007-I CLO”), is required to be included in the Company’s SEC filings. Summarized financial information regarding the Asset Manager Affiliates and Katonah 2007-I CLO (pursuant to Rule 4-08 (g)) is set forth in Note 5 to these financial statements.</w:t>
      </w:r>
    </w:p>
    <w:p>
      <w:pPr>
        <w:spacing w:after="0" w:line="6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54"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It is the Company’s primary investment objective to generate current income and, to a lesser extent, capital appreciation by lending directly to privately-held middle market companies. During the year ended December 31, 2018, the Company provided approximately $118.2 million to portfolio companies to support their growth objectives, approximately $12.9 million which was contractually obligated. See also Note 8 — Commitments and Contingencies. As of December 31, 2018, the Company held loans it made to 51 investee companies with aggregate principal amounts of approximately $164.5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year ended December 31, 2018, the Company did not engage in any such or similar activities.</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65"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has concluded that the majority of its revenues associated with the financial instruments are scoped out of ASC 606 and therefore there was no material impact for adoption.</w:t>
      </w:r>
    </w:p>
    <w:p>
      <w:pPr>
        <w:spacing w:after="0" w:line="2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Pending Accounting Pronouncements</w:t>
      </w:r>
    </w:p>
    <w:p>
      <w:pPr>
        <w:spacing w:after="0" w:line="106"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In March 2017, the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Management does not anticipate that the adoption of ASU 2017-08 will have a material impact on the financial position or results of operations of the Company.</w:t>
      </w:r>
    </w:p>
    <w:p>
      <w:pPr>
        <w:spacing w:after="0" w:line="77" w:lineRule="exact"/>
        <w:rPr>
          <w:sz w:val="20"/>
          <w:szCs w:val="20"/>
          <w:color w:val="auto"/>
        </w:rPr>
      </w:pPr>
    </w:p>
    <w:p>
      <w:pPr>
        <w:ind w:left="1260" w:right="919" w:firstLine="360"/>
        <w:spacing w:after="0" w:line="255" w:lineRule="auto"/>
        <w:rPr>
          <w:sz w:val="20"/>
          <w:szCs w:val="20"/>
          <w:color w:val="auto"/>
        </w:rPr>
      </w:pPr>
      <w:r>
        <w:rPr>
          <w:rFonts w:ascii="Times New Roman" w:cs="Times New Roman" w:eastAsia="Times New Roman" w:hAnsi="Times New Roman"/>
          <w:sz w:val="18"/>
          <w:szCs w:val="18"/>
          <w:color w:val="auto"/>
        </w:rPr>
        <w:t>In August 2018, the FASB issued Accounting Standards Update 2018-13, Fair Value Measurement (Topic 820): Disclosure Framework — Changes to the Disclosure Requirements for Fair Value Measurement (“ASU 2018-13”)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standard will modify the disclosure requirements for fair value measurements by removing, modifying, or adding certain disclosures. ASU 2018-13 is effective for annual reporting periods beginning after December 15, 2019, including interim periods within that reporting period. Early adoption is permitted upon issuance of this ASU 2018-13. We are permitted to early adopt any removed or modified disclosures upon issuance of ASU 2018-13 and delay adoption of the additional disclosures until their effective date. We are currently evaluating the impact of adopting ASU 2018-13 on our consolidated financial statements.</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February 2016, the FASB issued ASU 2016-02, Leases, and several amendments (collectively,</w:t>
      </w:r>
    </w:p>
    <w:p>
      <w:pPr>
        <w:spacing w:after="0" w:line="27" w:lineRule="exact"/>
        <w:rPr>
          <w:sz w:val="20"/>
          <w:szCs w:val="20"/>
          <w:color w:val="auto"/>
        </w:rPr>
      </w:pPr>
    </w:p>
    <w:p>
      <w:pPr>
        <w:jc w:val="both"/>
        <w:ind w:left="1260" w:right="859"/>
        <w:spacing w:after="0" w:line="250" w:lineRule="auto"/>
        <w:rPr>
          <w:sz w:val="20"/>
          <w:szCs w:val="20"/>
          <w:color w:val="auto"/>
        </w:rPr>
      </w:pPr>
      <w:r>
        <w:rPr>
          <w:rFonts w:ascii="Times New Roman" w:cs="Times New Roman" w:eastAsia="Times New Roman" w:hAnsi="Times New Roman"/>
          <w:sz w:val="18"/>
          <w:szCs w:val="18"/>
          <w:color w:val="auto"/>
        </w:rPr>
        <w:t>“ASU 2016-02”), which requires lessees to recognize assets and liabilities arising from most operating leases on the consolidated statements of financial condition. For operating leases, a lessee is required to do the following:</w:t>
      </w:r>
    </w:p>
    <w:p>
      <w:pPr>
        <w:spacing w:after="0" w:line="1" w:lineRule="exact"/>
        <w:rPr>
          <w:sz w:val="20"/>
          <w:szCs w:val="20"/>
          <w:color w:val="auto"/>
        </w:rPr>
      </w:pPr>
    </w:p>
    <w:p>
      <w:pPr>
        <w:ind w:left="1260" w:right="839" w:firstLine="8"/>
        <w:spacing w:after="0" w:line="252" w:lineRule="auto"/>
        <w:tabs>
          <w:tab w:leader="none" w:pos="15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Early application is permitted. The Company expects to record an asset and liability of approximately $4.3 million upon adoption of this standard.</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Investment transactions are recorded on the applicable trade date. Realized gains or losses are determined using the specific identification method.</w:t>
      </w:r>
    </w:p>
    <w:p>
      <w:pPr>
        <w:spacing w:after="0" w:line="52"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Valuation of Portfolio Investments</w:t>
      </w:r>
      <w:r>
        <w:rPr>
          <w:rFonts w:ascii="Times New Roman" w:cs="Times New Roman" w:eastAsia="Times New Roman" w:hAnsi="Times New Roman"/>
          <w:sz w:val="18"/>
          <w:szCs w:val="18"/>
          <w:color w:val="auto"/>
        </w:rPr>
        <w:t>. The Company’s Board of Directors is ultimately and solely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making a good faith determination of the 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87"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w:t>
      </w: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jc w:val="both"/>
        <w:ind w:left="1260" w:right="779"/>
        <w:spacing w:after="0" w:line="266" w:lineRule="auto"/>
        <w:rPr>
          <w:sz w:val="20"/>
          <w:szCs w:val="20"/>
          <w:color w:val="auto"/>
        </w:rPr>
      </w:pPr>
      <w:r>
        <w:rPr>
          <w:rFonts w:ascii="Times New Roman" w:cs="Times New Roman" w:eastAsia="Times New Roman" w:hAnsi="Times New Roman"/>
          <w:sz w:val="18"/>
          <w:szCs w:val="18"/>
          <w:color w:val="auto"/>
        </w:rPr>
        <w:t>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6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7" w:lineRule="exact"/>
        <w:rPr>
          <w:sz w:val="20"/>
          <w:szCs w:val="20"/>
          <w:color w:val="auto"/>
        </w:rPr>
      </w:pPr>
    </w:p>
    <w:p>
      <w:pPr>
        <w:ind w:left="1260" w:right="899" w:firstLine="360"/>
        <w:spacing w:after="0" w:line="256" w:lineRule="auto"/>
        <w:rPr>
          <w:sz w:val="20"/>
          <w:szCs w:val="20"/>
          <w:color w:val="auto"/>
        </w:rPr>
      </w:pPr>
      <w:r>
        <w:rPr>
          <w:rFonts w:ascii="Times New Roman" w:cs="Times New Roman" w:eastAsia="Times New Roman" w:hAnsi="Times New Roman"/>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78" w:lineRule="exact"/>
        <w:rPr>
          <w:sz w:val="20"/>
          <w:szCs w:val="20"/>
          <w:color w:val="auto"/>
        </w:rPr>
      </w:pPr>
    </w:p>
    <w:p>
      <w:pPr>
        <w:ind w:left="1260" w:right="759" w:firstLine="36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Debt Securities. </w:t>
      </w:r>
      <w:r>
        <w:rPr>
          <w:rFonts w:ascii="Times New Roman" w:cs="Times New Roman" w:eastAsia="Times New Roman" w:hAnsi="Times New Roman"/>
          <w:sz w:val="17"/>
          <w:szCs w:val="17"/>
          <w:color w:val="auto"/>
        </w:rPr>
        <w:t>To the extent that the Company’s investments are exchange traded and are priced or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sufficient price indications from normal 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68"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w:t>
      </w: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ind w:left="1260" w:right="839"/>
        <w:spacing w:after="0" w:line="258" w:lineRule="auto"/>
        <w:rPr>
          <w:sz w:val="20"/>
          <w:szCs w:val="20"/>
          <w:color w:val="auto"/>
        </w:rPr>
      </w:pPr>
      <w:r>
        <w:rPr>
          <w:rFonts w:ascii="Times New Roman" w:cs="Times New Roman" w:eastAsia="Times New Roman" w:hAnsi="Times New Roman"/>
          <w:sz w:val="18"/>
          <w:szCs w:val="18"/>
          <w:color w:val="auto"/>
        </w:rPr>
        <w:t>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w:t>
      </w:r>
    </w:p>
    <w:p>
      <w:pPr>
        <w:spacing w:after="0" w:line="74"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The Company’s equity securities in portfolio companies for which there is no liquid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market are carried at fair value based on 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83"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75"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Asset Manager Affiliates. </w:t>
      </w:r>
      <w:r>
        <w:rPr>
          <w:rFonts w:ascii="Times New Roman" w:cs="Times New Roman" w:eastAsia="Times New Roman" w:hAnsi="Times New Roman"/>
          <w:sz w:val="18"/>
          <w:szCs w:val="18"/>
          <w:color w:val="auto"/>
        </w:rPr>
        <w:t>The Company’s investments in its wholly-owned asset management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Manager Affiliates, are carried at fair 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77" w:lineRule="exact"/>
        <w:rPr>
          <w:sz w:val="20"/>
          <w:szCs w:val="20"/>
          <w:color w:val="auto"/>
        </w:rPr>
      </w:pPr>
    </w:p>
    <w:p>
      <w:pPr>
        <w:jc w:val="both"/>
        <w:ind w:left="1260" w:right="10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 Fund Securities. </w:t>
      </w:r>
      <w:r>
        <w:rPr>
          <w:rFonts w:ascii="Times New Roman" w:cs="Times New Roman" w:eastAsia="Times New Roman" w:hAnsi="Times New Roman"/>
          <w:sz w:val="18"/>
          <w:szCs w:val="18"/>
          <w:color w:val="auto"/>
        </w:rPr>
        <w:t>The Company typically makes a minority investment in the most junior class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CLO Funds. The investments held by CLO Funds generally relate to non-investment grade credit instruments issued by corporations.</w:t>
      </w:r>
    </w:p>
    <w:p>
      <w:pPr>
        <w:spacing w:after="0" w:line="67"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w:t>
      </w: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76" w:lineRule="exact"/>
        <w:rPr>
          <w:sz w:val="20"/>
          <w:szCs w:val="20"/>
          <w:color w:val="auto"/>
        </w:rPr>
      </w:pPr>
    </w:p>
    <w:p>
      <w:pPr>
        <w:ind w:left="1260" w:right="839" w:firstLine="360"/>
        <w:spacing w:after="0" w:line="252" w:lineRule="auto"/>
        <w:rPr>
          <w:sz w:val="20"/>
          <w:szCs w:val="20"/>
          <w:color w:val="auto"/>
        </w:rPr>
      </w:pPr>
      <w:r>
        <w:rPr>
          <w:rFonts w:ascii="Times New Roman" w:cs="Times New Roman" w:eastAsia="Times New Roman" w:hAnsi="Times New Roman"/>
          <w:sz w:val="18"/>
          <w:szCs w:val="18"/>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w:t>
      </w:r>
    </w:p>
    <w:p>
      <w:pPr>
        <w:spacing w:after="0" w:line="7" w:lineRule="exact"/>
        <w:rPr>
          <w:sz w:val="20"/>
          <w:szCs w:val="20"/>
          <w:color w:val="auto"/>
        </w:rPr>
      </w:pPr>
    </w:p>
    <w:p>
      <w:pPr>
        <w:ind w:left="1260" w:right="779"/>
        <w:spacing w:after="0" w:line="254" w:lineRule="auto"/>
        <w:rPr>
          <w:sz w:val="20"/>
          <w:szCs w:val="20"/>
          <w:color w:val="auto"/>
        </w:rPr>
      </w:pPr>
      <w:r>
        <w:rPr>
          <w:rFonts w:ascii="Times New Roman" w:cs="Times New Roman" w:eastAsia="Times New Roman" w:hAnsi="Times New Roman"/>
          <w:sz w:val="18"/>
          <w:szCs w:val="18"/>
          <w:color w:val="auto"/>
        </w:rPr>
        <w:t>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78"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9" w:lineRule="exact"/>
        <w:rPr>
          <w:sz w:val="20"/>
          <w:szCs w:val="20"/>
          <w:color w:val="auto"/>
        </w:rPr>
      </w:pPr>
    </w:p>
    <w:p>
      <w:pPr>
        <w:ind w:left="1260" w:right="8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The Company carries investments in joint ventures at fair value based upon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investments held by the joint venture. See Note 4 below, for more information regarding the Joint Venture.</w:t>
      </w:r>
    </w:p>
    <w:p>
      <w:pPr>
        <w:spacing w:after="0" w:line="50" w:lineRule="exact"/>
        <w:rPr>
          <w:sz w:val="20"/>
          <w:szCs w:val="20"/>
          <w:color w:val="auto"/>
        </w:rPr>
      </w:pPr>
    </w:p>
    <w:p>
      <w:pPr>
        <w:ind w:left="1260" w:right="8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Company defines cash as demand deposits. The Company places its cash with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and, at times, cash held in checking accounts may exceed the Federal Deposit Insurance Corporation insured limit.</w:t>
      </w:r>
    </w:p>
    <w:p>
      <w:pPr>
        <w:spacing w:after="0" w:line="65" w:lineRule="exact"/>
        <w:rPr>
          <w:sz w:val="20"/>
          <w:szCs w:val="20"/>
          <w:color w:val="auto"/>
        </w:rPr>
      </w:pPr>
    </w:p>
    <w:p>
      <w:pPr>
        <w:ind w:left="1260" w:right="8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Restricted cash and cash equivalents (e.g., money market funds) consists of cash held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reinvestment and quarterly interest and principal distribution (if any) to holders of notes issued by KCAP Funding I, LLC.</w:t>
      </w:r>
    </w:p>
    <w:p>
      <w:pPr>
        <w:spacing w:after="0" w:line="65" w:lineRule="exact"/>
        <w:rPr>
          <w:sz w:val="20"/>
          <w:szCs w:val="20"/>
          <w:color w:val="auto"/>
        </w:rPr>
      </w:pPr>
    </w:p>
    <w:p>
      <w:pPr>
        <w:ind w:left="1260" w:right="9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Short-term investments are generally comprised of money market accounts,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deposits, and U.S. treasury bills.</w:t>
      </w:r>
    </w:p>
    <w:p>
      <w:pPr>
        <w:spacing w:after="0" w:line="50"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including the amortization of premium and accretion of discount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 of payment-in-kind (“PIK”) interest, is 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w:t>
      </w: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jc w:val="both"/>
        <w:ind w:left="1260" w:right="1459"/>
        <w:spacing w:after="0" w:line="266" w:lineRule="auto"/>
        <w:rPr>
          <w:sz w:val="20"/>
          <w:szCs w:val="20"/>
          <w:color w:val="auto"/>
        </w:rPr>
      </w:pPr>
      <w:r>
        <w:rPr>
          <w:rFonts w:ascii="Times New Roman" w:cs="Times New Roman" w:eastAsia="Times New Roman" w:hAnsi="Times New Roman"/>
          <w:sz w:val="18"/>
          <w:szCs w:val="18"/>
          <w:color w:val="auto"/>
        </w:rPr>
        <w:t>non-accrual). Loans which are on partial or full non-accrual remain in such status until the borrower has demonstrated the ability and intent to pay contractual amounts due or such loans become current. As of December 31, 2018, five of our investments were on non-accrual status.</w:t>
      </w:r>
    </w:p>
    <w:p>
      <w:pPr>
        <w:spacing w:after="0" w:line="66"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Distributions from Asset Manager Affiliates. </w:t>
      </w:r>
      <w:r>
        <w:rPr>
          <w:rFonts w:ascii="Times New Roman" w:cs="Times New Roman" w:eastAsia="Times New Roman" w:hAnsi="Times New Roman"/>
          <w:sz w:val="18"/>
          <w:szCs w:val="18"/>
          <w:color w:val="auto"/>
        </w:rPr>
        <w:t>The Company records distributions from the Asset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on the declaration date, which 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81"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Investment Income on CLO Fund Securities</w:t>
      </w:r>
      <w:r>
        <w:rPr>
          <w:rFonts w:ascii="Times New Roman" w:cs="Times New Roman" w:eastAsia="Times New Roman" w:hAnsi="Times New Roman"/>
          <w:sz w:val="18"/>
          <w:szCs w:val="18"/>
          <w:color w:val="auto"/>
        </w:rPr>
        <w:t>. The Company generates investment income from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the most junior class of securities 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79"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77"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For non-junior class CLO Fund Securities, such as the Company’s investment in the Class E Notes of the KCAP F3C Senior Funding, L.L.C., interest is earned at a fixed spread relative to the LIBOR index.</w:t>
      </w:r>
    </w:p>
    <w:p>
      <w:pPr>
        <w:spacing w:after="0" w:line="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  For years ended December 31, 2018 and 2017, the Company recognized</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$3.1 million and $949,000 in investment income from its investment in the Joint Venture. As of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2018 and 2017, the fair value of the Company’s investment in the Joint Venture was approximately $18.4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$21.5 million, respectively. The Company recognizes investment income on its investment in the Joint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Venture based upon its share of the estimated earnings and profits of the Joint Venture. The final determination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tax attributes of distributions from the Joint Venture is made on an annual (full calendar year) basis at year-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end of the year based upon taxable income and distributions for the full year. Therefore, any estimate of tax</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attributes of distributions made on an interim basis may not be representative of the actual tax attributes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distributions for the full year.</w:t>
      </w:r>
    </w:p>
    <w:p>
      <w:pPr>
        <w:spacing w:after="0" w:line="97"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Capital Structuring Service Fees</w:t>
      </w:r>
      <w:r>
        <w:rPr>
          <w:rFonts w:ascii="Times New Roman" w:cs="Times New Roman" w:eastAsia="Times New Roman" w:hAnsi="Times New Roman"/>
          <w:sz w:val="18"/>
          <w:szCs w:val="18"/>
          <w:color w:val="auto"/>
        </w:rPr>
        <w:t>. The Company may earn ancillary structuring and other fees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origination, investment, disposition or 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0" w:lineRule="exact"/>
        <w:rPr>
          <w:sz w:val="20"/>
          <w:szCs w:val="20"/>
          <w:color w:val="auto"/>
        </w:rPr>
      </w:pPr>
    </w:p>
    <w:p>
      <w:pPr>
        <w:jc w:val="both"/>
        <w:ind w:left="1260" w:right="7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Debt Issuance Costs</w:t>
      </w:r>
      <w:r>
        <w:rPr>
          <w:rFonts w:ascii="Times New Roman" w:cs="Times New Roman" w:eastAsia="Times New Roman" w:hAnsi="Times New Roman"/>
          <w:sz w:val="18"/>
          <w:szCs w:val="18"/>
          <w:color w:val="auto"/>
        </w:rPr>
        <w:t>. Debt issuance costs represent fees and other direct costs incurred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borrowings. These amounts are capitalized and amortized using the effective interest method over the expected term of the borrowing.</w:t>
      </w:r>
    </w:p>
    <w:p>
      <w:pPr>
        <w:spacing w:after="0" w:line="65"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Extinguishment of debt</w:t>
      </w:r>
      <w:r>
        <w:rPr>
          <w:rFonts w:ascii="Times New Roman" w:cs="Times New Roman" w:eastAsia="Times New Roman" w:hAnsi="Times New Roman"/>
          <w:sz w:val="18"/>
          <w:szCs w:val="18"/>
          <w:color w:val="auto"/>
        </w:rPr>
        <w:t>. The Company must derecognize a liability if and only if it has been extinguished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delivery of cash, delivery of other 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is internally managed and expenses costs, as incurred, with regard to the running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operations. Primary operating expenses include employee salaries and benefits, the costs of identifying, evaluating, negotiating, closing, monitoring and servicing the Company’s investments and related overhead charges and expenses, including rental expense, and any interest expense incurred in connection with borrowings. Through December 31, 2018, the Company and the Asset Manager Affiliates shared office space and certain other operating expenses. The Company entered into an Overhead Allocation Agreement with the Asset Manager Affiliates which provided for the sharing of such expenses based on an allocation of office lease costs and the ratable usage of other shared resources.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Shareholder Distributions</w:t>
      </w:r>
      <w:r>
        <w:rPr>
          <w:rFonts w:ascii="Times New Roman" w:cs="Times New Roman" w:eastAsia="Times New Roman" w:hAnsi="Times New Roman"/>
          <w:sz w:val="18"/>
          <w:szCs w:val="18"/>
          <w:color w:val="auto"/>
        </w:rPr>
        <w:t>.  Distributions to common stockholders are recorded on the ex-dividend date.</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amount of distributions, if any, is determined by the Board of Directors each quarter.</w:t>
      </w:r>
    </w:p>
    <w:p>
      <w:pPr>
        <w:spacing w:after="0" w:line="99"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EARNINGS (LOSSES) PER SHARE</w:t>
      </w:r>
    </w:p>
    <w:p>
      <w:pPr>
        <w:spacing w:after="0" w:line="108" w:lineRule="exact"/>
        <w:rPr>
          <w:sz w:val="20"/>
          <w:szCs w:val="20"/>
          <w:color w:val="auto"/>
        </w:rPr>
      </w:pPr>
    </w:p>
    <w:p>
      <w:pPr>
        <w:jc w:val="both"/>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ASC 260, “Earnings per Share”,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EARNINGS (LOSSES) PER SHARE – (continued)</w:t>
      </w:r>
    </w:p>
    <w:p>
      <w:pPr>
        <w:spacing w:after="0" w:line="202"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(decrease) in stockholders’ equity per share for the years ended December 31, 2018, 2017, and 2016:</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1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(9,571,546)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3,388,082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(1,039,731)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net assets allocated to unvested share</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14,520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net assets available to common</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(9,513,326)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3,360,794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(1,025,211)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for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computation</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37,356,241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37,235,130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37,149,663</w:t>
            </w:r>
          </w:p>
        </w:tc>
        <w:tc>
          <w:tcPr>
            <w:tcW w:w="0" w:type="dxa"/>
            <w:vAlign w:val="bottom"/>
          </w:tcPr>
          <w:p>
            <w:pPr>
              <w:spacing w:after="0"/>
              <w:rPr>
                <w:sz w:val="1"/>
                <w:szCs w:val="1"/>
                <w:color w:val="auto"/>
              </w:rPr>
            </w:pPr>
          </w:p>
        </w:tc>
      </w:tr>
      <w:tr>
        <w:trPr>
          <w:trHeight w:val="67"/>
        </w:trPr>
        <w:tc>
          <w:tcPr>
            <w:tcW w:w="50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04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and common stock</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 shares outstanding for diluted shares computation</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37,356,241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37,235,130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37,149,663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in net assets per basic common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9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per diluted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-565150</wp:posOffset>
            </wp:positionV>
            <wp:extent cx="5213985"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3985" cy="18859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-187960</wp:posOffset>
            </wp:positionV>
            <wp:extent cx="5213985"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3985" cy="18859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-1740535</wp:posOffset>
            </wp:positionV>
            <wp:extent cx="1460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-1740535</wp:posOffset>
            </wp:positionV>
            <wp:extent cx="39192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-2254885</wp:posOffset>
            </wp:positionV>
            <wp:extent cx="137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-2254885</wp:posOffset>
            </wp:positionV>
            <wp:extent cx="391033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59"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76"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There were 30,000 options to purchase shares of common stock considered for the computation of the diluted per share information for the year ended December 31, 2018. Since the effects are anti-dilutive for all periods, the options were not included in the computation. For the year ended December 31, 2018, 2017 and 2016 the company purchased 26,681, 64,176 and 67,654 shares, respectively, of common stock in connection with the vesting of employee’s restricted stock, such shares are treated as treasury shares and reduce the weighted average shares outstanding in the computation of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08"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The following table shows the Company’s portfolio by security type at December 31, 2018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2017:</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11"/>
                <w:szCs w:val="11"/>
                <w:b w:val="1"/>
                <w:bCs w:val="1"/>
                <w:color w:val="auto"/>
                <w:w w:val="82"/>
              </w:rPr>
              <w:t>(1)</w:t>
            </w:r>
          </w:p>
        </w:tc>
        <w:tc>
          <w:tcPr>
            <w:tcW w:w="22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11"/>
                <w:szCs w:val="11"/>
                <w:b w:val="1"/>
                <w:bCs w:val="1"/>
                <w:color w:val="auto"/>
                <w:w w:val="82"/>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20" w:type="dxa"/>
            <w:vAlign w:val="bottom"/>
            <w:gridSpan w:val="2"/>
          </w:tcPr>
          <w:p>
            <w:pPr>
              <w:spacing w:after="0" w:line="268" w:lineRule="exact"/>
              <w:rPr>
                <w:sz w:val="20"/>
                <w:szCs w:val="20"/>
                <w:color w:val="auto"/>
              </w:rPr>
            </w:pPr>
            <w:r>
              <w:rPr>
                <w:rFonts w:ascii="Times New Roman" w:cs="Times New Roman" w:eastAsia="Times New Roman" w:hAnsi="Times New Roman"/>
                <w:sz w:val="18"/>
                <w:szCs w:val="18"/>
                <w:color w:val="auto"/>
              </w:rPr>
              <w:t>Short-term investments</w:t>
            </w:r>
            <w:r>
              <w:rPr>
                <w:rFonts w:ascii="Times New Roman" w:cs="Times New Roman" w:eastAsia="Times New Roman" w:hAnsi="Times New Roman"/>
                <w:sz w:val="27"/>
                <w:szCs w:val="27"/>
                <w:color w:val="auto"/>
                <w:vertAlign w:val="superscript"/>
              </w:rPr>
              <w:t>(2)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44,756,478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44,756,478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77,300,320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77,300,320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Loan</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86,040,921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77,616,209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48,337,900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44,960,146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Secured Loan</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76,223,561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70,245,535</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62,561,913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58,941,300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Unsecured Loan</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12,777,283</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12,777,283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Bond</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1,502,374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1,518,750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55,480,626</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44,325,000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72,339,032</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51,678,673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21,944,430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14,504,687</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10,571,007</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4,414,684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Asset Manager Affiliates</w:t>
            </w:r>
            <w:r>
              <w:rPr>
                <w:rFonts w:ascii="Times New Roman" w:cs="Times New Roman" w:eastAsia="Times New Roman" w:hAnsi="Times New Roman"/>
                <w:sz w:val="27"/>
                <w:szCs w:val="27"/>
                <w:color w:val="auto"/>
                <w:vertAlign w:val="superscript"/>
              </w:rPr>
              <w:t>(3)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17,791,230</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3,470,000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52,591,230</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38,849,000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24,914,858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18,390,440</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24,914,858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21,516,000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327,152,104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273,308,349</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u w:val="single" w:color="auto"/>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362,895,917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311,956,156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-1877695</wp:posOffset>
            </wp:positionV>
            <wp:extent cx="5213985" cy="1803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78" w:lineRule="exact"/>
        <w:rPr>
          <w:sz w:val="20"/>
          <w:szCs w:val="20"/>
          <w:color w:val="auto"/>
        </w:rPr>
      </w:pPr>
    </w:p>
    <w:p>
      <w:pPr>
        <w:ind w:left="1620" w:hanging="352"/>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percentage of total portfolio at fair value.</w:t>
      </w:r>
    </w:p>
    <w:p>
      <w:pPr>
        <w:spacing w:after="0" w:line="198"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money market accounts and U.S. treasury bills.</w:t>
      </w:r>
    </w:p>
    <w:p>
      <w:pPr>
        <w:spacing w:after="0" w:line="18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equity investment in the Asset Manager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industry related information, based on the fair value of the Company’s investment portfolio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 and December 31, 2017 for the Company’s investment portfolio was as follows: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11"/>
                <w:szCs w:val="11"/>
                <w:b w:val="1"/>
                <w:bCs w:val="1"/>
                <w:color w:val="auto"/>
                <w:w w:val="82"/>
              </w:rPr>
              <w:t>(1)</w:t>
            </w:r>
          </w:p>
        </w:tc>
        <w:tc>
          <w:tcPr>
            <w:tcW w:w="220" w:type="dxa"/>
            <w:vAlign w:val="bottom"/>
          </w:tcPr>
          <w:p>
            <w:pPr>
              <w:spacing w:after="0"/>
              <w:rPr>
                <w:sz w:val="15"/>
                <w:szCs w:val="15"/>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11"/>
                <w:szCs w:val="11"/>
                <w:b w:val="1"/>
                <w:bCs w:val="1"/>
                <w:color w:val="auto"/>
                <w:w w:val="82"/>
              </w:rPr>
              <w:t>(1)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Aerospace and Defense</w:t>
            </w:r>
          </w:p>
        </w:tc>
        <w:tc>
          <w:tcPr>
            <w:tcW w:w="320" w:type="dxa"/>
            <w:vAlign w:val="bottom"/>
            <w:gridSpan w:val="2"/>
          </w:tcPr>
          <w:p>
            <w:pPr>
              <w:ind w:left="22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line="197" w:lineRule="exact"/>
              <w:rPr>
                <w:sz w:val="20"/>
                <w:szCs w:val="20"/>
                <w:color w:val="auto"/>
              </w:rPr>
            </w:pPr>
            <w:r>
              <w:rPr>
                <w:rFonts w:ascii="Times New Roman" w:cs="Times New Roman" w:eastAsia="Times New Roman" w:hAnsi="Times New Roman"/>
                <w:sz w:val="18"/>
                <w:szCs w:val="18"/>
                <w:color w:val="auto"/>
              </w:rPr>
              <w:t>5,434,927</w:t>
            </w:r>
          </w:p>
        </w:tc>
        <w:tc>
          <w:tcPr>
            <w:tcW w:w="1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line="197" w:lineRule="exact"/>
              <w:rPr>
                <w:sz w:val="20"/>
                <w:szCs w:val="20"/>
                <w:color w:val="auto"/>
              </w:rPr>
            </w:pPr>
            <w:r>
              <w:rPr>
                <w:rFonts w:ascii="Times New Roman" w:cs="Times New Roman" w:eastAsia="Times New Roman" w:hAnsi="Times New Roman"/>
                <w:sz w:val="18"/>
                <w:szCs w:val="18"/>
                <w:color w:val="auto"/>
              </w:rPr>
              <w:t>4,049,940</w:t>
            </w:r>
          </w:p>
        </w:tc>
        <w:tc>
          <w:tcPr>
            <w:tcW w:w="600" w:type="dxa"/>
            <w:vAlign w:val="bottom"/>
            <w:gridSpan w:val="4"/>
          </w:tcPr>
          <w:p>
            <w:pPr>
              <w:jc w:val="right"/>
              <w:spacing w:after="0" w:line="197" w:lineRule="exact"/>
              <w:rPr>
                <w:sz w:val="20"/>
                <w:szCs w:val="20"/>
                <w:color w:val="auto"/>
              </w:rPr>
            </w:pPr>
            <w:r>
              <w:rPr>
                <w:rFonts w:ascii="Times New Roman" w:cs="Times New Roman" w:eastAsia="Times New Roman" w:hAnsi="Times New Roman"/>
                <w:sz w:val="18"/>
                <w:szCs w:val="18"/>
                <w:color w:val="auto"/>
              </w:rPr>
              <w:t>1% $</w:t>
            </w:r>
          </w:p>
        </w:tc>
        <w:tc>
          <w:tcPr>
            <w:tcW w:w="114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5,636,056</w:t>
            </w:r>
          </w:p>
        </w:tc>
        <w:tc>
          <w:tcPr>
            <w:tcW w:w="1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4,115,487</w:t>
            </w:r>
          </w:p>
        </w:tc>
        <w:tc>
          <w:tcPr>
            <w:tcW w:w="42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3"/>
        </w:trPr>
        <w:tc>
          <w:tcPr>
            <w:tcW w:w="2360" w:type="dxa"/>
            <w:vAlign w:val="bottom"/>
            <w:gridSpan w:val="2"/>
          </w:tcPr>
          <w:p>
            <w:pPr>
              <w:spacing w:after="0" w:line="283" w:lineRule="exact"/>
              <w:rPr>
                <w:sz w:val="20"/>
                <w:szCs w:val="20"/>
                <w:color w:val="auto"/>
              </w:rPr>
            </w:pPr>
            <w:r>
              <w:rPr>
                <w:rFonts w:ascii="Times New Roman" w:cs="Times New Roman" w:eastAsia="Times New Roman" w:hAnsi="Times New Roman"/>
                <w:sz w:val="18"/>
                <w:szCs w:val="18"/>
                <w:color w:val="auto"/>
                <w:w w:val="99"/>
              </w:rPr>
              <w:t>Asset Management Company</w:t>
            </w:r>
            <w:r>
              <w:rPr>
                <w:rFonts w:ascii="Times New Roman" w:cs="Times New Roman" w:eastAsia="Times New Roman" w:hAnsi="Times New Roman"/>
                <w:sz w:val="27"/>
                <w:szCs w:val="27"/>
                <w:color w:val="auto"/>
                <w:w w:val="99"/>
                <w:vertAlign w:val="superscript"/>
              </w:rPr>
              <w:t>(2)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17,791,230</w:t>
            </w:r>
          </w:p>
        </w:tc>
        <w:tc>
          <w:tcPr>
            <w:tcW w:w="1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3,470,000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52,591,230</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38,849,000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 Finance, Insurance &amp;</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8,831,841</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8,733,933</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4,458,962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4,418,391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5,963,334</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5,796,506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7,496,438</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7,435,050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10,888,432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9,831,391</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5,454,621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4,680,821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4,862,063</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4,801,645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55,480,626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44,325,000</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72,339,032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51,678,673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&amp; Building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1,400,223</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1,394,163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1,004,093</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999,872</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goods: Durable</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1,140,500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364,240</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1,071,340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805,607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goods: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Non-durable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1,434,568</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1,440,525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691,234</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694,662</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Electronics</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3,007,500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3,007,500</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Oil &amp; Gas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16,827,204</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8,946,568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14,932,542</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11,433,777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Industries</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8,371,180</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6,939,794</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6,330,630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5,766,437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Forest Products &amp; Paper</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1,564,583</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1,553,920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1,558,556</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1,600,960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&amp;</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Pharmaceuticals</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38,638,822</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32,287,288</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30,367,449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25,512,654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23,971,435</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23,662,459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18,229,229</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18,260,577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Gaming &amp; Leisure</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24,914,858</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18,390,440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24,914,858</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21,516,000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Partnership</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12,466,667</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12,466,667</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Advertising, Printing &amp;</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Publishing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6,113,852</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5,590,863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3,371,086</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3,318,296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Loans</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12,777,283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12,777,283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Business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10,398,710</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9,213,416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3,563,574</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2,366,400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8,351,775</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8,343,919</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6,455,489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6,466,949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Textiles and Leather</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10,140,662</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9,940,294</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7,950,994</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7,947,940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34,757,129</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34,757,129</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52,293,570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52,293,570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 Cargo</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4,000,634</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4,000,400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4,000,901</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4,010,000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9,999,349</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9,999,349</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25,006,750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25,006,750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327,152,104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273,308,349</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u w:val="single" w:color="auto"/>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362,895,917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311,956,156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-5230495</wp:posOffset>
            </wp:positionV>
            <wp:extent cx="5213985"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178" w:lineRule="exact"/>
        <w:rPr>
          <w:sz w:val="20"/>
          <w:szCs w:val="20"/>
          <w:color w:val="auto"/>
        </w:rPr>
      </w:pPr>
    </w:p>
    <w:p>
      <w:pPr>
        <w:ind w:left="1620" w:hanging="352"/>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total portfolio at fair value.</w:t>
      </w:r>
    </w:p>
    <w:p>
      <w:pPr>
        <w:spacing w:after="0" w:line="198"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equity investment in the Asset Manager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7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At December 31, 2018 and December 31, 2017, the total amount of non-qualifying assets was approximately 28% and 23% of total assets, respectively. The majority of non-qualifying assets were foreign investments which were approximately 17% and 16% of the Company’s total assets, respectively (including the Company’s investments in CLO Funds, which are typically domiciled outside the U.S. and represented approximately 16% and 16% of its total assets on such dates, respectively).</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Investments in CLO Fund Securities</w:t>
      </w:r>
    </w:p>
    <w:p>
      <w:pPr>
        <w:spacing w:after="0" w:line="108" w:lineRule="exact"/>
        <w:rPr>
          <w:sz w:val="20"/>
          <w:szCs w:val="20"/>
          <w:color w:val="auto"/>
        </w:rPr>
      </w:pPr>
    </w:p>
    <w:p>
      <w:pPr>
        <w:ind w:left="1260" w:right="899" w:firstLine="360"/>
        <w:spacing w:after="0" w:line="254" w:lineRule="auto"/>
        <w:rPr>
          <w:sz w:val="20"/>
          <w:szCs w:val="20"/>
          <w:color w:val="auto"/>
        </w:rPr>
      </w:pPr>
      <w:r>
        <w:rPr>
          <w:rFonts w:ascii="Times New Roman" w:cs="Times New Roman" w:eastAsia="Times New Roman" w:hAnsi="Times New Roman"/>
          <w:sz w:val="18"/>
          <w:szCs w:val="18"/>
          <w:color w:val="auto"/>
        </w:rPr>
        <w:t>The Company has made minority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7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June 2016, the Company sold $7.0 million par value of the Subordinated Notes of Catamaran 2015-1 for $4.2 million.</w:t>
      </w:r>
    </w:p>
    <w:p>
      <w:pPr>
        <w:spacing w:after="0" w:line="54"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In December 2016, the Company purchased $10.1 million of the par value of the Subordinated Notes of Catamaran 2016-1 CLO managed by Trimaran Advisors.</w:t>
      </w:r>
    </w:p>
    <w:p>
      <w:pPr>
        <w:spacing w:after="0" w:line="54" w:lineRule="exact"/>
        <w:rPr>
          <w:sz w:val="20"/>
          <w:szCs w:val="20"/>
          <w:color w:val="auto"/>
        </w:rPr>
      </w:pPr>
    </w:p>
    <w:p>
      <w:pPr>
        <w:ind w:left="1260" w:right="1719" w:firstLine="360"/>
        <w:spacing w:after="0" w:line="282" w:lineRule="auto"/>
        <w:rPr>
          <w:sz w:val="20"/>
          <w:szCs w:val="20"/>
          <w:color w:val="auto"/>
        </w:rPr>
      </w:pPr>
      <w:r>
        <w:rPr>
          <w:rFonts w:ascii="Times New Roman" w:cs="Times New Roman" w:eastAsia="Times New Roman" w:hAnsi="Times New Roman"/>
          <w:sz w:val="18"/>
          <w:szCs w:val="18"/>
          <w:color w:val="auto"/>
        </w:rPr>
        <w:t>On October 31, 2017, the Company purchased an additional $4.3 million of notional amount of Subordinated Notes issued by Catamaran CLO 2014-1 at a cost of $5.4 million.</w:t>
      </w:r>
    </w:p>
    <w:p>
      <w:pPr>
        <w:spacing w:after="0" w:line="54"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In December 2017, the Company purchased an additional $201,000 of notional amount of Subordinated Notes issued by Catamaran CLO 2013-1 at a cost of $201,000.</w:t>
      </w:r>
    </w:p>
    <w:p>
      <w:pPr>
        <w:spacing w:after="0" w:line="5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December 2017, the Company sold $5.0 million par value of the Subordinated Notes of Catamaran CLO 2014-1 for $3.0 million.</w:t>
      </w:r>
    </w:p>
    <w:p>
      <w:pPr>
        <w:spacing w:after="0" w:line="54"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In September 2018, the Company purchased $10 million par value of the Subordinated Notes of Catamaran CLO 2018-1 at a cost of approximately $9.5 million.</w:t>
      </w:r>
    </w:p>
    <w:p>
      <w:pPr>
        <w:spacing w:after="0" w:line="54"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72"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2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6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revere the previously recorded unrealized depreciation with respect to these investments.</w:t>
      </w:r>
    </w:p>
    <w:p>
      <w:pPr>
        <w:spacing w:after="0" w:line="45"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With the exception of Katonah III, Ltd., as of December 31, 2018 all of investments in CLO Fund securities were making distributions to the Company.</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in Joint Venture</w:t>
      </w:r>
    </w:p>
    <w:p>
      <w:pPr>
        <w:spacing w:after="0" w:line="67"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KCAP F3C Senior Funding, L.L.C.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65" w:lineRule="exact"/>
        <w:rPr>
          <w:sz w:val="20"/>
          <w:szCs w:val="20"/>
          <w:color w:val="auto"/>
        </w:rPr>
      </w:pPr>
    </w:p>
    <w:p>
      <w:pPr>
        <w:ind w:left="1260" w:right="839" w:firstLine="360"/>
        <w:spacing w:after="0" w:line="257" w:lineRule="auto"/>
        <w:rPr>
          <w:sz w:val="20"/>
          <w:szCs w:val="20"/>
          <w:color w:val="auto"/>
        </w:rPr>
      </w:pPr>
      <w:r>
        <w:rPr>
          <w:rFonts w:ascii="Times New Roman" w:cs="Times New Roman" w:eastAsia="Times New Roman" w:hAnsi="Times New Roman"/>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w:t>
      </w:r>
    </w:p>
    <w:p>
      <w:pPr>
        <w:spacing w:after="0" w:line="2" w:lineRule="exact"/>
        <w:rPr>
          <w:sz w:val="20"/>
          <w:szCs w:val="20"/>
          <w:color w:val="auto"/>
        </w:rPr>
      </w:pPr>
    </w:p>
    <w:p>
      <w:pPr>
        <w:ind w:left="1260" w:right="999"/>
        <w:spacing w:after="0" w:line="253" w:lineRule="auto"/>
        <w:rPr>
          <w:sz w:val="20"/>
          <w:szCs w:val="20"/>
          <w:color w:val="auto"/>
        </w:rPr>
      </w:pPr>
      <w:r>
        <w:rPr>
          <w:rFonts w:ascii="Times New Roman" w:cs="Times New Roman" w:eastAsia="Times New Roman" w:hAnsi="Times New Roman"/>
          <w:sz w:val="18"/>
          <w:szCs w:val="18"/>
          <w:color w:val="auto"/>
        </w:rPr>
        <w:t>$11.8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52"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68"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2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18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Summarized Statement of Financial Consolidation</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19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at fair value</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32,621,188</w:t>
            </w:r>
          </w:p>
        </w:tc>
        <w:tc>
          <w:tcPr>
            <w:tcW w:w="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37,080,000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1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32,621,188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37,081,717</w:t>
            </w:r>
          </w:p>
        </w:tc>
        <w:tc>
          <w:tcPr>
            <w:tcW w:w="60" w:type="dxa"/>
            <w:vAlign w:val="bottom"/>
            <w:tcBorders>
              <w:left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1,970,455</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1,221,916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30,650,733</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35,859,801</w:t>
            </w:r>
          </w:p>
        </w:tc>
        <w:tc>
          <w:tcPr>
            <w:tcW w:w="60" w:type="dxa"/>
            <w:vAlign w:val="bottom"/>
            <w:tcBorders>
              <w:left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32,621,188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37,081,717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vMerge w:val="restart"/>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9"/>
              </w:rPr>
              <w:t>KCAP Freedom 3 LLC</w:t>
            </w: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3"/>
          </w:tcPr>
          <w:p>
            <w:pPr>
              <w:jc w:val="center"/>
              <w:ind w:right="344"/>
              <w:spacing w:after="0"/>
              <w:rPr>
                <w:sz w:val="20"/>
                <w:szCs w:val="20"/>
                <w:color w:val="auto"/>
              </w:rPr>
            </w:pPr>
            <w:r>
              <w:rPr>
                <w:rFonts w:ascii="Times New Roman" w:cs="Times New Roman" w:eastAsia="Times New Roman" w:hAnsi="Times New Roman"/>
                <w:sz w:val="18"/>
                <w:szCs w:val="18"/>
                <w:color w:val="auto"/>
                <w:w w:val="99"/>
              </w:rPr>
              <w:t>Summarized Statement of Operations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4"/>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4,800,844</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2,531,331</w:t>
            </w:r>
          </w:p>
        </w:tc>
        <w:tc>
          <w:tcPr>
            <w:tcW w:w="60" w:type="dxa"/>
            <w:vAlign w:val="bottom"/>
            <w:tcBorders>
              <w:left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(126,786)</w:t>
            </w:r>
          </w:p>
        </w:tc>
        <w:tc>
          <w:tcPr>
            <w:tcW w:w="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(435,757)</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4,674,058</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2,095,574</w:t>
            </w:r>
          </w:p>
        </w:tc>
        <w:tc>
          <w:tcPr>
            <w:tcW w:w="60" w:type="dxa"/>
            <w:vAlign w:val="bottom"/>
            <w:tcBorders>
              <w:left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Unrealized depreciation on investment</w:t>
            </w: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(4,951,938)</w:t>
            </w:r>
          </w:p>
        </w:tc>
        <w:tc>
          <w:tcPr>
            <w:tcW w:w="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(5,063,254)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(277,880)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(2,967,680)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vMerge w:val="restart"/>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9"/>
              </w:rPr>
              <w:t>KCAP Freedom 3 LLC</w:t>
            </w: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Schedule of Investments</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auto"/>
              </w:rPr>
              <w:t>December 31, 2018</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20" w:type="dxa"/>
            <w:vAlign w:val="bottom"/>
          </w:tcPr>
          <w:p>
            <w:pPr>
              <w:spacing w:after="0"/>
              <w:rPr>
                <w:sz w:val="16"/>
                <w:szCs w:val="16"/>
                <w:color w:val="auto"/>
              </w:rPr>
            </w:pPr>
          </w:p>
        </w:tc>
        <w:tc>
          <w:tcPr>
            <w:tcW w:w="234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6"/>
                <w:szCs w:val="16"/>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
        </w:trPr>
        <w:tc>
          <w:tcPr>
            <w:tcW w:w="1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KCAP F3C Senior Funding,</w:t>
            </w: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Securities,</w:t>
            </w: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effective interest 11.5%,</w:t>
            </w:r>
          </w:p>
        </w:tc>
        <w:tc>
          <w:tcPr>
            <w:tcW w:w="9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480" w:type="dxa"/>
            <w:vAlign w:val="bottom"/>
            <w:gridSpan w:val="2"/>
            <w:shd w:val="clear" w:color="auto" w:fill="CCEEFF"/>
          </w:tcPr>
          <w:p>
            <w:pPr>
              <w:ind w:left="180"/>
              <w:spacing w:after="0" w:line="297" w:lineRule="exact"/>
              <w:rPr>
                <w:sz w:val="20"/>
                <w:szCs w:val="20"/>
                <w:color w:val="auto"/>
              </w:rPr>
            </w:pPr>
            <w:r>
              <w:rPr>
                <w:rFonts w:ascii="Times New Roman" w:cs="Times New Roman" w:eastAsia="Times New Roman" w:hAnsi="Times New Roman"/>
                <w:sz w:val="34"/>
                <w:szCs w:val="34"/>
                <w:color w:val="auto"/>
                <w:vertAlign w:val="subscript"/>
              </w:rPr>
              <w:t>LLC</w:t>
            </w:r>
            <w:r>
              <w:rPr>
                <w:rFonts w:ascii="Times New Roman" w:cs="Times New Roman" w:eastAsia="Times New Roman" w:hAnsi="Times New Roman"/>
                <w:sz w:val="13"/>
                <w:szCs w:val="13"/>
                <w:color w:val="auto"/>
              </w:rPr>
              <w:t>(1)(2)</w:t>
            </w:r>
          </w:p>
        </w:tc>
        <w:tc>
          <w:tcPr>
            <w:tcW w:w="22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12/29 maturity</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right w:val="single" w:sz="8" w:color="CCEEFF"/>
            </w:tcBorders>
            <w:shd w:val="clear" w:color="auto" w:fill="CCEEFF"/>
          </w:tcPr>
          <w:p>
            <w:pPr>
              <w:spacing w:after="0"/>
              <w:rPr>
                <w:sz w:val="24"/>
                <w:szCs w:val="24"/>
                <w:color w:val="auto"/>
              </w:rPr>
            </w:pPr>
          </w:p>
        </w:tc>
        <w:tc>
          <w:tcPr>
            <w:tcW w:w="11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$42,636,380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32,621,188</w:t>
            </w:r>
          </w:p>
        </w:tc>
        <w:tc>
          <w:tcPr>
            <w:tcW w:w="60" w:type="dxa"/>
            <w:vAlign w:val="bottom"/>
            <w:tcBorders>
              <w:left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42,636,380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32,621,188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-4004310</wp:posOffset>
            </wp:positionV>
            <wp:extent cx="46393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-4338955</wp:posOffset>
            </wp:positionV>
            <wp:extent cx="46393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-4638675</wp:posOffset>
            </wp:positionV>
            <wp:extent cx="46310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6310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-2074545</wp:posOffset>
            </wp:positionV>
            <wp:extent cx="5213985" cy="1803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-2417445</wp:posOffset>
            </wp:positionV>
            <wp:extent cx="52139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-2760980</wp:posOffset>
            </wp:positionV>
            <wp:extent cx="46139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-831215</wp:posOffset>
            </wp:positionV>
            <wp:extent cx="1371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-831215</wp:posOffset>
            </wp:positionV>
            <wp:extent cx="137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-831215</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-831215</wp:posOffset>
            </wp:positionV>
            <wp:extent cx="1371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620" w:right="879" w:hanging="352"/>
        <w:spacing w:after="0" w:line="258"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43" w:lineRule="exact"/>
        <w:rPr>
          <w:rFonts w:ascii="Times New Roman" w:cs="Times New Roman" w:eastAsia="Times New Roman" w:hAnsi="Times New Roman"/>
          <w:sz w:val="18"/>
          <w:szCs w:val="18"/>
          <w:color w:val="auto"/>
        </w:rPr>
      </w:pPr>
    </w:p>
    <w:p>
      <w:pPr>
        <w:ind w:left="1620" w:right="879" w:hanging="352"/>
        <w:spacing w:after="0" w:line="282"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18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Schedule of Investments</w:t>
      </w:r>
    </w:p>
    <w:p>
      <w:pPr>
        <w:spacing w:after="0" w:line="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Ownership by</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Joint</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20" w:type="dxa"/>
            <w:vAlign w:val="bottom"/>
          </w:tcPr>
          <w:p>
            <w:pPr>
              <w:spacing w:after="0"/>
              <w:rPr>
                <w:sz w:val="16"/>
                <w:szCs w:val="16"/>
                <w:color w:val="auto"/>
              </w:rPr>
            </w:pPr>
          </w:p>
        </w:tc>
        <w:tc>
          <w:tcPr>
            <w:tcW w:w="234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Venture</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
        </w:trPr>
        <w:tc>
          <w:tcPr>
            <w:tcW w:w="1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KCAP F3C Senior Funding,</w:t>
            </w: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Securities,</w:t>
            </w: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effective interest 12.1%,</w:t>
            </w:r>
          </w:p>
        </w:tc>
        <w:tc>
          <w:tcPr>
            <w:tcW w:w="9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480" w:type="dxa"/>
            <w:vAlign w:val="bottom"/>
            <w:gridSpan w:val="2"/>
            <w:shd w:val="clear" w:color="auto" w:fill="CCEEFF"/>
          </w:tcPr>
          <w:p>
            <w:pPr>
              <w:ind w:left="180"/>
              <w:spacing w:after="0" w:line="295" w:lineRule="exact"/>
              <w:rPr>
                <w:sz w:val="20"/>
                <w:szCs w:val="20"/>
                <w:color w:val="auto"/>
              </w:rPr>
            </w:pPr>
            <w:r>
              <w:rPr>
                <w:rFonts w:ascii="Times New Roman" w:cs="Times New Roman" w:eastAsia="Times New Roman" w:hAnsi="Times New Roman"/>
                <w:sz w:val="34"/>
                <w:szCs w:val="34"/>
                <w:color w:val="auto"/>
                <w:vertAlign w:val="subscript"/>
              </w:rPr>
              <w:t>LLC</w:t>
            </w:r>
            <w:r>
              <w:rPr>
                <w:rFonts w:ascii="Times New Roman" w:cs="Times New Roman" w:eastAsia="Times New Roman" w:hAnsi="Times New Roman"/>
                <w:sz w:val="13"/>
                <w:szCs w:val="13"/>
                <w:color w:val="auto"/>
              </w:rPr>
              <w:t>(1)(2)</w:t>
            </w:r>
          </w:p>
        </w:tc>
        <w:tc>
          <w:tcPr>
            <w:tcW w:w="22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12/29 maturity</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right w:val="single" w:sz="8" w:color="CCEEFF"/>
            </w:tcBorders>
            <w:shd w:val="clear" w:color="auto" w:fill="CCEEFF"/>
          </w:tcPr>
          <w:p>
            <w:pPr>
              <w:spacing w:after="0"/>
              <w:rPr>
                <w:sz w:val="24"/>
                <w:szCs w:val="24"/>
                <w:color w:val="auto"/>
              </w:rPr>
            </w:pPr>
          </w:p>
        </w:tc>
        <w:tc>
          <w:tcPr>
            <w:tcW w:w="114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$42,143,254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$37,080,000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42,143,254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37,080,000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-831215</wp:posOffset>
            </wp:positionV>
            <wp:extent cx="137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-831215</wp:posOffset>
            </wp:positionV>
            <wp:extent cx="137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-831215</wp:posOffset>
            </wp:positionV>
            <wp:extent cx="137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-831215</wp:posOffset>
            </wp:positionV>
            <wp:extent cx="1371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620" w:right="879" w:hanging="352"/>
        <w:spacing w:after="0" w:line="258"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56" w:lineRule="exact"/>
        <w:rPr>
          <w:rFonts w:ascii="Times New Roman" w:cs="Times New Roman" w:eastAsia="Times New Roman" w:hAnsi="Times New Roman"/>
          <w:sz w:val="18"/>
          <w:szCs w:val="18"/>
          <w:color w:val="auto"/>
        </w:rPr>
      </w:pPr>
    </w:p>
    <w:p>
      <w:pPr>
        <w:ind w:left="1620" w:right="919" w:hanging="352"/>
        <w:spacing w:after="0" w:line="282"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this investment was determined using significant unobservable inputs, including a third-party broker quote.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Affiliate Investments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details investments in affiliates as of December 31, 2018 and December 31, 2017:</w:t>
      </w:r>
    </w:p>
    <w:p>
      <w:pPr>
        <w:spacing w:after="0" w:line="297"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Purchases/</w:t>
            </w:r>
          </w:p>
        </w:tc>
        <w:tc>
          <w:tcPr>
            <w:tcW w:w="6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Transfers</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at of</w:t>
            </w: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(Sales) of or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Net</w:t>
            </w:r>
          </w:p>
        </w:tc>
        <w:tc>
          <w:tcPr>
            <w:tcW w:w="78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at of</w:t>
            </w: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62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Industry Classification</w:t>
            </w: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Advances/</w:t>
            </w:r>
          </w:p>
        </w:tc>
        <w:tc>
          <w:tcPr>
            <w:tcW w:w="660" w:type="dxa"/>
            <w:vAlign w:val="bottom"/>
            <w:vMerge w:val="continue"/>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In/(Out)</w:t>
            </w: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2017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(Distributions)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Accretion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Affiliates</w:t>
            </w:r>
          </w:p>
        </w:tc>
        <w:tc>
          <w:tcPr>
            <w:tcW w:w="8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Gain/(Loss)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62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1460" w:type="dxa"/>
            <w:vAlign w:val="bottom"/>
            <w:tcBorders>
              <w:bottom w:val="single" w:sz="8" w:color="CCEEFF"/>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0"/>
                <w:szCs w:val="10"/>
                <w:color w:val="auto"/>
              </w:rPr>
              <w:t>Asset Manager Affiliates</w:t>
            </w:r>
            <w:r>
              <w:rPr>
                <w:rFonts w:ascii="Times New Roman" w:cs="Times New Roman" w:eastAsia="Times New Roman" w:hAnsi="Times New Roman"/>
                <w:sz w:val="13"/>
                <w:szCs w:val="13"/>
                <w:color w:val="auto"/>
                <w:vertAlign w:val="superscript"/>
              </w:rPr>
              <w:t>(4)</w:t>
            </w:r>
          </w:p>
        </w:tc>
        <w:tc>
          <w:tcPr>
            <w:tcW w:w="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Asset Management</w:t>
            </w: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(5)(7)</w:t>
            </w:r>
          </w:p>
        </w:tc>
        <w:tc>
          <w:tcPr>
            <w:tcW w:w="90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right w:val="single" w:sz="8" w:color="CCEEFF"/>
            </w:tcBorders>
            <w:gridSpan w:val="3"/>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Company</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right w:val="single" w:sz="8" w:color="CCEEFF"/>
            </w:tcBorders>
            <w:shd w:val="clear" w:color="auto" w:fill="CCEEFF"/>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rPr>
              <w:t>38,849,000</w:t>
            </w:r>
          </w:p>
        </w:tc>
        <w:tc>
          <w:tcPr>
            <w:tcW w:w="840" w:type="dxa"/>
            <w:vAlign w:val="bottom"/>
            <w:tcBorders>
              <w:bottom w:val="single" w:sz="8" w:color="CCEEFF"/>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$(34,800,000)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bottom w:val="single" w:sz="8" w:color="CCEEFF"/>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right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(579,000)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right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3,470,000</w:t>
            </w:r>
          </w:p>
        </w:tc>
        <w:tc>
          <w:tcPr>
            <w:tcW w:w="160" w:type="dxa"/>
            <w:vAlign w:val="bottom"/>
            <w:tcBorders>
              <w:bottom w:val="single" w:sz="8" w:color="CCEEFF"/>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$1,246,510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rPr>
              <w:t>Trimaran Advisors,</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4"/>
                <w:szCs w:val="14"/>
                <w:color w:val="auto"/>
              </w:rPr>
              <w:t>LLC Revolving</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tcPr>
          <w:p>
            <w:pPr>
              <w:ind w:left="340"/>
              <w:spacing w:after="0" w:line="175" w:lineRule="exact"/>
              <w:rPr>
                <w:sz w:val="20"/>
                <w:szCs w:val="20"/>
                <w:color w:val="auto"/>
              </w:rPr>
            </w:pPr>
            <w:r>
              <w:rPr>
                <w:rFonts w:ascii="Times New Roman" w:cs="Times New Roman" w:eastAsia="Times New Roman" w:hAnsi="Times New Roman"/>
                <w:sz w:val="14"/>
                <w:szCs w:val="14"/>
                <w:color w:val="auto"/>
                <w:w w:val="99"/>
              </w:rPr>
              <w:t>Credit Facility</w:t>
            </w:r>
            <w:r>
              <w:rPr>
                <w:rFonts w:ascii="Times New Roman" w:cs="Times New Roman" w:eastAsia="Times New Roman" w:hAnsi="Times New Roman"/>
                <w:sz w:val="19"/>
                <w:szCs w:val="19"/>
                <w:color w:val="auto"/>
                <w:w w:val="99"/>
                <w:vertAlign w:val="superscript"/>
              </w:rPr>
              <w:t>(4)(5)</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Related Party Loans</w:t>
            </w:r>
          </w:p>
        </w:tc>
        <w:tc>
          <w:tcPr>
            <w:tcW w:w="6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1,170,825</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Trimaran Advisors,</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gridSpan w:val="2"/>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LLC Related Party</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20"/>
                <w:szCs w:val="20"/>
                <w:color w:val="auto"/>
                <w:vertAlign w:val="subscript"/>
              </w:rPr>
              <w:t>Loan</w:t>
            </w:r>
            <w:r>
              <w:rPr>
                <w:rFonts w:ascii="Times New Roman" w:cs="Times New Roman" w:eastAsia="Times New Roman" w:hAnsi="Times New Roman"/>
                <w:sz w:val="8"/>
                <w:szCs w:val="8"/>
                <w:color w:val="auto"/>
              </w:rPr>
              <w:t>(4)(5)</w:t>
            </w:r>
          </w:p>
        </w:tc>
        <w:tc>
          <w:tcPr>
            <w:tcW w:w="13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Related Party Loans</w:t>
            </w:r>
          </w:p>
        </w:tc>
        <w:tc>
          <w:tcPr>
            <w:tcW w:w="6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8,359,051</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(8,359,051)</w:t>
            </w: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765,963</w:t>
            </w:r>
          </w:p>
        </w:tc>
        <w:tc>
          <w:tcPr>
            <w:tcW w:w="10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rPr>
              <w:t>Trimaran Advisors,</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4"/>
                <w:szCs w:val="14"/>
                <w:color w:val="auto"/>
              </w:rPr>
              <w:t>LLC Related Party</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20"/>
                <w:szCs w:val="20"/>
                <w:color w:val="auto"/>
                <w:vertAlign w:val="subscript"/>
              </w:rPr>
              <w:t>Loan</w:t>
            </w:r>
            <w:r>
              <w:rPr>
                <w:rFonts w:ascii="Times New Roman" w:cs="Times New Roman" w:eastAsia="Times New Roman" w:hAnsi="Times New Roman"/>
                <w:sz w:val="8"/>
                <w:szCs w:val="8"/>
                <w:color w:val="auto"/>
              </w:rPr>
              <w:t>(4)(5)</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Related Party Loans</w:t>
            </w:r>
          </w:p>
        </w:tc>
        <w:tc>
          <w:tcPr>
            <w:tcW w:w="6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4,418,232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(4,418,232)</w:t>
            </w:r>
          </w:p>
        </w:tc>
        <w:tc>
          <w:tcPr>
            <w:tcW w:w="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229,380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4"/>
                <w:szCs w:val="14"/>
                <w:color w:val="auto"/>
              </w:rPr>
              <w:t>Katonah 2007-I CLO,</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20"/>
                <w:szCs w:val="20"/>
                <w:color w:val="auto"/>
                <w:vertAlign w:val="subscript"/>
              </w:rPr>
              <w:t>Ltd.</w:t>
            </w:r>
            <w:r>
              <w:rPr>
                <w:rFonts w:ascii="Times New Roman" w:cs="Times New Roman" w:eastAsia="Times New Roman" w:hAnsi="Times New Roman"/>
                <w:sz w:val="8"/>
                <w:szCs w:val="8"/>
                <w:color w:val="auto"/>
              </w:rPr>
              <w:t>(1)(2)(3)(4)</w:t>
            </w:r>
          </w:p>
        </w:tc>
        <w:tc>
          <w:tcPr>
            <w:tcW w:w="13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10,770,486</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(10,676,556)</w:t>
            </w: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271,658</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9,754,423</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(10,120,011)</w:t>
            </w: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271,658</w:t>
            </w:r>
          </w:p>
        </w:tc>
        <w:tc>
          <w:tcPr>
            <w:tcW w:w="10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rPr>
              <w:t>Trimaran CLO VII,</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20"/>
                <w:szCs w:val="20"/>
                <w:color w:val="auto"/>
                <w:vertAlign w:val="subscript"/>
              </w:rPr>
              <w:t>Ltd.</w:t>
            </w:r>
            <w:r>
              <w:rPr>
                <w:rFonts w:ascii="Times New Roman" w:cs="Times New Roman" w:eastAsia="Times New Roman" w:hAnsi="Times New Roman"/>
                <w:sz w:val="8"/>
                <w:szCs w:val="8"/>
                <w:color w:val="auto"/>
              </w:rPr>
              <w:t>(1)(2)(3)(4)</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10,000</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369,831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(373,105)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(6,725)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w w:val="99"/>
              </w:rPr>
              <w:t>Catamaran CLO 2012-</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1,</w:t>
            </w: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21"/>
                <w:szCs w:val="21"/>
                <w:color w:val="auto"/>
                <w:vertAlign w:val="subscript"/>
              </w:rPr>
              <w:t>Ltd.</w:t>
            </w:r>
            <w:r>
              <w:rPr>
                <w:rFonts w:ascii="Times New Roman" w:cs="Times New Roman" w:eastAsia="Times New Roman" w:hAnsi="Times New Roman"/>
                <w:sz w:val="9"/>
                <w:szCs w:val="9"/>
                <w:color w:val="auto"/>
              </w:rPr>
              <w:t>(1)(2)(3)(4)</w:t>
            </w:r>
          </w:p>
        </w:tc>
        <w:tc>
          <w:tcPr>
            <w:tcW w:w="13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2,320,783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(2,596,571)</w:t>
            </w:r>
          </w:p>
        </w:tc>
        <w:tc>
          <w:tcPr>
            <w:tcW w:w="6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264,746</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3,527,018</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(3,515,976)</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264,746</w:t>
            </w:r>
          </w:p>
        </w:tc>
        <w:tc>
          <w:tcPr>
            <w:tcW w:w="10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w w:val="99"/>
              </w:rPr>
              <w:t>Catamaran CLO 2013-</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w w:val="97"/>
              </w:rPr>
              <w:t>(1)(2)(4)</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tcPr>
          <w:p>
            <w:pPr>
              <w:spacing w:after="0"/>
              <w:rPr>
                <w:sz w:val="18"/>
                <w:szCs w:val="18"/>
                <w:color w:val="auto"/>
              </w:rPr>
            </w:pP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6,923,699</w:t>
            </w: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147,497</w:t>
            </w:r>
          </w:p>
        </w:tc>
        <w:tc>
          <w:tcPr>
            <w:tcW w:w="6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w w:val="92"/>
              </w:rPr>
              <w:t>1,213,807</w:t>
            </w:r>
          </w:p>
        </w:tc>
        <w:tc>
          <w:tcPr>
            <w:tcW w:w="60" w:type="dxa"/>
            <w:vAlign w:val="bottom"/>
          </w:tcPr>
          <w:p>
            <w:pPr>
              <w:spacing w:after="0"/>
              <w:rPr>
                <w:sz w:val="18"/>
                <w:szCs w:val="18"/>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(7,016,734)</w:t>
            </w:r>
          </w:p>
        </w:tc>
        <w:tc>
          <w:tcPr>
            <w:tcW w:w="80" w:type="dxa"/>
            <w:vAlign w:val="bottom"/>
          </w:tcPr>
          <w:p>
            <w:pPr>
              <w:spacing w:after="0"/>
              <w:rPr>
                <w:sz w:val="18"/>
                <w:szCs w:val="18"/>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1"/>
              </w:rPr>
              <w:t>(1,268,269)</w:t>
            </w:r>
          </w:p>
        </w:tc>
        <w:tc>
          <w:tcPr>
            <w:tcW w:w="60" w:type="dxa"/>
            <w:vAlign w:val="bottom"/>
          </w:tcPr>
          <w:p>
            <w:pPr>
              <w:spacing w:after="0"/>
              <w:rPr>
                <w:sz w:val="18"/>
                <w:szCs w:val="18"/>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2"/>
              </w:rPr>
              <w:t>1,213,807</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ind w:left="34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0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w w:val="99"/>
              </w:rPr>
              <w:t>Catamaran CLO 2014-</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w w:val="97"/>
              </w:rPr>
              <w:t>(1)(2)(4)</w:t>
            </w:r>
          </w:p>
        </w:tc>
        <w:tc>
          <w:tcPr>
            <w:tcW w:w="1360" w:type="dxa"/>
            <w:vAlign w:val="bottom"/>
            <w:tcBorders>
              <w:right w:val="single" w:sz="8" w:color="CCEEFF"/>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8,230,178</w:t>
            </w:r>
          </w:p>
        </w:tc>
        <w:tc>
          <w:tcPr>
            <w:tcW w:w="84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535,309</w:t>
            </w: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92"/>
              </w:rPr>
              <w:t>1,347,240</w:t>
            </w:r>
          </w:p>
        </w:tc>
        <w:tc>
          <w:tcPr>
            <w:tcW w:w="6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(9,777,251)</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(335,476)</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1,347,240</w:t>
            </w: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shd w:val="clear" w:color="auto" w:fill="CCEEFF"/>
          </w:tcPr>
          <w:p>
            <w:pPr>
              <w:ind w:left="34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00" w:type="dxa"/>
            <w:vAlign w:val="bottom"/>
            <w:shd w:val="clear" w:color="auto" w:fill="CCEEFF"/>
          </w:tcPr>
          <w:p>
            <w:pPr>
              <w:spacing w:after="0"/>
              <w:rPr>
                <w:sz w:val="8"/>
                <w:szCs w:val="8"/>
                <w:color w:val="auto"/>
              </w:rPr>
            </w:pPr>
          </w:p>
        </w:tc>
        <w:tc>
          <w:tcPr>
            <w:tcW w:w="1360" w:type="dxa"/>
            <w:vAlign w:val="bottom"/>
            <w:tcBorders>
              <w:right w:val="single" w:sz="8" w:color="CCEEFF"/>
            </w:tcBorders>
            <w:gridSpan w:val="3"/>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tcBorders>
              <w:right w:val="single" w:sz="8" w:color="CCEEFF"/>
            </w:tcBorders>
            <w:vMerge w:val="continue"/>
            <w:shd w:val="clear" w:color="auto" w:fill="CCEEFF"/>
          </w:tcPr>
          <w:p>
            <w:pPr>
              <w:spacing w:after="0"/>
              <w:rPr>
                <w:sz w:val="8"/>
                <w:szCs w:val="8"/>
                <w:color w:val="auto"/>
              </w:rPr>
            </w:pPr>
          </w:p>
        </w:tc>
        <w:tc>
          <w:tcPr>
            <w:tcW w:w="84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tcBorders>
              <w:right w:val="single" w:sz="8" w:color="CCEEFF"/>
            </w:tcBorders>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tcBorders>
              <w:right w:val="single" w:sz="8" w:color="CCEEFF"/>
            </w:tcBorders>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tcBorders>
              <w:right w:val="single" w:sz="8" w:color="CCEEFF"/>
            </w:tcBorders>
            <w:vMerge w:val="continue"/>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w w:val="99"/>
              </w:rPr>
              <w:t>Catamaran CLO 2014-</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w w:val="97"/>
              </w:rPr>
              <w:t>(1)(2)(4)</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tcPr>
          <w:p>
            <w:pPr>
              <w:spacing w:after="0"/>
              <w:rPr>
                <w:sz w:val="18"/>
                <w:szCs w:val="18"/>
                <w:color w:val="auto"/>
              </w:rPr>
            </w:pP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4,500,962</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(985,241)</w:t>
            </w:r>
          </w:p>
        </w:tc>
        <w:tc>
          <w:tcPr>
            <w:tcW w:w="6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656,919</w:t>
            </w:r>
          </w:p>
        </w:tc>
        <w:tc>
          <w:tcPr>
            <w:tcW w:w="60" w:type="dxa"/>
            <w:vAlign w:val="bottom"/>
          </w:tcPr>
          <w:p>
            <w:pPr>
              <w:spacing w:after="0"/>
              <w:rPr>
                <w:sz w:val="18"/>
                <w:szCs w:val="18"/>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(2,158,200)</w:t>
            </w:r>
          </w:p>
        </w:tc>
        <w:tc>
          <w:tcPr>
            <w:tcW w:w="80" w:type="dxa"/>
            <w:vAlign w:val="bottom"/>
          </w:tcPr>
          <w:p>
            <w:pPr>
              <w:spacing w:after="0"/>
              <w:rPr>
                <w:sz w:val="18"/>
                <w:szCs w:val="18"/>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1"/>
              </w:rPr>
              <w:t>(2,014,440)</w:t>
            </w:r>
          </w:p>
        </w:tc>
        <w:tc>
          <w:tcPr>
            <w:tcW w:w="60" w:type="dxa"/>
            <w:vAlign w:val="bottom"/>
          </w:tcPr>
          <w:p>
            <w:pPr>
              <w:spacing w:after="0"/>
              <w:rPr>
                <w:sz w:val="18"/>
                <w:szCs w:val="18"/>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656,919</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ind w:left="34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0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w w:val="99"/>
              </w:rPr>
              <w:t>Catamaran CLO 2015-</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w w:val="97"/>
              </w:rPr>
              <w:t>(1)(2)(4)</w:t>
            </w:r>
          </w:p>
        </w:tc>
        <w:tc>
          <w:tcPr>
            <w:tcW w:w="1360" w:type="dxa"/>
            <w:vAlign w:val="bottom"/>
            <w:tcBorders>
              <w:right w:val="single" w:sz="8" w:color="CCEEFF"/>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3,569,600</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(573,089)</w:t>
            </w: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507,789</w:t>
            </w:r>
          </w:p>
        </w:tc>
        <w:tc>
          <w:tcPr>
            <w:tcW w:w="6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(3,048,696)</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(455,604)</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507,789</w:t>
            </w: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shd w:val="clear" w:color="auto" w:fill="CCEEFF"/>
          </w:tcPr>
          <w:p>
            <w:pPr>
              <w:ind w:left="34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00" w:type="dxa"/>
            <w:vAlign w:val="bottom"/>
            <w:shd w:val="clear" w:color="auto" w:fill="CCEEFF"/>
          </w:tcPr>
          <w:p>
            <w:pPr>
              <w:spacing w:after="0"/>
              <w:rPr>
                <w:sz w:val="8"/>
                <w:szCs w:val="8"/>
                <w:color w:val="auto"/>
              </w:rPr>
            </w:pPr>
          </w:p>
        </w:tc>
        <w:tc>
          <w:tcPr>
            <w:tcW w:w="1360" w:type="dxa"/>
            <w:vAlign w:val="bottom"/>
            <w:tcBorders>
              <w:right w:val="single" w:sz="8" w:color="CCEEFF"/>
            </w:tcBorders>
            <w:gridSpan w:val="3"/>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tcBorders>
              <w:right w:val="single" w:sz="8" w:color="CCEEFF"/>
            </w:tcBorders>
            <w:vMerge w:val="continue"/>
            <w:shd w:val="clear" w:color="auto" w:fill="CCEEFF"/>
          </w:tcPr>
          <w:p>
            <w:pPr>
              <w:spacing w:after="0"/>
              <w:rPr>
                <w:sz w:val="8"/>
                <w:szCs w:val="8"/>
                <w:color w:val="auto"/>
              </w:rPr>
            </w:pPr>
          </w:p>
        </w:tc>
        <w:tc>
          <w:tcPr>
            <w:tcW w:w="84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tcBorders>
              <w:right w:val="single" w:sz="8" w:color="CCEEFF"/>
            </w:tcBorders>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tcBorders>
              <w:right w:val="single" w:sz="8" w:color="CCEEFF"/>
            </w:tcBorders>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tcBorders>
              <w:right w:val="single" w:sz="8" w:color="CCEEFF"/>
            </w:tcBorders>
            <w:vMerge w:val="continue"/>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w w:val="99"/>
              </w:rPr>
              <w:t>Catamaran CLO 2016-</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w w:val="97"/>
              </w:rPr>
              <w:t>(1)(2)(4)</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tcPr>
          <w:p>
            <w:pPr>
              <w:spacing w:after="0"/>
              <w:rPr>
                <w:sz w:val="18"/>
                <w:szCs w:val="18"/>
                <w:color w:val="auto"/>
              </w:rPr>
            </w:pP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8,530,685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(1,282,923)</w:t>
            </w:r>
          </w:p>
        </w:tc>
        <w:tc>
          <w:tcPr>
            <w:tcW w:w="6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913,272</w:t>
            </w:r>
          </w:p>
        </w:tc>
        <w:tc>
          <w:tcPr>
            <w:tcW w:w="60" w:type="dxa"/>
            <w:vAlign w:val="bottom"/>
          </w:tcPr>
          <w:p>
            <w:pPr>
              <w:spacing w:after="0"/>
              <w:rPr>
                <w:sz w:val="18"/>
                <w:szCs w:val="18"/>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(7,067,073)</w:t>
            </w:r>
          </w:p>
        </w:tc>
        <w:tc>
          <w:tcPr>
            <w:tcW w:w="80" w:type="dxa"/>
            <w:vAlign w:val="bottom"/>
          </w:tcPr>
          <w:p>
            <w:pPr>
              <w:spacing w:after="0"/>
              <w:rPr>
                <w:sz w:val="18"/>
                <w:szCs w:val="18"/>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1"/>
              </w:rPr>
              <w:t>(1,093,961)</w:t>
            </w:r>
          </w:p>
        </w:tc>
        <w:tc>
          <w:tcPr>
            <w:tcW w:w="60" w:type="dxa"/>
            <w:vAlign w:val="bottom"/>
          </w:tcPr>
          <w:p>
            <w:pPr>
              <w:spacing w:after="0"/>
              <w:rPr>
                <w:sz w:val="18"/>
                <w:szCs w:val="18"/>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913,272</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ind w:left="34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0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w w:val="99"/>
              </w:rPr>
              <w:t>Catamaran CLO 2018-</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w w:val="97"/>
              </w:rPr>
              <w:t>(1)(2)(4)</w:t>
            </w:r>
          </w:p>
        </w:tc>
        <w:tc>
          <w:tcPr>
            <w:tcW w:w="1360" w:type="dxa"/>
            <w:vAlign w:val="bottom"/>
            <w:tcBorders>
              <w:right w:val="single" w:sz="8" w:color="CCEEFF"/>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9,500,000</w:t>
            </w: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343,450</w:t>
            </w:r>
          </w:p>
        </w:tc>
        <w:tc>
          <w:tcPr>
            <w:tcW w:w="6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1"/>
              </w:rPr>
              <w:t>(1,343,450)</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343,450</w:t>
            </w: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shd w:val="clear" w:color="auto" w:fill="CCEEFF"/>
          </w:tcPr>
          <w:p>
            <w:pPr>
              <w:ind w:left="34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00" w:type="dxa"/>
            <w:vAlign w:val="bottom"/>
            <w:shd w:val="clear" w:color="auto" w:fill="CCEEFF"/>
          </w:tcPr>
          <w:p>
            <w:pPr>
              <w:spacing w:after="0"/>
              <w:rPr>
                <w:sz w:val="8"/>
                <w:szCs w:val="8"/>
                <w:color w:val="auto"/>
              </w:rPr>
            </w:pPr>
          </w:p>
        </w:tc>
        <w:tc>
          <w:tcPr>
            <w:tcW w:w="1360" w:type="dxa"/>
            <w:vAlign w:val="bottom"/>
            <w:tcBorders>
              <w:right w:val="single" w:sz="8" w:color="CCEEFF"/>
            </w:tcBorders>
            <w:gridSpan w:val="3"/>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tcBorders>
              <w:right w:val="single" w:sz="8" w:color="CCEEFF"/>
            </w:tcBorders>
            <w:vMerge w:val="continue"/>
            <w:shd w:val="clear" w:color="auto" w:fill="CCEEFF"/>
          </w:tcPr>
          <w:p>
            <w:pPr>
              <w:spacing w:after="0"/>
              <w:rPr>
                <w:sz w:val="8"/>
                <w:szCs w:val="8"/>
                <w:color w:val="auto"/>
              </w:rPr>
            </w:pPr>
          </w:p>
        </w:tc>
        <w:tc>
          <w:tcPr>
            <w:tcW w:w="84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tcBorders>
              <w:right w:val="single" w:sz="8" w:color="CCEEFF"/>
            </w:tcBorders>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tcBorders>
              <w:right w:val="single" w:sz="8" w:color="CCEEFF"/>
            </w:tcBorders>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tcBorders>
              <w:right w:val="single" w:sz="8" w:color="CCEEFF"/>
            </w:tcBorders>
            <w:vMerge w:val="continue"/>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rPr>
              <w:t>KCAP F3C Senior</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4"/>
                <w:szCs w:val="14"/>
                <w:color w:val="auto"/>
              </w:rPr>
              <w:t>Funding Rated</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20"/>
                <w:szCs w:val="20"/>
                <w:color w:val="auto"/>
                <w:vertAlign w:val="subscript"/>
              </w:rPr>
              <w:t>Notes</w:t>
            </w:r>
            <w:r>
              <w:rPr>
                <w:rFonts w:ascii="Times New Roman" w:cs="Times New Roman" w:eastAsia="Times New Roman" w:hAnsi="Times New Roman"/>
                <w:sz w:val="8"/>
                <w:szCs w:val="8"/>
                <w:color w:val="auto"/>
              </w:rPr>
              <w:t>(2)(4)</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CLO Fund Securities</w:t>
            </w:r>
          </w:p>
        </w:tc>
        <w:tc>
          <w:tcPr>
            <w:tcW w:w="6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4,632,000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37,298</w:t>
            </w:r>
          </w:p>
        </w:tc>
        <w:tc>
          <w:tcPr>
            <w:tcW w:w="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(195,458)</w:t>
            </w:r>
          </w:p>
        </w:tc>
        <w:tc>
          <w:tcPr>
            <w:tcW w:w="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4,473,840</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468,755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4"/>
                <w:szCs w:val="14"/>
                <w:color w:val="auto"/>
              </w:rPr>
              <w:t>BCP Great Lakes</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shd w:val="clear" w:color="auto" w:fill="CCEEFF"/>
          </w:tcPr>
          <w:p>
            <w:pPr>
              <w:ind w:left="340"/>
              <w:spacing w:after="0" w:line="175" w:lineRule="exact"/>
              <w:rPr>
                <w:sz w:val="20"/>
                <w:szCs w:val="20"/>
                <w:color w:val="auto"/>
              </w:rPr>
            </w:pPr>
            <w:r>
              <w:rPr>
                <w:rFonts w:ascii="Times New Roman" w:cs="Times New Roman" w:eastAsia="Times New Roman" w:hAnsi="Times New Roman"/>
                <w:sz w:val="14"/>
                <w:szCs w:val="14"/>
                <w:color w:val="auto"/>
              </w:rPr>
              <w:t>Fund LP</w:t>
            </w:r>
            <w:r>
              <w:rPr>
                <w:rFonts w:ascii="Times New Roman" w:cs="Times New Roman" w:eastAsia="Times New Roman" w:hAnsi="Times New Roman"/>
                <w:sz w:val="19"/>
                <w:szCs w:val="19"/>
                <w:color w:val="auto"/>
                <w:vertAlign w:val="superscript"/>
              </w:rPr>
              <w:t>(7)</w:t>
            </w:r>
          </w:p>
        </w:tc>
        <w:tc>
          <w:tcPr>
            <w:tcW w:w="13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Limited Partnership</w:t>
            </w:r>
          </w:p>
        </w:tc>
        <w:tc>
          <w:tcPr>
            <w:tcW w:w="6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12,466,667</w:t>
            </w: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12,466,667</w:t>
            </w:r>
          </w:p>
        </w:tc>
        <w:tc>
          <w:tcPr>
            <w:tcW w:w="16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rPr>
              <w:t>KCAP Freedom 3,</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8"/>
                <w:szCs w:val="8"/>
                <w:color w:val="auto"/>
              </w:rPr>
              <w:t>(4)(6)</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Joint Venture</w:t>
            </w:r>
          </w:p>
        </w:tc>
        <w:tc>
          <w:tcPr>
            <w:tcW w:w="6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21,516,000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1"/>
              </w:rPr>
              <w:t>(3,125,560)</w:t>
            </w:r>
          </w:p>
        </w:tc>
        <w:tc>
          <w:tcPr>
            <w:tcW w:w="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18,390,440</w:t>
            </w: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Tank Partners Holdings,</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4"/>
                <w:szCs w:val="14"/>
                <w:color w:val="auto"/>
                <w:w w:val="92"/>
              </w:rPr>
              <w:t>LLC</w:t>
            </w:r>
            <w:r>
              <w:rPr>
                <w:rFonts w:ascii="Times New Roman" w:cs="Times New Roman" w:eastAsia="Times New Roman" w:hAnsi="Times New Roman"/>
                <w:sz w:val="19"/>
                <w:szCs w:val="19"/>
                <w:color w:val="auto"/>
                <w:w w:val="92"/>
                <w:vertAlign w:val="superscript"/>
              </w:rPr>
              <w:t>(4)</w:t>
            </w:r>
          </w:p>
        </w:tc>
        <w:tc>
          <w:tcPr>
            <w:tcW w:w="900" w:type="dxa"/>
            <w:vAlign w:val="bottom"/>
            <w:shd w:val="clear" w:color="auto" w:fill="CCEEFF"/>
          </w:tcPr>
          <w:p>
            <w:pPr>
              <w:spacing w:after="0"/>
              <w:rPr>
                <w:sz w:val="15"/>
                <w:szCs w:val="15"/>
                <w:color w:val="auto"/>
              </w:rPr>
            </w:pPr>
          </w:p>
        </w:tc>
        <w:tc>
          <w:tcPr>
            <w:tcW w:w="13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Unit</w:t>
            </w:r>
          </w:p>
        </w:tc>
        <w:tc>
          <w:tcPr>
            <w:tcW w:w="6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(979,000)</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Total Affiliated</w:t>
            </w: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w w:val="94"/>
              </w:rPr>
              <w:t>122,630,676</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$(41,042,190)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w w:val="92"/>
              </w:rPr>
              <w:t>5,549,454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6"/>
              </w:rPr>
              <w:t>(36,587,954)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2,261,054</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6"/>
              </w:rPr>
              <w:t>(14,009,092)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38,801,947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2"/>
              </w:rPr>
              <w:t>8,147,079</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1"/>
              </w:rPr>
              <w:t>$4,346,510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Investments</w:t>
            </w: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-4518660</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-4518660</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-4518660</wp:posOffset>
            </wp:positionV>
            <wp:extent cx="514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-4518660</wp:posOffset>
            </wp:positionV>
            <wp:extent cx="51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-4518660</wp:posOffset>
            </wp:positionV>
            <wp:extent cx="51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-4518660</wp:posOffset>
            </wp:positionV>
            <wp:extent cx="342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-4518660</wp:posOffset>
            </wp:positionV>
            <wp:extent cx="342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-4518660</wp:posOffset>
            </wp:positionV>
            <wp:extent cx="342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-4518660</wp:posOffset>
            </wp:positionV>
            <wp:extent cx="342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-4518660</wp:posOffset>
            </wp:positionV>
            <wp:extent cx="96901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ectPr>
          <w:pgSz w:w="11900" w:h="16838" w:orient="portrait"/>
          <w:cols w:equalWidth="0" w:num="1">
            <w:col w:w="10240"/>
          </w:cols>
          <w:pgMar w:left="240" w:top="11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683450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14" w:right="1419"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vMerge w:val="restart"/>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2"/>
              </w:rPr>
              <w:t>Fair Value at</w:t>
            </w:r>
          </w:p>
        </w:tc>
        <w:tc>
          <w:tcPr>
            <w:tcW w:w="6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Purchases/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Transfers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6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(Sales) of or</w:t>
            </w:r>
          </w:p>
        </w:tc>
        <w:tc>
          <w:tcPr>
            <w:tcW w:w="60" w:type="dxa"/>
            <w:vAlign w:val="bottom"/>
          </w:tcPr>
          <w:p>
            <w:pPr>
              <w:spacing w:after="0"/>
              <w:rPr>
                <w:sz w:val="10"/>
                <w:szCs w:val="10"/>
                <w:color w:val="auto"/>
              </w:rPr>
            </w:pPr>
          </w:p>
        </w:tc>
        <w:tc>
          <w:tcPr>
            <w:tcW w:w="62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70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60" w:type="dxa"/>
            <w:vAlign w:val="bottom"/>
          </w:tcPr>
          <w:p>
            <w:pPr>
              <w:spacing w:after="0"/>
              <w:rPr>
                <w:sz w:val="10"/>
                <w:szCs w:val="10"/>
                <w:color w:val="auto"/>
              </w:rPr>
            </w:pPr>
          </w:p>
        </w:tc>
        <w:tc>
          <w:tcPr>
            <w:tcW w:w="700" w:type="dxa"/>
            <w:vAlign w:val="bottom"/>
          </w:tcPr>
          <w:p>
            <w:pPr>
              <w:jc w:val="center"/>
              <w:ind w:right="73"/>
              <w:spacing w:after="0" w:line="122" w:lineRule="exact"/>
              <w:rPr>
                <w:sz w:val="20"/>
                <w:szCs w:val="20"/>
                <w:color w:val="auto"/>
              </w:rPr>
            </w:pPr>
            <w:r>
              <w:rPr>
                <w:rFonts w:ascii="Times New Roman" w:cs="Times New Roman" w:eastAsia="Times New Roman" w:hAnsi="Times New Roman"/>
                <w:sz w:val="13"/>
                <w:szCs w:val="13"/>
                <w:b w:val="1"/>
                <w:bCs w:val="1"/>
                <w:color w:val="auto"/>
                <w:w w:val="96"/>
              </w:rPr>
              <w:t>at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840" w:type="dxa"/>
            <w:vAlign w:val="bottom"/>
          </w:tcPr>
          <w:p>
            <w:pPr>
              <w:jc w:val="center"/>
              <w:ind w:right="73"/>
              <w:spacing w:after="0" w:line="122" w:lineRule="exact"/>
              <w:rPr>
                <w:sz w:val="20"/>
                <w:szCs w:val="20"/>
                <w:color w:val="auto"/>
              </w:rPr>
            </w:pPr>
            <w:r>
              <w:rPr>
                <w:rFonts w:ascii="Times New Roman" w:cs="Times New Roman" w:eastAsia="Times New Roman" w:hAnsi="Times New Roman"/>
                <w:sz w:val="13"/>
                <w:szCs w:val="13"/>
                <w:b w:val="1"/>
                <w:bCs w:val="1"/>
                <w:color w:val="auto"/>
                <w:w w:val="92"/>
              </w:rPr>
              <w:t>December 31,</w:t>
            </w:r>
          </w:p>
        </w:tc>
        <w:tc>
          <w:tcPr>
            <w:tcW w:w="6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Advances/</w:t>
            </w: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In/(Out)</w:t>
            </w:r>
          </w:p>
        </w:tc>
        <w:tc>
          <w:tcPr>
            <w:tcW w:w="7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9"/>
              </w:rPr>
              <w:t>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(Distributions)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2"/>
              </w:rPr>
              <w:t>Accretion</w:t>
            </w:r>
          </w:p>
        </w:tc>
        <w:tc>
          <w:tcPr>
            <w:tcW w:w="80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of Affiliates</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60" w:type="dxa"/>
            <w:vAlign w:val="bottom"/>
          </w:tcPr>
          <w:p>
            <w:pPr>
              <w:spacing w:after="0"/>
              <w:rPr>
                <w:sz w:val="14"/>
                <w:szCs w:val="14"/>
                <w:color w:val="auto"/>
              </w:rPr>
            </w:pPr>
          </w:p>
        </w:tc>
        <w:tc>
          <w:tcPr>
            <w:tcW w:w="7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2"/>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6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23"/>
        </w:trPr>
        <w:tc>
          <w:tcPr>
            <w:tcW w:w="1500" w:type="dxa"/>
            <w:vAlign w:val="bottom"/>
            <w:tcBorders>
              <w:right w:val="single" w:sz="8" w:color="CCEEFF"/>
            </w:tcBorders>
            <w:gridSpan w:val="2"/>
            <w:vMerge w:val="restart"/>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Asset Manager</w:t>
            </w: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500" w:type="dxa"/>
            <w:vAlign w:val="bottom"/>
            <w:tcBorders>
              <w:right w:val="single" w:sz="8" w:color="CCEEFF"/>
            </w:tcBorders>
            <w:gridSpan w:val="2"/>
            <w:vMerge w:val="continue"/>
            <w:shd w:val="clear" w:color="auto" w:fill="CCEEFF"/>
          </w:tcPr>
          <w:p>
            <w:pPr>
              <w:spacing w:after="0"/>
              <w:rPr>
                <w:sz w:val="10"/>
                <w:szCs w:val="10"/>
                <w:color w:val="auto"/>
              </w:rPr>
            </w:pPr>
          </w:p>
        </w:tc>
        <w:tc>
          <w:tcPr>
            <w:tcW w:w="132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Asset Management</w:t>
            </w:r>
          </w:p>
        </w:tc>
        <w:tc>
          <w:tcPr>
            <w:tcW w:w="840" w:type="dxa"/>
            <w:vAlign w:val="bottom"/>
            <w:tcBorders>
              <w:right w:val="single" w:sz="8" w:color="CCEEFF"/>
            </w:tcBorders>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w w:val="92"/>
              </w:rPr>
              <w:t>$ 40,198,000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(2,750,000)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1,401,000</w:t>
            </w: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38,849,000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460,000</w:t>
            </w:r>
          </w:p>
        </w:tc>
        <w:tc>
          <w:tcPr>
            <w:tcW w:w="0" w:type="dxa"/>
            <w:vAlign w:val="bottom"/>
          </w:tcPr>
          <w:p>
            <w:pPr>
              <w:spacing w:after="0"/>
              <w:rPr>
                <w:sz w:val="1"/>
                <w:szCs w:val="1"/>
                <w:color w:val="auto"/>
              </w:rPr>
            </w:pPr>
          </w:p>
        </w:tc>
      </w:tr>
      <w:tr>
        <w:trPr>
          <w:trHeight w:val="162"/>
        </w:trPr>
        <w:tc>
          <w:tcPr>
            <w:tcW w:w="1500" w:type="dxa"/>
            <w:vAlign w:val="bottom"/>
            <w:tcBorders>
              <w:right w:val="single" w:sz="8" w:color="CCEEFF"/>
            </w:tcBorders>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3"/>
                <w:szCs w:val="13"/>
                <w:color w:val="auto"/>
              </w:rPr>
              <w:t>Affiliates</w:t>
            </w:r>
            <w:r>
              <w:rPr>
                <w:rFonts w:ascii="Times New Roman" w:cs="Times New Roman" w:eastAsia="Times New Roman" w:hAnsi="Times New Roman"/>
                <w:sz w:val="18"/>
                <w:szCs w:val="18"/>
                <w:color w:val="auto"/>
                <w:vertAlign w:val="superscript"/>
              </w:rPr>
              <w:t>(4)(5)(7)</w:t>
            </w:r>
          </w:p>
        </w:tc>
        <w:tc>
          <w:tcPr>
            <w:tcW w:w="1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w:t>
            </w:r>
          </w:p>
        </w:tc>
        <w:tc>
          <w:tcPr>
            <w:tcW w:w="84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50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4"/>
                <w:szCs w:val="14"/>
                <w:color w:val="auto"/>
              </w:rPr>
              <w:t>Trimaran Advisors,</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0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4"/>
                <w:szCs w:val="14"/>
                <w:color w:val="auto"/>
              </w:rPr>
              <w:t>LLC Revolving</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1"/>
                <w:szCs w:val="11"/>
                <w:color w:val="auto"/>
              </w:rPr>
              <w:t>Credit Facility</w:t>
            </w:r>
            <w:r>
              <w:rPr>
                <w:rFonts w:ascii="Times New Roman" w:cs="Times New Roman" w:eastAsia="Times New Roman" w:hAnsi="Times New Roman"/>
                <w:sz w:val="15"/>
                <w:szCs w:val="15"/>
                <w:color w:val="auto"/>
                <w:vertAlign w:val="superscript"/>
              </w:rPr>
              <w:t>(4)(5)</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(7)</w:t>
            </w:r>
          </w:p>
        </w:tc>
        <w:tc>
          <w:tcPr>
            <w:tcW w:w="920" w:type="dxa"/>
            <w:vAlign w:val="bottom"/>
          </w:tcPr>
          <w:p>
            <w:pPr>
              <w:spacing w:after="0"/>
              <w:rPr>
                <w:sz w:val="11"/>
                <w:szCs w:val="11"/>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Related Party Loans</w:t>
            </w: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916,765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500" w:type="dxa"/>
            <w:vAlign w:val="bottom"/>
            <w:tcBorders>
              <w:right w:val="single" w:sz="8" w:color="CCEEFF"/>
            </w:tcBorders>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4"/>
                <w:szCs w:val="14"/>
                <w:color w:val="auto"/>
              </w:rPr>
              <w:t>Trimaran Advisors,</w:t>
            </w:r>
          </w:p>
        </w:tc>
        <w:tc>
          <w:tcPr>
            <w:tcW w:w="1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00" w:type="dxa"/>
            <w:vAlign w:val="bottom"/>
            <w:tcBorders>
              <w:right w:val="single" w:sz="8" w:color="CCEEFF"/>
            </w:tcBorders>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LLC Related Party</w:t>
            </w:r>
          </w:p>
        </w:tc>
        <w:tc>
          <w:tcPr>
            <w:tcW w:w="1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20"/>
                <w:szCs w:val="20"/>
                <w:color w:val="auto"/>
                <w:vertAlign w:val="subscript"/>
              </w:rPr>
              <w:t>Loan</w:t>
            </w:r>
            <w:r>
              <w:rPr>
                <w:rFonts w:ascii="Times New Roman" w:cs="Times New Roman" w:eastAsia="Times New Roman" w:hAnsi="Times New Roman"/>
                <w:sz w:val="8"/>
                <w:szCs w:val="8"/>
                <w:color w:val="auto"/>
              </w:rPr>
              <w:t>(4)(5)(7)</w:t>
            </w:r>
          </w:p>
        </w:tc>
        <w:tc>
          <w:tcPr>
            <w:tcW w:w="1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Loans</w:t>
            </w:r>
          </w:p>
        </w:tc>
        <w:tc>
          <w:tcPr>
            <w:tcW w:w="84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8,359,051</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8,359,051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148,721</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0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4"/>
                <w:szCs w:val="14"/>
                <w:color w:val="auto"/>
              </w:rPr>
              <w:t>Trimaran Advisors,</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0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4"/>
                <w:szCs w:val="14"/>
                <w:color w:val="auto"/>
              </w:rPr>
              <w:t>LLC Related Party</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0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20"/>
                <w:szCs w:val="20"/>
                <w:color w:val="auto"/>
                <w:vertAlign w:val="subscript"/>
              </w:rPr>
              <w:t>Loan</w:t>
            </w:r>
            <w:r>
              <w:rPr>
                <w:rFonts w:ascii="Times New Roman" w:cs="Times New Roman" w:eastAsia="Times New Roman" w:hAnsi="Times New Roman"/>
                <w:sz w:val="8"/>
                <w:szCs w:val="8"/>
                <w:color w:val="auto"/>
              </w:rPr>
              <w:t>(4)(5)(7)</w:t>
            </w:r>
          </w:p>
        </w:tc>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Related Party Loans</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4,418,232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4,418,232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00" w:type="dxa"/>
            <w:vAlign w:val="bottom"/>
            <w:tcBorders>
              <w:right w:val="single" w:sz="8" w:color="CCEEFF"/>
            </w:tcBorders>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Katonah 2007-I CLO,</w:t>
            </w:r>
          </w:p>
        </w:tc>
        <w:tc>
          <w:tcPr>
            <w:tcW w:w="1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tcBorders>
              <w:right w:val="single" w:sz="8" w:color="CCEEFF"/>
            </w:tcBorders>
            <w:gridSpan w:val="2"/>
            <w:shd w:val="clear" w:color="auto" w:fill="CCEEFF"/>
          </w:tcPr>
          <w:p>
            <w:pPr>
              <w:ind w:left="360"/>
              <w:spacing w:after="0" w:line="189" w:lineRule="exact"/>
              <w:rPr>
                <w:sz w:val="20"/>
                <w:szCs w:val="20"/>
                <w:color w:val="auto"/>
              </w:rPr>
            </w:pPr>
            <w:r>
              <w:rPr>
                <w:rFonts w:ascii="Times New Roman" w:cs="Times New Roman" w:eastAsia="Times New Roman" w:hAnsi="Times New Roman"/>
                <w:sz w:val="21"/>
                <w:szCs w:val="21"/>
                <w:color w:val="auto"/>
                <w:vertAlign w:val="subscript"/>
              </w:rPr>
              <w:t>Ltd.</w:t>
            </w:r>
            <w:r>
              <w:rPr>
                <w:rFonts w:ascii="Times New Roman" w:cs="Times New Roman" w:eastAsia="Times New Roman" w:hAnsi="Times New Roman"/>
                <w:sz w:val="9"/>
                <w:szCs w:val="9"/>
                <w:color w:val="auto"/>
              </w:rPr>
              <w:t>(1)(2)(3)(4)</w:t>
            </w:r>
          </w:p>
        </w:tc>
        <w:tc>
          <w:tcPr>
            <w:tcW w:w="1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20,453,099</w:t>
            </w:r>
          </w:p>
        </w:tc>
        <w:tc>
          <w:tcPr>
            <w:tcW w:w="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3"/>
              </w:rPr>
              <w:t>(13,157,760)</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5,660,026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1"/>
              </w:rPr>
              <w:t>(2,184,878)</w:t>
            </w: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10,770,486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5,660,026</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50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Trimaran CLO VII,</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0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20"/>
                <w:szCs w:val="20"/>
                <w:color w:val="auto"/>
                <w:vertAlign w:val="subscript"/>
              </w:rPr>
              <w:t>Ltd.</w:t>
            </w:r>
            <w:r>
              <w:rPr>
                <w:rFonts w:ascii="Times New Roman" w:cs="Times New Roman" w:eastAsia="Times New Roman" w:hAnsi="Times New Roman"/>
                <w:sz w:val="8"/>
                <w:szCs w:val="8"/>
                <w:color w:val="auto"/>
              </w:rPr>
              <w:t>(1)(2)(3)(4)</w:t>
            </w:r>
          </w:p>
        </w:tc>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1,195,152</w:t>
            </w:r>
          </w:p>
        </w:tc>
        <w:tc>
          <w:tcPr>
            <w:tcW w:w="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(1,264,090)</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78,938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500" w:type="dxa"/>
            <w:vAlign w:val="bottom"/>
            <w:tcBorders>
              <w:right w:val="single" w:sz="8" w:color="CCEEFF"/>
            </w:tcBorders>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4"/>
                <w:szCs w:val="14"/>
                <w:color w:val="auto"/>
                <w:w w:val="99"/>
              </w:rPr>
              <w:t>Catamaran CLO 2012-</w:t>
            </w:r>
          </w:p>
        </w:tc>
        <w:tc>
          <w:tcPr>
            <w:tcW w:w="1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Borders>
              <w:right w:val="single" w:sz="8" w:color="CCEEFF"/>
            </w:tcBorders>
            <w:shd w:val="clear" w:color="auto" w:fill="CCEEFF"/>
          </w:tcPr>
          <w:p>
            <w:pPr>
              <w:jc w:val="right"/>
              <w:ind w:right="511"/>
              <w:spacing w:after="0"/>
              <w:rPr>
                <w:sz w:val="20"/>
                <w:szCs w:val="20"/>
                <w:color w:val="auto"/>
              </w:rPr>
            </w:pPr>
            <w:r>
              <w:rPr>
                <w:rFonts w:ascii="Times New Roman" w:cs="Times New Roman" w:eastAsia="Times New Roman" w:hAnsi="Times New Roman"/>
                <w:sz w:val="10"/>
                <w:szCs w:val="10"/>
                <w:color w:val="auto"/>
                <w:w w:val="97"/>
              </w:rPr>
              <w:t>(1)(2)(4)</w:t>
            </w:r>
          </w:p>
        </w:tc>
        <w:tc>
          <w:tcPr>
            <w:tcW w:w="13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tcBorders>
              <w:right w:val="single" w:sz="8" w:color="CCEEFF"/>
            </w:tcBorders>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2,819,412</w:t>
            </w:r>
          </w:p>
        </w:tc>
        <w:tc>
          <w:tcPr>
            <w:tcW w:w="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(771,743)</w:t>
            </w:r>
          </w:p>
        </w:tc>
        <w:tc>
          <w:tcPr>
            <w:tcW w:w="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(426,497)</w:t>
            </w: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2,320,783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699,611</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580" w:type="dxa"/>
            <w:vAlign w:val="bottom"/>
            <w:shd w:val="clear" w:color="auto" w:fill="CCEEFF"/>
          </w:tcPr>
          <w:p>
            <w:pPr>
              <w:ind w:left="36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20" w:type="dxa"/>
            <w:vAlign w:val="bottom"/>
            <w:tcBorders>
              <w:right w:val="single" w:sz="8" w:color="CCEEFF"/>
            </w:tcBorders>
            <w:shd w:val="clear" w:color="auto" w:fill="CCEEFF"/>
          </w:tcPr>
          <w:p>
            <w:pPr>
              <w:spacing w:after="0"/>
              <w:rPr>
                <w:sz w:val="8"/>
                <w:szCs w:val="8"/>
                <w:color w:val="auto"/>
              </w:rPr>
            </w:pPr>
          </w:p>
        </w:tc>
        <w:tc>
          <w:tcPr>
            <w:tcW w:w="1320" w:type="dxa"/>
            <w:vAlign w:val="bottom"/>
            <w:tcBorders>
              <w:right w:val="single" w:sz="8" w:color="CCEEFF"/>
            </w:tcBorders>
            <w:vMerge w:val="continue"/>
            <w:shd w:val="clear" w:color="auto" w:fill="CCEEFF"/>
          </w:tcPr>
          <w:p>
            <w:pPr>
              <w:spacing w:after="0"/>
              <w:rPr>
                <w:sz w:val="8"/>
                <w:szCs w:val="8"/>
                <w:color w:val="auto"/>
              </w:rPr>
            </w:pPr>
          </w:p>
        </w:tc>
        <w:tc>
          <w:tcPr>
            <w:tcW w:w="84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tcBorders>
              <w:right w:val="single" w:sz="8" w:color="CCEEFF"/>
            </w:tcBorders>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tcBorders>
              <w:right w:val="single" w:sz="8" w:color="CCEEFF"/>
            </w:tcBorders>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50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4"/>
                <w:szCs w:val="14"/>
                <w:color w:val="auto"/>
                <w:w w:val="99"/>
              </w:rPr>
              <w:t>Catamaran CLO 2013-</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0"/>
                <w:szCs w:val="10"/>
                <w:color w:val="auto"/>
                <w:w w:val="97"/>
              </w:rPr>
              <w:t>(1)(2)(4)</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4,918,807</w:t>
            </w:r>
          </w:p>
        </w:tc>
        <w:tc>
          <w:tcPr>
            <w:tcW w:w="60" w:type="dxa"/>
            <w:vAlign w:val="bottom"/>
          </w:tcPr>
          <w:p>
            <w:pPr>
              <w:spacing w:after="0"/>
              <w:rPr>
                <w:sz w:val="18"/>
                <w:szCs w:val="18"/>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(1,054,362)</w:t>
            </w:r>
          </w:p>
        </w:tc>
        <w:tc>
          <w:tcPr>
            <w:tcW w:w="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834,448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2,224,807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6,923,699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834,448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580" w:type="dxa"/>
            <w:vAlign w:val="bottom"/>
          </w:tcPr>
          <w:p>
            <w:pPr>
              <w:ind w:left="36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500" w:type="dxa"/>
            <w:vAlign w:val="bottom"/>
            <w:tcBorders>
              <w:right w:val="single" w:sz="8" w:color="CCEEFF"/>
            </w:tcBorders>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4"/>
                <w:szCs w:val="14"/>
                <w:color w:val="auto"/>
                <w:w w:val="99"/>
              </w:rPr>
              <w:t>Catamaran CLO 2014-</w:t>
            </w:r>
          </w:p>
        </w:tc>
        <w:tc>
          <w:tcPr>
            <w:tcW w:w="1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Borders>
              <w:right w:val="single" w:sz="8" w:color="CCEEFF"/>
            </w:tcBorders>
            <w:shd w:val="clear" w:color="auto" w:fill="CCEEFF"/>
          </w:tcPr>
          <w:p>
            <w:pPr>
              <w:jc w:val="right"/>
              <w:ind w:right="511"/>
              <w:spacing w:after="0"/>
              <w:rPr>
                <w:sz w:val="20"/>
                <w:szCs w:val="20"/>
                <w:color w:val="auto"/>
              </w:rPr>
            </w:pPr>
            <w:r>
              <w:rPr>
                <w:rFonts w:ascii="Times New Roman" w:cs="Times New Roman" w:eastAsia="Times New Roman" w:hAnsi="Times New Roman"/>
                <w:sz w:val="10"/>
                <w:szCs w:val="10"/>
                <w:color w:val="auto"/>
                <w:w w:val="97"/>
              </w:rPr>
              <w:t>(1)(2)(4)</w:t>
            </w:r>
          </w:p>
        </w:tc>
        <w:tc>
          <w:tcPr>
            <w:tcW w:w="13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tcBorders>
              <w:right w:val="single" w:sz="8" w:color="CCEEFF"/>
            </w:tcBorders>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4,546,682</w:t>
            </w: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2,319,047</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1,079,850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1,643,907</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(1,359,309)</w:t>
            </w:r>
          </w:p>
        </w:tc>
        <w:tc>
          <w:tcPr>
            <w:tcW w:w="6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8,230,178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1,079,850</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580" w:type="dxa"/>
            <w:vAlign w:val="bottom"/>
            <w:shd w:val="clear" w:color="auto" w:fill="CCEEFF"/>
          </w:tcPr>
          <w:p>
            <w:pPr>
              <w:ind w:left="36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20" w:type="dxa"/>
            <w:vAlign w:val="bottom"/>
            <w:tcBorders>
              <w:right w:val="single" w:sz="8" w:color="CCEEFF"/>
            </w:tcBorders>
            <w:shd w:val="clear" w:color="auto" w:fill="CCEEFF"/>
          </w:tcPr>
          <w:p>
            <w:pPr>
              <w:spacing w:after="0"/>
              <w:rPr>
                <w:sz w:val="8"/>
                <w:szCs w:val="8"/>
                <w:color w:val="auto"/>
              </w:rPr>
            </w:pPr>
          </w:p>
        </w:tc>
        <w:tc>
          <w:tcPr>
            <w:tcW w:w="1320" w:type="dxa"/>
            <w:vAlign w:val="bottom"/>
            <w:tcBorders>
              <w:right w:val="single" w:sz="8" w:color="CCEEFF"/>
            </w:tcBorders>
            <w:vMerge w:val="continue"/>
            <w:shd w:val="clear" w:color="auto" w:fill="CCEEFF"/>
          </w:tcPr>
          <w:p>
            <w:pPr>
              <w:spacing w:after="0"/>
              <w:rPr>
                <w:sz w:val="8"/>
                <w:szCs w:val="8"/>
                <w:color w:val="auto"/>
              </w:rPr>
            </w:pPr>
          </w:p>
        </w:tc>
        <w:tc>
          <w:tcPr>
            <w:tcW w:w="84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tcBorders>
              <w:right w:val="single" w:sz="8" w:color="CCEEFF"/>
            </w:tcBorders>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50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4"/>
                <w:szCs w:val="14"/>
                <w:color w:val="auto"/>
                <w:w w:val="99"/>
              </w:rPr>
              <w:t>Catamaran CLO 2014-</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0"/>
                <w:szCs w:val="10"/>
                <w:color w:val="auto"/>
                <w:w w:val="97"/>
              </w:rPr>
              <w:t>(1)(2)(4)</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5,092,087</w:t>
            </w:r>
          </w:p>
        </w:tc>
        <w:tc>
          <w:tcPr>
            <w:tcW w:w="60" w:type="dxa"/>
            <w:vAlign w:val="bottom"/>
          </w:tcPr>
          <w:p>
            <w:pPr>
              <w:spacing w:after="0"/>
              <w:rPr>
                <w:sz w:val="18"/>
                <w:szCs w:val="18"/>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(1,130,813)</w:t>
            </w:r>
          </w:p>
        </w:tc>
        <w:tc>
          <w:tcPr>
            <w:tcW w:w="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806,058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(266,370)</w:t>
            </w:r>
          </w:p>
        </w:tc>
        <w:tc>
          <w:tcPr>
            <w:tcW w:w="60" w:type="dxa"/>
            <w:vAlign w:val="bottom"/>
          </w:tcPr>
          <w:p>
            <w:pPr>
              <w:spacing w:after="0"/>
              <w:rPr>
                <w:sz w:val="18"/>
                <w:szCs w:val="18"/>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4,500,962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806,058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580" w:type="dxa"/>
            <w:vAlign w:val="bottom"/>
          </w:tcPr>
          <w:p>
            <w:pPr>
              <w:ind w:left="36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500" w:type="dxa"/>
            <w:vAlign w:val="bottom"/>
            <w:tcBorders>
              <w:right w:val="single" w:sz="8" w:color="CCEEFF"/>
            </w:tcBorders>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4"/>
                <w:szCs w:val="14"/>
                <w:color w:val="auto"/>
                <w:w w:val="99"/>
              </w:rPr>
              <w:t>Catamaran CLO 2015-</w:t>
            </w:r>
          </w:p>
        </w:tc>
        <w:tc>
          <w:tcPr>
            <w:tcW w:w="1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Borders>
              <w:right w:val="single" w:sz="8" w:color="CCEEFF"/>
            </w:tcBorders>
            <w:shd w:val="clear" w:color="auto" w:fill="CCEEFF"/>
          </w:tcPr>
          <w:p>
            <w:pPr>
              <w:jc w:val="right"/>
              <w:ind w:right="511"/>
              <w:spacing w:after="0"/>
              <w:rPr>
                <w:sz w:val="20"/>
                <w:szCs w:val="20"/>
                <w:color w:val="auto"/>
              </w:rPr>
            </w:pPr>
            <w:r>
              <w:rPr>
                <w:rFonts w:ascii="Times New Roman" w:cs="Times New Roman" w:eastAsia="Times New Roman" w:hAnsi="Times New Roman"/>
                <w:sz w:val="10"/>
                <w:szCs w:val="10"/>
                <w:color w:val="auto"/>
                <w:w w:val="97"/>
              </w:rPr>
              <w:t>(1)(2)(4)</w:t>
            </w:r>
          </w:p>
        </w:tc>
        <w:tc>
          <w:tcPr>
            <w:tcW w:w="13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tcBorders>
              <w:right w:val="single" w:sz="8" w:color="CCEEFF"/>
            </w:tcBorders>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3,223,255</w:t>
            </w:r>
          </w:p>
        </w:tc>
        <w:tc>
          <w:tcPr>
            <w:tcW w:w="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(571,562)</w:t>
            </w:r>
          </w:p>
        </w:tc>
        <w:tc>
          <w:tcPr>
            <w:tcW w:w="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471,017</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446,893</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580" w:type="dxa"/>
            <w:vAlign w:val="bottom"/>
            <w:shd w:val="clear" w:color="auto" w:fill="CCEEFF"/>
          </w:tcPr>
          <w:p>
            <w:pPr>
              <w:ind w:left="36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20" w:type="dxa"/>
            <w:vAlign w:val="bottom"/>
            <w:tcBorders>
              <w:right w:val="single" w:sz="8" w:color="CCEEFF"/>
            </w:tcBorders>
            <w:shd w:val="clear" w:color="auto" w:fill="CCEEFF"/>
          </w:tcPr>
          <w:p>
            <w:pPr>
              <w:spacing w:after="0"/>
              <w:rPr>
                <w:sz w:val="8"/>
                <w:szCs w:val="8"/>
                <w:color w:val="auto"/>
              </w:rPr>
            </w:pPr>
          </w:p>
        </w:tc>
        <w:tc>
          <w:tcPr>
            <w:tcW w:w="1320" w:type="dxa"/>
            <w:vAlign w:val="bottom"/>
            <w:tcBorders>
              <w:right w:val="single" w:sz="8" w:color="CCEEFF"/>
            </w:tcBorders>
            <w:vMerge w:val="continue"/>
            <w:shd w:val="clear" w:color="auto" w:fill="CCEEFF"/>
          </w:tcPr>
          <w:p>
            <w:pPr>
              <w:spacing w:after="0"/>
              <w:rPr>
                <w:sz w:val="8"/>
                <w:szCs w:val="8"/>
                <w:color w:val="auto"/>
              </w:rPr>
            </w:pPr>
          </w:p>
        </w:tc>
        <w:tc>
          <w:tcPr>
            <w:tcW w:w="84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tcBorders>
              <w:right w:val="single" w:sz="8" w:color="CCEEFF"/>
            </w:tcBorders>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tcBorders>
              <w:right w:val="single" w:sz="8" w:color="CCEEFF"/>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50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4"/>
                <w:szCs w:val="14"/>
                <w:color w:val="auto"/>
                <w:w w:val="99"/>
              </w:rPr>
              <w:t>Catamaran CLO 2016-</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0"/>
                <w:szCs w:val="10"/>
                <w:color w:val="auto"/>
                <w:w w:val="97"/>
              </w:rPr>
              <w:t>(1)(2)(4)</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8,350,290</w:t>
            </w:r>
          </w:p>
        </w:tc>
        <w:tc>
          <w:tcPr>
            <w:tcW w:w="60" w:type="dxa"/>
            <w:vAlign w:val="bottom"/>
          </w:tcPr>
          <w:p>
            <w:pPr>
              <w:spacing w:after="0"/>
              <w:rPr>
                <w:sz w:val="18"/>
                <w:szCs w:val="18"/>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(1,146,242)</w:t>
            </w:r>
          </w:p>
        </w:tc>
        <w:tc>
          <w:tcPr>
            <w:tcW w:w="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1,093,043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233,593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8,530,685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1,093,043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580" w:type="dxa"/>
            <w:vAlign w:val="bottom"/>
          </w:tcPr>
          <w:p>
            <w:pPr>
              <w:ind w:left="360"/>
              <w:spacing w:after="0" w:line="95" w:lineRule="exact"/>
              <w:rPr>
                <w:sz w:val="20"/>
                <w:szCs w:val="20"/>
                <w:color w:val="auto"/>
              </w:rPr>
            </w:pPr>
            <w:r>
              <w:rPr>
                <w:rFonts w:ascii="Times New Roman" w:cs="Times New Roman" w:eastAsia="Times New Roman" w:hAnsi="Times New Roman"/>
                <w:sz w:val="10"/>
                <w:szCs w:val="10"/>
                <w:color w:val="auto"/>
              </w:rPr>
              <w:t>Ltd.</w:t>
            </w:r>
          </w:p>
        </w:tc>
        <w:tc>
          <w:tcPr>
            <w:tcW w:w="9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w w:val="92"/>
              </w:rPr>
              <w:t>CRMN</w:t>
            </w:r>
          </w:p>
        </w:tc>
        <w:tc>
          <w:tcPr>
            <w:tcW w:w="920" w:type="dxa"/>
            <w:vAlign w:val="bottom"/>
            <w:tcBorders>
              <w:right w:val="single" w:sz="8" w:color="CCEEFF"/>
            </w:tcBorders>
            <w:shd w:val="clear" w:color="auto" w:fill="CCEEFF"/>
          </w:tcPr>
          <w:p>
            <w:pPr>
              <w:spacing w:after="0"/>
              <w:rPr>
                <w:sz w:val="11"/>
                <w:szCs w:val="11"/>
                <w:color w:val="auto"/>
              </w:rPr>
            </w:pPr>
          </w:p>
        </w:tc>
        <w:tc>
          <w:tcPr>
            <w:tcW w:w="1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tcBorders>
              <w:right w:val="single" w:sz="8" w:color="CCEEFF"/>
            </w:tcBorders>
            <w:gridSpan w:val="2"/>
            <w:shd w:val="clear" w:color="auto" w:fill="CCEEFF"/>
          </w:tcPr>
          <w:p>
            <w:pPr>
              <w:ind w:left="360"/>
              <w:spacing w:after="0" w:line="189" w:lineRule="exact"/>
              <w:rPr>
                <w:sz w:val="20"/>
                <w:szCs w:val="20"/>
                <w:color w:val="auto"/>
              </w:rPr>
            </w:pPr>
            <w:r>
              <w:rPr>
                <w:rFonts w:ascii="Times New Roman" w:cs="Times New Roman" w:eastAsia="Times New Roman" w:hAnsi="Times New Roman"/>
                <w:sz w:val="21"/>
                <w:szCs w:val="21"/>
                <w:color w:val="auto"/>
                <w:vertAlign w:val="subscript"/>
              </w:rPr>
              <w:t>2014-1A</w:t>
            </w:r>
            <w:r>
              <w:rPr>
                <w:rFonts w:ascii="Times New Roman" w:cs="Times New Roman" w:eastAsia="Times New Roman" w:hAnsi="Times New Roman"/>
                <w:sz w:val="9"/>
                <w:szCs w:val="9"/>
                <w:color w:val="auto"/>
              </w:rPr>
              <w:t>(1)(2)(4)</w:t>
            </w:r>
          </w:p>
        </w:tc>
        <w:tc>
          <w:tcPr>
            <w:tcW w:w="1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1,310,000</w:t>
            </w:r>
          </w:p>
        </w:tc>
        <w:tc>
          <w:tcPr>
            <w:tcW w:w="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(1,545,506)</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131,727</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94,520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97,885</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5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KCAP F3C Senior</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1"/>
                <w:szCs w:val="11"/>
                <w:color w:val="auto"/>
              </w:rPr>
              <w:t>Funding Rated Notes</w:t>
            </w:r>
            <w:r>
              <w:rPr>
                <w:rFonts w:ascii="Times New Roman" w:cs="Times New Roman" w:eastAsia="Times New Roman" w:hAnsi="Times New Roman"/>
                <w:sz w:val="15"/>
                <w:szCs w:val="15"/>
                <w:color w:val="auto"/>
                <w:vertAlign w:val="superscript"/>
              </w:rPr>
              <w:t>(2)</w:t>
            </w: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(4)</w:t>
            </w:r>
          </w:p>
        </w:tc>
        <w:tc>
          <w:tcPr>
            <w:tcW w:w="920" w:type="dxa"/>
            <w:vAlign w:val="bottom"/>
          </w:tcPr>
          <w:p>
            <w:pPr>
              <w:spacing w:after="0"/>
              <w:rPr>
                <w:sz w:val="11"/>
                <w:szCs w:val="11"/>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CLO Fund Securities</w:t>
            </w: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4,346,290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89,676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196,035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4,632,000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89,676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500" w:type="dxa"/>
            <w:vAlign w:val="bottom"/>
            <w:tcBorders>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KCAP Freedom 3,</w:t>
            </w:r>
          </w:p>
        </w:tc>
        <w:tc>
          <w:tcPr>
            <w:tcW w:w="13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8"/>
                <w:szCs w:val="8"/>
                <w:color w:val="auto"/>
              </w:rPr>
              <w:t>(4)(6)</w:t>
            </w:r>
          </w:p>
        </w:tc>
        <w:tc>
          <w:tcPr>
            <w:tcW w:w="1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Joint Venture</w:t>
            </w:r>
          </w:p>
        </w:tc>
        <w:tc>
          <w:tcPr>
            <w:tcW w:w="84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24,914,858</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1"/>
              </w:rPr>
              <w:t>(3,398,858)</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21,516,000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949,037</w:t>
            </w:r>
          </w:p>
        </w:tc>
        <w:tc>
          <w:tcPr>
            <w:tcW w:w="0" w:type="dxa"/>
            <w:vAlign w:val="bottom"/>
          </w:tcPr>
          <w:p>
            <w:pPr>
              <w:spacing w:after="0"/>
              <w:rPr>
                <w:sz w:val="1"/>
                <w:szCs w:val="1"/>
                <w:color w:val="auto"/>
              </w:rPr>
            </w:pPr>
          </w:p>
        </w:tc>
      </w:tr>
      <w:tr>
        <w:trPr>
          <w:trHeight w:val="20"/>
        </w:trPr>
        <w:tc>
          <w:tcPr>
            <w:tcW w:w="1500" w:type="dxa"/>
            <w:vAlign w:val="bottom"/>
            <w:tcBorders>
              <w:right w:val="single" w:sz="8" w:color="CCEEFF"/>
            </w:tcBorders>
            <w:gridSpan w:val="2"/>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Total Affiliated</w:t>
            </w:r>
          </w:p>
        </w:tc>
        <w:tc>
          <w:tcPr>
            <w:tcW w:w="1320" w:type="dxa"/>
            <w:vAlign w:val="bottom"/>
          </w:tcPr>
          <w:p>
            <w:pPr>
              <w:spacing w:after="0"/>
              <w:rPr>
                <w:sz w:val="8"/>
                <w:szCs w:val="8"/>
                <w:color w:val="auto"/>
              </w:rPr>
            </w:pP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w w:val="92"/>
              </w:rPr>
              <w:t>$ 92,106,784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20,965,400</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1"/>
              </w:rPr>
              <w:t>10,718,864</w:t>
            </w:r>
          </w:p>
        </w:tc>
        <w:tc>
          <w:tcPr>
            <w:tcW w:w="80" w:type="dxa"/>
            <w:vAlign w:val="bottom"/>
          </w:tcPr>
          <w:p>
            <w:pPr>
              <w:spacing w:after="0"/>
              <w:rPr>
                <w:sz w:val="8"/>
                <w:szCs w:val="8"/>
                <w:color w:val="auto"/>
              </w:rPr>
            </w:pPr>
          </w:p>
        </w:tc>
        <w:tc>
          <w:tcPr>
            <w:tcW w:w="72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104,421</w:t>
            </w:r>
          </w:p>
        </w:tc>
        <w:tc>
          <w:tcPr>
            <w:tcW w:w="100" w:type="dxa"/>
            <w:vAlign w:val="bottom"/>
          </w:tcPr>
          <w:p>
            <w:pPr>
              <w:spacing w:after="0"/>
              <w:rPr>
                <w:sz w:val="8"/>
                <w:szCs w:val="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4"/>
              </w:rPr>
              <w:t>(1,264,789)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4"/>
              </w:rPr>
              <w:t>122,630,676</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1"/>
              </w:rPr>
              <w:t>11,889,728</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2"/>
              </w:rPr>
              <w:t>1,409,037</w:t>
            </w:r>
          </w:p>
        </w:tc>
        <w:tc>
          <w:tcPr>
            <w:tcW w:w="0" w:type="dxa"/>
            <w:vAlign w:val="bottom"/>
          </w:tcPr>
          <w:p>
            <w:pPr>
              <w:spacing w:after="0"/>
              <w:rPr>
                <w:sz w:val="1"/>
                <w:szCs w:val="1"/>
                <w:color w:val="auto"/>
              </w:rPr>
            </w:pPr>
          </w:p>
        </w:tc>
      </w:tr>
      <w:tr>
        <w:trPr>
          <w:trHeight w:val="182"/>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Investments</w:t>
            </w:r>
          </w:p>
        </w:tc>
        <w:tc>
          <w:tcPr>
            <w:tcW w:w="1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-4133215</wp:posOffset>
            </wp:positionV>
            <wp:extent cx="514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-4133215</wp:posOffset>
            </wp:positionV>
            <wp:extent cx="514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-4133215</wp:posOffset>
            </wp:positionV>
            <wp:extent cx="514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-4133215</wp:posOffset>
            </wp:positionV>
            <wp:extent cx="514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-4133215</wp:posOffset>
            </wp:positionV>
            <wp:extent cx="514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-4133215</wp:posOffset>
            </wp:positionV>
            <wp:extent cx="514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-4133215</wp:posOffset>
            </wp:positionV>
            <wp:extent cx="514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-4133215</wp:posOffset>
            </wp:positionV>
            <wp:extent cx="431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-4133215</wp:posOffset>
            </wp:positionV>
            <wp:extent cx="342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-4133215</wp:posOffset>
            </wp:positionV>
            <wp:extent cx="95186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248920</wp:posOffset>
            </wp:positionV>
            <wp:extent cx="123507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620" w:hanging="352"/>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company or principal place of business outside the U.S.</w:t>
      </w:r>
    </w:p>
    <w:p>
      <w:pPr>
        <w:spacing w:after="0" w:line="103" w:lineRule="exact"/>
        <w:rPr>
          <w:rFonts w:ascii="Times New Roman" w:cs="Times New Roman" w:eastAsia="Times New Roman" w:hAnsi="Times New Roman"/>
          <w:sz w:val="18"/>
          <w:szCs w:val="18"/>
          <w:color w:val="auto"/>
        </w:rPr>
      </w:pPr>
    </w:p>
    <w:p>
      <w:pPr>
        <w:ind w:left="1620" w:right="980" w:hanging="352"/>
        <w:spacing w:after="0" w:line="266"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 Fund managed by a Disposed Manager Affiliate as of December 31, 2017. Other than KCAP F3C Senior Funding LLC, none of our CLO Fund securities investments were managed by affiliates as of December 31, 2018.</w:t>
      </w:r>
    </w:p>
    <w:p>
      <w:pPr>
        <w:spacing w:after="0" w:line="5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has been received for this security.</w:t>
      </w:r>
    </w:p>
    <w:p>
      <w:pPr>
        <w:spacing w:after="0" w:line="10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this investment was determined using significant unobservable inputs.</w:t>
      </w:r>
    </w:p>
    <w:p>
      <w:pPr>
        <w:spacing w:after="0" w:line="10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asset for purposes of section 55(a) of the Investment Company Act of 1940.</w:t>
      </w:r>
    </w:p>
    <w:p>
      <w:pPr>
        <w:spacing w:after="0" w:line="103" w:lineRule="exact"/>
        <w:rPr>
          <w:rFonts w:ascii="Times New Roman" w:cs="Times New Roman" w:eastAsia="Times New Roman" w:hAnsi="Times New Roman"/>
          <w:sz w:val="18"/>
          <w:szCs w:val="18"/>
          <w:color w:val="auto"/>
        </w:rPr>
      </w:pPr>
    </w:p>
    <w:p>
      <w:pPr>
        <w:ind w:left="1620" w:right="840" w:hanging="352"/>
        <w:spacing w:after="0" w:line="258"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3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14" w:right="1419" w:bottom="1440" w:gutter="0" w:footer="0" w:header="0"/>
        </w:sectPr>
      </w:pPr>
    </w:p>
    <w:bookmarkStart w:id="124" w:name="page125"/>
    <w:bookmarkEnd w:id="124"/>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162" w:lineRule="exact"/>
        <w:rPr>
          <w:sz w:val="20"/>
          <w:szCs w:val="20"/>
          <w:color w:val="auto"/>
        </w:rPr>
      </w:pPr>
    </w:p>
    <w:p>
      <w:pPr>
        <w:jc w:val="both"/>
        <w:ind w:left="1620" w:right="819" w:hanging="352"/>
        <w:spacing w:after="0" w:line="266"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08"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81"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ASC 820: Fair Value establishes the following three-level hierarchy, based upon the transparency of inputs to the fair value measurement of an asset or liability as of the measurement date:</w:t>
      </w:r>
    </w:p>
    <w:p>
      <w:pPr>
        <w:spacing w:after="0" w:line="54" w:lineRule="exact"/>
        <w:rPr>
          <w:sz w:val="20"/>
          <w:szCs w:val="20"/>
          <w:color w:val="auto"/>
        </w:rPr>
      </w:pPr>
    </w:p>
    <w:p>
      <w:pPr>
        <w:ind w:left="1620" w:right="779" w:firstLine="360"/>
        <w:spacing w:after="0" w:line="261" w:lineRule="auto"/>
        <w:rPr>
          <w:sz w:val="20"/>
          <w:szCs w:val="20"/>
          <w:color w:val="auto"/>
        </w:rPr>
      </w:pPr>
      <w:r>
        <w:rPr>
          <w:rFonts w:ascii="Times New Roman" w:cs="Times New Roman" w:eastAsia="Times New Roman" w:hAnsi="Times New Roman"/>
          <w:sz w:val="18"/>
          <w:szCs w:val="18"/>
          <w:color w:val="auto"/>
        </w:rPr>
        <w:t>Level I — Unadjusted quoted prices are available in active markets for identical investments as of the reporting date. The type of investments included in Level I include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2" w:lineRule="exact"/>
        <w:rPr>
          <w:sz w:val="20"/>
          <w:szCs w:val="20"/>
          <w:color w:val="auto"/>
        </w:rPr>
      </w:pPr>
    </w:p>
    <w:p>
      <w:pPr>
        <w:ind w:left="1620" w:right="799" w:firstLine="360"/>
        <w:spacing w:after="0" w:line="255" w:lineRule="auto"/>
        <w:rPr>
          <w:sz w:val="20"/>
          <w:szCs w:val="20"/>
          <w:color w:val="auto"/>
        </w:rPr>
      </w:pPr>
      <w:r>
        <w:rPr>
          <w:rFonts w:ascii="Times New Roman" w:cs="Times New Roman" w:eastAsia="Times New Roman" w:hAnsi="Times New Roman"/>
          <w:sz w:val="18"/>
          <w:szCs w:val="18"/>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81" w:lineRule="exact"/>
        <w:rPr>
          <w:sz w:val="20"/>
          <w:szCs w:val="20"/>
          <w:color w:val="auto"/>
        </w:rPr>
      </w:pPr>
    </w:p>
    <w:p>
      <w:pPr>
        <w:ind w:left="1620" w:right="839" w:firstLine="360"/>
        <w:spacing w:after="0" w:line="254" w:lineRule="auto"/>
        <w:rPr>
          <w:sz w:val="20"/>
          <w:szCs w:val="20"/>
          <w:color w:val="auto"/>
        </w:rPr>
      </w:pPr>
      <w:r>
        <w:rPr>
          <w:rFonts w:ascii="Times New Roman" w:cs="Times New Roman" w:eastAsia="Times New Roman" w:hAnsi="Times New Roman"/>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81"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w:t>
      </w: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260" w:right="779"/>
        <w:spacing w:after="0" w:line="254" w:lineRule="auto"/>
        <w:rPr>
          <w:sz w:val="20"/>
          <w:szCs w:val="20"/>
          <w:color w:val="auto"/>
        </w:rPr>
      </w:pPr>
      <w:r>
        <w:rPr>
          <w:rFonts w:ascii="Times New Roman" w:cs="Times New Roman" w:eastAsia="Times New Roman" w:hAnsi="Times New Roman"/>
          <w:sz w:val="18"/>
          <w:szCs w:val="18"/>
          <w:color w:val="auto"/>
        </w:rPr>
        <w:t>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 Investments valued at Net Asset Value (“NAV”) are excluded from the fair value heirarchy.</w:t>
      </w:r>
    </w:p>
    <w:p>
      <w:pPr>
        <w:spacing w:after="0" w:line="7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investments by the above ASC 820: Fair Value fair value hierarchy levels as of December 31, 2018 and December 31, 2017, respectively:</w:t>
      </w:r>
    </w:p>
    <w:p>
      <w:pPr>
        <w:spacing w:after="0" w:line="7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6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4"/>
        </w:trPr>
        <w:tc>
          <w:tcPr>
            <w:tcW w:w="2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0"/>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240" w:type="dxa"/>
            <w:vAlign w:val="bottom"/>
          </w:tcPr>
          <w:p>
            <w:pPr>
              <w:spacing w:after="0"/>
              <w:rPr>
                <w:sz w:val="17"/>
                <w:szCs w:val="17"/>
                <w:color w:val="auto"/>
              </w:rPr>
            </w:pPr>
          </w:p>
        </w:tc>
        <w:tc>
          <w:tcPr>
            <w:tcW w:w="86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$9,999,349</w:t>
            </w: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$34,757,129</w:t>
            </w: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$ 44,756,478</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41,120,073</w:t>
            </w: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106,741,671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147,861,744</w:t>
            </w:r>
          </w:p>
        </w:tc>
      </w:tr>
      <w:tr>
        <w:trPr>
          <w:trHeight w:val="25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8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44,325,000</w:t>
            </w: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44,325,000</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2,038,020</w:t>
            </w: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12,466,667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14,504,687</w:t>
            </w:r>
          </w:p>
        </w:tc>
      </w:tr>
      <w:tr>
        <w:trPr>
          <w:trHeight w:val="25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Manager Affiliates</w:t>
            </w:r>
          </w:p>
        </w:tc>
        <w:tc>
          <w:tcPr>
            <w:tcW w:w="18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3,470,000</w:t>
            </w: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3,470,000</w:t>
            </w:r>
          </w:p>
        </w:tc>
      </w:tr>
      <w:tr>
        <w:trPr>
          <w:trHeight w:val="26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18,390,440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18,390,440</w:t>
            </w:r>
          </w:p>
        </w:tc>
      </w:tr>
      <w:tr>
        <w:trPr>
          <w:trHeight w:val="20"/>
        </w:trPr>
        <w:tc>
          <w:tcPr>
            <w:tcW w:w="26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25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9,999,349</w:t>
            </w: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75,877,202</w:t>
            </w:r>
          </w:p>
        </w:tc>
        <w:tc>
          <w:tcPr>
            <w:tcW w:w="13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174,965,131</w:t>
            </w:r>
          </w:p>
        </w:tc>
        <w:tc>
          <w:tcPr>
            <w:tcW w:w="100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12,466,667</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273,308,349</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403"/>
        </w:trPr>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
        </w:trPr>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0"/>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180" w:type="dxa"/>
            <w:vAlign w:val="bottom"/>
          </w:tcPr>
          <w:p>
            <w:pPr>
              <w:spacing w:after="0"/>
              <w:rPr>
                <w:sz w:val="17"/>
                <w:szCs w:val="17"/>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220" w:type="dxa"/>
            <w:vAlign w:val="bottom"/>
          </w:tcPr>
          <w:p>
            <w:pPr>
              <w:spacing w:after="0"/>
              <w:rPr>
                <w:sz w:val="17"/>
                <w:szCs w:val="17"/>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5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$25,006,750</w:t>
            </w:r>
          </w:p>
        </w:tc>
        <w:tc>
          <w:tcPr>
            <w:tcW w:w="1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$ 52,293,570</w:t>
            </w:r>
          </w:p>
        </w:tc>
        <w:tc>
          <w:tcPr>
            <w:tcW w:w="84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right w:val="single" w:sz="8" w:color="CCEEFF"/>
            </w:tcBorders>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$ 77,300,320</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48,312,024</w:t>
            </w:r>
          </w:p>
        </w:tc>
        <w:tc>
          <w:tcPr>
            <w:tcW w:w="12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69,885,455</w:t>
            </w:r>
          </w:p>
        </w:tc>
        <w:tc>
          <w:tcPr>
            <w:tcW w:w="140" w:type="dxa"/>
            <w:vAlign w:val="bottom"/>
          </w:tcPr>
          <w:p>
            <w:pPr>
              <w:spacing w:after="0"/>
              <w:rPr>
                <w:sz w:val="22"/>
                <w:szCs w:val="22"/>
                <w:color w:val="auto"/>
              </w:rPr>
            </w:pP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118,197,479</w:t>
            </w:r>
          </w:p>
        </w:tc>
      </w:tr>
      <w:tr>
        <w:trPr>
          <w:trHeight w:val="25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8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3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51,678,673</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51,678,673</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4,414,684</w:t>
            </w:r>
          </w:p>
        </w:tc>
        <w:tc>
          <w:tcPr>
            <w:tcW w:w="140" w:type="dxa"/>
            <w:vAlign w:val="bottom"/>
          </w:tcPr>
          <w:p>
            <w:pPr>
              <w:spacing w:after="0"/>
              <w:rPr>
                <w:sz w:val="22"/>
                <w:szCs w:val="22"/>
                <w:color w:val="auto"/>
              </w:rPr>
            </w:pP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4,414,684</w:t>
            </w:r>
          </w:p>
        </w:tc>
      </w:tr>
      <w:tr>
        <w:trPr>
          <w:trHeight w:val="25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Manager Affiliates</w:t>
            </w:r>
          </w:p>
        </w:tc>
        <w:tc>
          <w:tcPr>
            <w:tcW w:w="18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3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38,849,000</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38,849,000</w:t>
            </w:r>
          </w:p>
        </w:tc>
      </w:tr>
      <w:tr>
        <w:trPr>
          <w:trHeight w:val="26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21,516,000</w:t>
            </w:r>
          </w:p>
        </w:tc>
        <w:tc>
          <w:tcPr>
            <w:tcW w:w="140" w:type="dxa"/>
            <w:vAlign w:val="bottom"/>
          </w:tcPr>
          <w:p>
            <w:pPr>
              <w:spacing w:after="0"/>
              <w:rPr>
                <w:sz w:val="22"/>
                <w:szCs w:val="22"/>
                <w:color w:val="auto"/>
              </w:rPr>
            </w:pP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21,516,000</w:t>
            </w:r>
          </w:p>
        </w:tc>
      </w:tr>
      <w:tr>
        <w:trPr>
          <w:trHeight w:val="20"/>
        </w:trPr>
        <w:tc>
          <w:tcPr>
            <w:tcW w:w="26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4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right w:val="single" w:sz="8" w:color="CCEEFF"/>
            </w:tcBorders>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25,006,750</w:t>
            </w:r>
          </w:p>
        </w:tc>
        <w:tc>
          <w:tcPr>
            <w:tcW w:w="1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100,605,594</w:t>
            </w:r>
          </w:p>
        </w:tc>
        <w:tc>
          <w:tcPr>
            <w:tcW w:w="12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186,343,812</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311,956,156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-1826260</wp:posOffset>
            </wp:positionV>
            <wp:extent cx="14605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-1826260</wp:posOffset>
            </wp:positionV>
            <wp:extent cx="1460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-1826260</wp:posOffset>
            </wp:positionV>
            <wp:extent cx="1460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-1826260</wp:posOffset>
            </wp:positionV>
            <wp:extent cx="23583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583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-2820670</wp:posOffset>
            </wp:positionV>
            <wp:extent cx="1371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-2820670</wp:posOffset>
            </wp:positionV>
            <wp:extent cx="1371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-2820670</wp:posOffset>
            </wp:positionV>
            <wp:extent cx="1371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-2820670</wp:posOffset>
            </wp:positionV>
            <wp:extent cx="23495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-196850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-196850</wp:posOffset>
            </wp:positionV>
            <wp:extent cx="16319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-196850</wp:posOffset>
            </wp:positionV>
            <wp:extent cx="15430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-196850</wp:posOffset>
            </wp:positionV>
            <wp:extent cx="1460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252158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-1191260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-1191260</wp:posOffset>
            </wp:positionV>
            <wp:extent cx="1371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-1191260</wp:posOffset>
            </wp:positionV>
            <wp:extent cx="1371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-1191260</wp:posOffset>
            </wp:positionV>
            <wp:extent cx="13716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-1191260</wp:posOffset>
            </wp:positionV>
            <wp:extent cx="251269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91"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76" w:lineRule="exact"/>
        <w:rPr>
          <w:sz w:val="20"/>
          <w:szCs w:val="20"/>
          <w:color w:val="auto"/>
        </w:rPr>
      </w:pPr>
    </w:p>
    <w:p>
      <w:pPr>
        <w:ind w:left="1260" w:right="859" w:firstLine="360"/>
        <w:spacing w:after="0" w:line="255" w:lineRule="auto"/>
        <w:rPr>
          <w:sz w:val="20"/>
          <w:szCs w:val="20"/>
          <w:color w:val="auto"/>
        </w:rPr>
      </w:pPr>
      <w:r>
        <w:rPr>
          <w:rFonts w:ascii="Times New Roman" w:cs="Times New Roman" w:eastAsia="Times New Roman" w:hAnsi="Times New Roman"/>
          <w:sz w:val="18"/>
          <w:szCs w:val="18"/>
          <w:color w:val="auto"/>
        </w:rPr>
        <w:t>The BCP Great Lakes Partnership has been formed as a co-investment vehicle to facilitate the participation of certain co-investors to invest, directly or indirectly, in Great Lakes Funding LLC, a company organized under the laws of the State of Delaware (the “Investment”), and potentially in follow-on investments related thereto, and to engage in such other activities as are permitted by the BCP Great Lakes Fund, LP Amended and Restated Exempted Limited Partnership Agreement (the “BCP Great Lakes Partnership Agreement”). The investment strategy of BCP Great Lakes Funding, LLC is to underwrite and hold senior, secured unitranche loans made to middle-market companies.</w:t>
      </w:r>
    </w:p>
    <w:p>
      <w:pPr>
        <w:spacing w:after="0" w:line="2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260" w:right="939" w:firstLine="360"/>
        <w:spacing w:after="0" w:line="255" w:lineRule="auto"/>
        <w:rPr>
          <w:sz w:val="20"/>
          <w:szCs w:val="20"/>
          <w:color w:val="auto"/>
        </w:rPr>
      </w:pPr>
      <w:r>
        <w:rPr>
          <w:rFonts w:ascii="Times New Roman" w:cs="Times New Roman" w:eastAsia="Times New Roman" w:hAnsi="Times New Roman"/>
          <w:sz w:val="18"/>
          <w:szCs w:val="18"/>
          <w:color w:val="auto"/>
        </w:rPr>
        <w:t>The fair value of the Company’s investment in BCP Great Lakes Fund, LP (the “BCP Great Lakes Partnership”) at December 31, 2018 was $12.5 million. Fair value has been determined utilizing the practical expedient pursuant to ASC 820-10. Pursuant to the terms of the BGP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81"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The Company generally cannot redeem or withdraw its investment in BCP Great Lakes Partnership, however, the Company is generally entitled to quarterly distributions on its pro-rata share of current income, disposition proceeds and temporary investment income (as defined), net of expenses and reserves deemed necessary to satisfy partnership obligations, at the discretion of the General Partner pursuant to the provisions of the BCP Great Lakes Partnership Agreement. Accordingly, the amount and timing of any such distributions is uncertain.</w:t>
      </w:r>
    </w:p>
    <w:p>
      <w:pPr>
        <w:spacing w:after="0" w:line="8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has a $12.5 million unfunded commitment to the BCP Great Lakes Partnership.</w:t>
      </w:r>
    </w:p>
    <w:p>
      <w:pPr>
        <w:spacing w:after="0" w:line="54"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81"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260" w:right="1039" w:firstLine="360"/>
        <w:spacing w:after="0" w:line="258" w:lineRule="auto"/>
        <w:rPr>
          <w:sz w:val="20"/>
          <w:szCs w:val="20"/>
          <w:color w:val="auto"/>
        </w:rPr>
      </w:pPr>
      <w:r>
        <w:rPr>
          <w:rFonts w:ascii="Times New Roman" w:cs="Times New Roman" w:eastAsia="Times New Roman" w:hAnsi="Times New Roman"/>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CLO Fund</w:t>
            </w:r>
          </w:p>
        </w:tc>
        <w:tc>
          <w:tcPr>
            <w:tcW w:w="88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2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Asset Manager</w:t>
            </w:r>
          </w:p>
        </w:tc>
        <w:tc>
          <w:tcPr>
            <w:tcW w:w="8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Joint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Debt Securities</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Affiliate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Venture</w:t>
            </w:r>
          </w:p>
        </w:tc>
        <w:tc>
          <w:tcPr>
            <w:tcW w:w="10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7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2017</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69,885,455</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51,678,673</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$ 4,414,684</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38,849,000</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$21,516,000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186,343,812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Transfers out of Level III</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(230,732)</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(230,732)</w:t>
            </w:r>
          </w:p>
        </w:tc>
        <w:tc>
          <w:tcPr>
            <w:tcW w:w="0" w:type="dxa"/>
            <w:vAlign w:val="bottom"/>
          </w:tcPr>
          <w:p>
            <w:pPr>
              <w:spacing w:after="0"/>
              <w:rPr>
                <w:sz w:val="1"/>
                <w:szCs w:val="1"/>
                <w:color w:val="auto"/>
              </w:rPr>
            </w:pPr>
          </w:p>
        </w:tc>
      </w:tr>
      <w:tr>
        <w:trPr>
          <w:trHeight w:val="216"/>
        </w:trPr>
        <w:tc>
          <w:tcPr>
            <w:tcW w:w="27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Transfers into Level III</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16,474,663</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16,474,663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accretion</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5,878,260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6,003,874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38,099,644</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12,781,528</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50,881,172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Sales/Paydowns/Return of Capital</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(11,116,360)</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(19,033,322)</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(1,093,244)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(34,800,000)</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(66,042,926)</w:t>
            </w:r>
          </w:p>
        </w:tc>
        <w:tc>
          <w:tcPr>
            <w:tcW w:w="0" w:type="dxa"/>
            <w:vAlign w:val="bottom"/>
          </w:tcPr>
          <w:p>
            <w:pPr>
              <w:spacing w:after="0"/>
              <w:rPr>
                <w:sz w:val="1"/>
                <w:szCs w:val="1"/>
                <w:color w:val="auto"/>
              </w:rPr>
            </w:pPr>
          </w:p>
        </w:tc>
      </w:tr>
      <w:tr>
        <w:trPr>
          <w:trHeight w:val="176"/>
        </w:trPr>
        <w:tc>
          <w:tcPr>
            <w:tcW w:w="2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realized loss included in</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(51,674)</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(16,484,872)</w:t>
            </w:r>
          </w:p>
        </w:tc>
        <w:tc>
          <w:tcPr>
            <w:tcW w:w="8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(16,536,546)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earnings</w:t>
            </w: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vMerge w:val="continue"/>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unrealized gain (loss) included</w:t>
            </w:r>
          </w:p>
        </w:tc>
        <w:tc>
          <w:tcPr>
            <w:tcW w:w="80" w:type="dxa"/>
            <w:vAlign w:val="bottom"/>
          </w:tcPr>
          <w:p>
            <w:pPr>
              <w:spacing w:after="0"/>
              <w:rPr>
                <w:sz w:val="15"/>
                <w:szCs w:val="15"/>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(6,444,939)</w:t>
            </w:r>
          </w:p>
        </w:tc>
        <w:tc>
          <w:tcPr>
            <w:tcW w:w="8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9,504,733</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(1,283,420)</w:t>
            </w:r>
          </w:p>
        </w:tc>
        <w:tc>
          <w:tcPr>
            <w:tcW w:w="1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(579,000)</w:t>
            </w:r>
          </w:p>
        </w:tc>
        <w:tc>
          <w:tcPr>
            <w:tcW w:w="100" w:type="dxa"/>
            <w:vAlign w:val="bottom"/>
          </w:tcPr>
          <w:p>
            <w:pPr>
              <w:spacing w:after="0"/>
              <w:rPr>
                <w:sz w:val="15"/>
                <w:szCs w:val="15"/>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(3,125,560)</w:t>
            </w:r>
          </w:p>
        </w:tc>
        <w:tc>
          <w:tcPr>
            <w:tcW w:w="10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(1,928,186)</w:t>
            </w:r>
          </w:p>
        </w:tc>
        <w:tc>
          <w:tcPr>
            <w:tcW w:w="0" w:type="dxa"/>
            <w:vAlign w:val="bottom"/>
          </w:tcPr>
          <w:p>
            <w:pPr>
              <w:spacing w:after="0"/>
              <w:rPr>
                <w:sz w:val="1"/>
                <w:szCs w:val="1"/>
                <w:color w:val="auto"/>
              </w:rPr>
            </w:pPr>
          </w:p>
        </w:tc>
      </w:tr>
      <w:tr>
        <w:trPr>
          <w:trHeight w:val="20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 earnings</w:t>
            </w: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106,741,671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44,325,000</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$ 2,038,020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3,470,000</w:t>
            </w:r>
          </w:p>
        </w:tc>
        <w:tc>
          <w:tcPr>
            <w:tcW w:w="1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18,390,440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174,965,131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gridSpan w:val="2"/>
            <w:vMerge w:val="restart"/>
          </w:tcPr>
          <w:p>
            <w:pPr>
              <w:spacing w:after="0" w:line="160" w:lineRule="exact"/>
              <w:rPr>
                <w:sz w:val="20"/>
                <w:szCs w:val="20"/>
                <w:color w:val="auto"/>
              </w:rPr>
            </w:pPr>
            <w:r>
              <w:rPr>
                <w:rFonts w:ascii="Times New Roman" w:cs="Times New Roman" w:eastAsia="Times New Roman" w:hAnsi="Times New Roman"/>
                <w:sz w:val="15"/>
                <w:szCs w:val="15"/>
                <w:color w:val="auto"/>
              </w:rPr>
              <w:t>Changes in unrealized gains (losses)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5"/>
                <w:szCs w:val="15"/>
                <w:color w:val="auto"/>
              </w:rPr>
              <w:t>included in earnings related to</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(5,197,940)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6,631,424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(1,283,420)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(579,000)</w:t>
            </w:r>
          </w:p>
        </w:tc>
        <w:tc>
          <w:tcPr>
            <w:tcW w:w="100" w:type="dxa"/>
            <w:vAlign w:val="bottom"/>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(3,125,560) $</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(681,187)</w:t>
            </w:r>
          </w:p>
        </w:tc>
        <w:tc>
          <w:tcPr>
            <w:tcW w:w="0" w:type="dxa"/>
            <w:vAlign w:val="bottom"/>
          </w:tcPr>
          <w:p>
            <w:pPr>
              <w:spacing w:after="0"/>
              <w:rPr>
                <w:sz w:val="1"/>
                <w:szCs w:val="1"/>
                <w:color w:val="auto"/>
              </w:rPr>
            </w:pPr>
          </w:p>
        </w:tc>
      </w:tr>
      <w:tr>
        <w:trPr>
          <w:trHeight w:val="20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investments still held at reporting date</w:t>
            </w:r>
          </w:p>
        </w:tc>
        <w:tc>
          <w:tcPr>
            <w:tcW w:w="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9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-650875</wp:posOffset>
            </wp:positionV>
            <wp:extent cx="603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-650875</wp:posOffset>
            </wp:positionV>
            <wp:extent cx="10287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-650875</wp:posOffset>
            </wp:positionV>
            <wp:extent cx="857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-650875</wp:posOffset>
            </wp:positionV>
            <wp:extent cx="603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23323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-1937385</wp:posOffset>
            </wp:positionV>
            <wp:extent cx="514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-1937385</wp:posOffset>
            </wp:positionV>
            <wp:extent cx="51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-1937385</wp:posOffset>
            </wp:positionV>
            <wp:extent cx="514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-1937385</wp:posOffset>
            </wp:positionV>
            <wp:extent cx="514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-1937385</wp:posOffset>
            </wp:positionV>
            <wp:extent cx="23241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97" w:lineRule="exact"/>
        <w:rPr>
          <w:sz w:val="20"/>
          <w:szCs w:val="20"/>
          <w:color w:val="auto"/>
        </w:rPr>
      </w:pPr>
    </w:p>
    <w:p>
      <w:pPr>
        <w:ind w:left="1620" w:right="1239" w:hanging="352"/>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out of Level III represent a transfer of $230,732 relating to debt securities for which pricing inputs, other than their quoted prices in active markets were observable as of December 31, 2018.</w:t>
      </w:r>
    </w:p>
    <w:p>
      <w:pPr>
        <w:spacing w:after="0" w:line="67" w:lineRule="exact"/>
        <w:rPr>
          <w:rFonts w:ascii="Times New Roman" w:cs="Times New Roman" w:eastAsia="Times New Roman" w:hAnsi="Times New Roman"/>
          <w:sz w:val="18"/>
          <w:szCs w:val="18"/>
          <w:color w:val="auto"/>
        </w:rPr>
      </w:pPr>
    </w:p>
    <w:p>
      <w:pPr>
        <w:ind w:left="1620" w:right="1159" w:hanging="352"/>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into Level III represent a transfer of $16,474,663 relating to debt securities for which pricing inputs, other than their quoted prices in active markets were unobservable as of December 31, 2018.</w:t>
      </w:r>
    </w:p>
    <w:p>
      <w:pPr>
        <w:spacing w:after="0" w:line="61"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CLO Fund</w:t>
            </w: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80" w:type="dxa"/>
            <w:vAlign w:val="bottom"/>
            <w:gridSpan w:val="6"/>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Manager</w:t>
            </w:r>
          </w:p>
        </w:tc>
        <w:tc>
          <w:tcPr>
            <w:tcW w:w="80" w:type="dxa"/>
            <w:vAlign w:val="bottom"/>
          </w:tcPr>
          <w:p>
            <w:pPr>
              <w:spacing w:after="0"/>
              <w:rPr>
                <w:sz w:val="12"/>
                <w:szCs w:val="12"/>
                <w:color w:val="auto"/>
              </w:rPr>
            </w:pPr>
          </w:p>
        </w:tc>
        <w:tc>
          <w:tcPr>
            <w:tcW w:w="84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Joint</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0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Affiliate</w:t>
            </w:r>
          </w:p>
        </w:tc>
        <w:tc>
          <w:tcPr>
            <w:tcW w:w="80" w:type="dxa"/>
            <w:vAlign w:val="bottom"/>
          </w:tcPr>
          <w:p>
            <w:pPr>
              <w:spacing w:after="0"/>
              <w:rPr>
                <w:sz w:val="16"/>
                <w:szCs w:val="16"/>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Venture</w:t>
            </w:r>
          </w:p>
        </w:tc>
        <w:tc>
          <w:tcPr>
            <w:tcW w:w="8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2016</w:t>
            </w: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153,741,745</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54,174,350</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5,056,355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40,198,000</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253,170,450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Transfers out of Level III</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(3,867,400)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(3,867,400)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Transfers into Level III</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2,477,500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accretion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246,238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11,139,633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11,385,871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53,219,762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11,211,368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182,000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36,738,873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101,352,003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Sales/Paydowns/Return of 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(136,020,685)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8"/>
              </w:rPr>
              <w:t>(25,598,497)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(2,750,000)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(11,824,015)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(176,193,197)</w:t>
            </w:r>
          </w:p>
        </w:tc>
        <w:tc>
          <w:tcPr>
            <w:tcW w:w="0" w:type="dxa"/>
            <w:vAlign w:val="bottom"/>
          </w:tcPr>
          <w:p>
            <w:pPr>
              <w:spacing w:after="0"/>
              <w:rPr>
                <w:sz w:val="1"/>
                <w:szCs w:val="1"/>
                <w:color w:val="auto"/>
              </w:rPr>
            </w:pPr>
          </w:p>
        </w:tc>
      </w:tr>
      <w:tr>
        <w:trPr>
          <w:trHeight w:val="162"/>
        </w:trPr>
        <w:tc>
          <w:tcPr>
            <w:tcW w:w="26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realized gain included in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(2,121,907)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(1,264,789)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(3,386,696)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earnings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Total unrealized gain (loss) included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2,210,202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2,016,608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(823,671)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1,401,000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(3,398,858)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1,405,281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2017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69,885,455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51,678,673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4,414,684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38,849,000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21,516,000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186,343,812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line="144" w:lineRule="exact"/>
              <w:rPr>
                <w:sz w:val="20"/>
                <w:szCs w:val="20"/>
                <w:color w:val="auto"/>
              </w:rPr>
            </w:pPr>
            <w:r>
              <w:rPr>
                <w:rFonts w:ascii="Times New Roman" w:cs="Times New Roman" w:eastAsia="Times New Roman" w:hAnsi="Times New Roman"/>
                <w:sz w:val="15"/>
                <w:szCs w:val="15"/>
                <w:color w:val="auto"/>
              </w:rPr>
              <w:t>Changes in unrealized gains (losses)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6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5"/>
                <w:szCs w:val="15"/>
                <w:color w:val="auto"/>
              </w:rPr>
              <w:t>included in earnings related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5"/>
                <w:szCs w:val="15"/>
                <w:color w:val="auto"/>
              </w:rPr>
              <w:t>investments still held at reporting</w:t>
            </w: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5"/>
                <w:szCs w:val="15"/>
                <w:color w:val="auto"/>
              </w:rPr>
              <w:t>(479,087)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2,016,608</w:t>
            </w:r>
          </w:p>
        </w:tc>
        <w:tc>
          <w:tcPr>
            <w:tcW w:w="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(823,671)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1,401,000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5"/>
                <w:szCs w:val="15"/>
                <w:color w:val="auto"/>
              </w:rPr>
              <w:t>(3,398,858) $</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(1,284,008)</w:t>
            </w:r>
          </w:p>
        </w:tc>
        <w:tc>
          <w:tcPr>
            <w:tcW w:w="0" w:type="dxa"/>
            <w:vAlign w:val="bottom"/>
          </w:tcPr>
          <w:p>
            <w:pPr>
              <w:spacing w:after="0"/>
              <w:rPr>
                <w:sz w:val="1"/>
                <w:szCs w:val="1"/>
                <w:color w:val="auto"/>
              </w:rPr>
            </w:pPr>
          </w:p>
        </w:tc>
      </w:tr>
      <w:tr>
        <w:trPr>
          <w:trHeight w:val="200"/>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date</w:t>
            </w:r>
          </w:p>
        </w:tc>
        <w:tc>
          <w:tcPr>
            <w:tcW w:w="100" w:type="dxa"/>
            <w:vAlign w:val="bottom"/>
            <w:gridSpan w:val="2"/>
            <w:vMerge w:val="continue"/>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920" w:type="dxa"/>
            <w:vAlign w:val="bottom"/>
            <w:gridSpan w:val="4"/>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9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-728345</wp:posOffset>
            </wp:positionV>
            <wp:extent cx="6032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-728345</wp:posOffset>
            </wp:positionV>
            <wp:extent cx="12001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-728345</wp:posOffset>
            </wp:positionV>
            <wp:extent cx="1028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-728345</wp:posOffset>
            </wp:positionV>
            <wp:extent cx="603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-728345</wp:posOffset>
            </wp:positionV>
            <wp:extent cx="229806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-1971675</wp:posOffset>
            </wp:positionV>
            <wp:extent cx="514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-1971675</wp:posOffset>
            </wp:positionV>
            <wp:extent cx="514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-1971675</wp:posOffset>
            </wp:positionV>
            <wp:extent cx="514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-1971675</wp:posOffset>
            </wp:positionV>
            <wp:extent cx="514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-1971675</wp:posOffset>
            </wp:positionV>
            <wp:extent cx="228981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10" w:lineRule="exact"/>
        <w:rPr>
          <w:sz w:val="20"/>
          <w:szCs w:val="20"/>
          <w:color w:val="auto"/>
        </w:rPr>
      </w:pPr>
    </w:p>
    <w:p>
      <w:pPr>
        <w:ind w:left="1620" w:right="1099" w:hanging="352"/>
        <w:spacing w:after="0" w:line="282"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out of Level III represent a transfer of $3,867,400 relating to debt securities for which pricing inputs, other than their quoted prices in active markets were observable as of December 31, 2017.</w:t>
      </w:r>
    </w:p>
    <w:p>
      <w:pPr>
        <w:spacing w:after="0" w:line="53" w:lineRule="exact"/>
        <w:rPr>
          <w:rFonts w:ascii="Times New Roman" w:cs="Times New Roman" w:eastAsia="Times New Roman" w:hAnsi="Times New Roman"/>
          <w:sz w:val="18"/>
          <w:szCs w:val="18"/>
          <w:color w:val="auto"/>
        </w:rPr>
      </w:pPr>
    </w:p>
    <w:p>
      <w:pPr>
        <w:ind w:left="1620" w:right="1239" w:hanging="352"/>
        <w:spacing w:after="0" w:line="282"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into Level III represent a transfer of $2,477,500 relating to debt securities for which pricing inputs, other than their quoted prices in active markets were unobservable as of December 31, 2017.</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$75.9 million as of December 31, 2018.</w:t>
      </w:r>
    </w:p>
    <w:p>
      <w:pPr>
        <w:spacing w:after="0" w:line="76"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Company’s Level III portfolio investments had the following valuation techniques and significant inputs:</w:t>
      </w:r>
    </w:p>
    <w:p>
      <w:pPr>
        <w:spacing w:after="0" w:line="93" w:lineRule="exact"/>
        <w:rPr>
          <w:sz w:val="20"/>
          <w:szCs w:val="20"/>
          <w:color w:val="auto"/>
        </w:rPr>
      </w:pPr>
    </w:p>
    <w:tbl>
      <w:tblPr>
        <w:tblLayout w:type="fixed"/>
        <w:tblInd w:w="1270" w:type="dxa"/>
        <w:tblCellMar>
          <w:top w:w="0" w:type="dxa"/>
          <w:left w:w="0" w:type="dxa"/>
          <w:bottom w:w="0" w:type="dxa"/>
          <w:right w:w="0" w:type="dxa"/>
        </w:tblCellMar>
      </w:tblPr>
      <w:tr>
        <w:trPr>
          <w:trHeight w:val="218"/>
        </w:trPr>
        <w:tc>
          <w:tcPr>
            <w:tcW w:w="1940" w:type="dxa"/>
            <w:vAlign w:val="bottom"/>
            <w:tcBorders>
              <w:top w:val="single" w:sz="8" w:color="auto"/>
              <w:lef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Valuation</w:t>
            </w:r>
          </w:p>
        </w:tc>
        <w:tc>
          <w:tcPr>
            <w:tcW w:w="198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Range of Inputs</w:t>
            </w:r>
          </w:p>
        </w:tc>
        <w:tc>
          <w:tcPr>
            <w:tcW w:w="0" w:type="dxa"/>
            <w:vAlign w:val="bottom"/>
          </w:tcPr>
          <w:p>
            <w:pPr>
              <w:spacing w:after="0"/>
              <w:rPr>
                <w:sz w:val="1"/>
                <w:szCs w:val="1"/>
                <w:color w:val="auto"/>
              </w:rPr>
            </w:pPr>
          </w:p>
        </w:tc>
      </w:tr>
      <w:tr>
        <w:trPr>
          <w:trHeight w:val="195"/>
        </w:trPr>
        <w:tc>
          <w:tcPr>
            <w:tcW w:w="2120" w:type="dxa"/>
            <w:vAlign w:val="bottom"/>
            <w:tcBorders>
              <w:left w:val="single" w:sz="8" w:color="auto"/>
              <w:bottom w:val="single" w:sz="8" w:color="auto"/>
              <w:right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20" w:type="dxa"/>
            <w:vAlign w:val="bottom"/>
            <w:tcBorders>
              <w:bottom w:val="single" w:sz="8" w:color="auto"/>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7"/>
        </w:trPr>
        <w:tc>
          <w:tcPr>
            <w:tcW w:w="1940" w:type="dxa"/>
            <w:vAlign w:val="bottom"/>
            <w:tcBorders>
              <w:left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8,661,114</w:t>
            </w:r>
          </w:p>
        </w:tc>
        <w:tc>
          <w:tcPr>
            <w:tcW w:w="1560" w:type="dxa"/>
            <w:vAlign w:val="bottom"/>
            <w:tcBorders>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Enterprise Value</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Average EBITDA</w:t>
            </w:r>
          </w:p>
        </w:tc>
        <w:tc>
          <w:tcPr>
            <w:tcW w:w="1620" w:type="dxa"/>
            <w:vAlign w:val="bottom"/>
            <w:tcBorders>
              <w:bottom w:val="single" w:sz="8" w:color="auto"/>
              <w:right w:val="single" w:sz="8" w:color="auto"/>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5.0x – 8.0x (5.2x)</w:t>
            </w:r>
          </w:p>
        </w:tc>
        <w:tc>
          <w:tcPr>
            <w:tcW w:w="0" w:type="dxa"/>
            <w:vAlign w:val="bottom"/>
          </w:tcPr>
          <w:p>
            <w:pPr>
              <w:spacing w:after="0"/>
              <w:rPr>
                <w:sz w:val="1"/>
                <w:szCs w:val="1"/>
                <w:color w:val="auto"/>
              </w:rPr>
            </w:pPr>
          </w:p>
        </w:tc>
      </w:tr>
      <w:tr>
        <w:trPr>
          <w:trHeight w:val="84"/>
        </w:trPr>
        <w:tc>
          <w:tcPr>
            <w:tcW w:w="2120" w:type="dxa"/>
            <w:vAlign w:val="bottom"/>
            <w:tcBorders>
              <w:left w:val="single" w:sz="8" w:color="auto"/>
              <w:right w:val="single" w:sz="8" w:color="auto"/>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Debt Securities</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tcBorders>
              <w:right w:val="single" w:sz="8" w:color="auto"/>
            </w:tcBorders>
            <w:shd w:val="clear" w:color="auto" w:fill="CCEEFF"/>
          </w:tcPr>
          <w:p>
            <w:pPr>
              <w:spacing w:after="0"/>
              <w:rPr>
                <w:sz w:val="7"/>
                <w:szCs w:val="7"/>
                <w:color w:val="auto"/>
              </w:rPr>
            </w:pPr>
          </w:p>
        </w:tc>
        <w:tc>
          <w:tcPr>
            <w:tcW w:w="1560" w:type="dxa"/>
            <w:vAlign w:val="bottom"/>
            <w:tcBorders>
              <w:right w:val="single" w:sz="8" w:color="auto"/>
            </w:tcBorders>
            <w:vMerge w:val="continue"/>
            <w:shd w:val="clear" w:color="auto" w:fill="CCEEFF"/>
          </w:tcPr>
          <w:p>
            <w:pPr>
              <w:spacing w:after="0"/>
              <w:rPr>
                <w:sz w:val="7"/>
                <w:szCs w:val="7"/>
                <w:color w:val="auto"/>
              </w:rPr>
            </w:pPr>
          </w:p>
        </w:tc>
        <w:tc>
          <w:tcPr>
            <w:tcW w:w="1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Multiple/WACC</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15.8%</w:t>
            </w:r>
          </w:p>
        </w:tc>
        <w:tc>
          <w:tcPr>
            <w:tcW w:w="10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120" w:type="dxa"/>
            <w:vAlign w:val="bottom"/>
            <w:tcBorders>
              <w:left w:val="single" w:sz="8" w:color="auto"/>
              <w:bottom w:val="single" w:sz="8" w:color="CCEEFF"/>
              <w:right w:val="single" w:sz="8" w:color="auto"/>
            </w:tcBorders>
            <w:gridSpan w:val="2"/>
            <w:vMerge w:val="continue"/>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1560" w:type="dxa"/>
            <w:vAlign w:val="bottom"/>
            <w:tcBorders>
              <w:bottom w:val="single" w:sz="8" w:color="auto"/>
              <w:right w:val="single" w:sz="8" w:color="auto"/>
            </w:tcBorders>
            <w:shd w:val="clear" w:color="auto" w:fill="CCEEFF"/>
          </w:tcPr>
          <w:p>
            <w:pPr>
              <w:spacing w:after="0"/>
              <w:rPr>
                <w:sz w:val="9"/>
                <w:szCs w:val="9"/>
                <w:color w:val="auto"/>
              </w:rPr>
            </w:pPr>
          </w:p>
        </w:tc>
        <w:tc>
          <w:tcPr>
            <w:tcW w:w="198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52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tcBorders>
            <w:shd w:val="clear" w:color="auto" w:fill="CCEEFF"/>
          </w:tcPr>
          <w:p>
            <w:pPr>
              <w:spacing w:after="0"/>
              <w:rPr>
                <w:sz w:val="17"/>
                <w:szCs w:val="17"/>
                <w:color w:val="auto"/>
              </w:rPr>
            </w:pP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98,080,557</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Income Approach</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Implied Discount Rate</w:t>
            </w:r>
          </w:p>
        </w:tc>
        <w:tc>
          <w:tcPr>
            <w:tcW w:w="1620" w:type="dxa"/>
            <w:vAlign w:val="bottom"/>
            <w:tcBorders>
              <w:bottom w:val="single" w:sz="8" w:color="auto"/>
              <w:right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6.3% – 26.8% (11.8%)</w:t>
            </w:r>
          </w:p>
        </w:tc>
        <w:tc>
          <w:tcPr>
            <w:tcW w:w="0" w:type="dxa"/>
            <w:vAlign w:val="bottom"/>
          </w:tcPr>
          <w:p>
            <w:pPr>
              <w:spacing w:after="0"/>
              <w:rPr>
                <w:sz w:val="1"/>
                <w:szCs w:val="1"/>
                <w:color w:val="auto"/>
              </w:rPr>
            </w:pPr>
          </w:p>
        </w:tc>
      </w:tr>
      <w:tr>
        <w:trPr>
          <w:trHeight w:val="194"/>
        </w:trPr>
        <w:tc>
          <w:tcPr>
            <w:tcW w:w="212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Equity Securities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1,979,020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Enterprise Value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Average EBITDA Multiple</w:t>
            </w:r>
          </w:p>
        </w:tc>
        <w:tc>
          <w:tcPr>
            <w:tcW w:w="162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4.5x – 11.0x (9.5x)</w:t>
            </w:r>
          </w:p>
        </w:tc>
        <w:tc>
          <w:tcPr>
            <w:tcW w:w="0" w:type="dxa"/>
            <w:vAlign w:val="bottom"/>
          </w:tcPr>
          <w:p>
            <w:pPr>
              <w:spacing w:after="0"/>
              <w:rPr>
                <w:sz w:val="1"/>
                <w:szCs w:val="1"/>
                <w:color w:val="auto"/>
              </w:rPr>
            </w:pPr>
          </w:p>
        </w:tc>
      </w:tr>
      <w:tr>
        <w:trPr>
          <w:trHeight w:val="84"/>
        </w:trPr>
        <w:tc>
          <w:tcPr>
            <w:tcW w:w="2120" w:type="dxa"/>
            <w:vAlign w:val="bottom"/>
            <w:tcBorders>
              <w:left w:val="single" w:sz="8" w:color="auto"/>
              <w:right w:val="single" w:sz="8" w:color="auto"/>
            </w:tcBorders>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59,000</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Options Value</w:t>
            </w:r>
          </w:p>
        </w:tc>
        <w:tc>
          <w:tcPr>
            <w:tcW w:w="198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15"/>
                <w:szCs w:val="15"/>
                <w:color w:val="auto"/>
                <w:w w:val="98"/>
              </w:rPr>
              <w:t>Qualitative Inputs</w:t>
            </w:r>
            <w:r>
              <w:rPr>
                <w:rFonts w:ascii="Times New Roman" w:cs="Times New Roman" w:eastAsia="Times New Roman" w:hAnsi="Times New Roman"/>
                <w:sz w:val="23"/>
                <w:szCs w:val="23"/>
                <w:color w:val="auto"/>
                <w:w w:val="98"/>
                <w:vertAlign w:val="superscript"/>
              </w:rPr>
              <w:t>(1)</w:t>
            </w:r>
          </w:p>
        </w:tc>
        <w:tc>
          <w:tcPr>
            <w:tcW w:w="15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40" w:type="dxa"/>
            <w:vAlign w:val="bottom"/>
            <w:tcBorders>
              <w:left w:val="single" w:sz="8" w:color="auto"/>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vMerge w:val="continue"/>
          </w:tcPr>
          <w:p>
            <w:pPr>
              <w:spacing w:after="0"/>
              <w:rPr>
                <w:sz w:val="11"/>
                <w:szCs w:val="11"/>
                <w:color w:val="auto"/>
              </w:rPr>
            </w:pPr>
          </w:p>
        </w:tc>
        <w:tc>
          <w:tcPr>
            <w:tcW w:w="1560" w:type="dxa"/>
            <w:vAlign w:val="bottom"/>
            <w:tcBorders>
              <w:bottom w:val="single" w:sz="8" w:color="auto"/>
              <w:right w:val="single" w:sz="8" w:color="auto"/>
            </w:tcBorders>
            <w:vMerge w:val="continue"/>
          </w:tcPr>
          <w:p>
            <w:pPr>
              <w:spacing w:after="0"/>
              <w:rPr>
                <w:sz w:val="11"/>
                <w:szCs w:val="11"/>
                <w:color w:val="auto"/>
              </w:rPr>
            </w:pPr>
          </w:p>
        </w:tc>
        <w:tc>
          <w:tcPr>
            <w:tcW w:w="1980" w:type="dxa"/>
            <w:vAlign w:val="bottom"/>
            <w:tcBorders>
              <w:bottom w:val="single" w:sz="8" w:color="auto"/>
              <w:right w:val="single" w:sz="8" w:color="auto"/>
            </w:tcBorders>
            <w:vMerge w:val="continue"/>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1560" w:type="dxa"/>
            <w:vAlign w:val="bottom"/>
            <w:tcBorders>
              <w:bottom w:val="single" w:sz="8" w:color="CCEEFF"/>
              <w:right w:val="single" w:sz="8" w:color="auto"/>
            </w:tcBorders>
            <w:shd w:val="clear" w:color="auto" w:fill="CCEEFF"/>
          </w:tcPr>
          <w:p>
            <w:pPr>
              <w:spacing w:after="0"/>
              <w:rPr>
                <w:sz w:val="16"/>
                <w:szCs w:val="16"/>
                <w:color w:val="auto"/>
              </w:rPr>
            </w:pP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1620" w:type="dxa"/>
            <w:vAlign w:val="bottom"/>
            <w:tcBorders>
              <w:bottom w:val="single" w:sz="8" w:color="auto"/>
              <w:right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13.5% – 14.0% (13.9%)</w:t>
            </w: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1560" w:type="dxa"/>
            <w:vAlign w:val="bottom"/>
            <w:tcBorders>
              <w:bottom w:val="single" w:sz="8" w:color="CCEEFF"/>
              <w:right w:val="single" w:sz="8" w:color="auto"/>
            </w:tcBorders>
            <w:shd w:val="clear" w:color="auto" w:fill="CCEEFF"/>
          </w:tcPr>
          <w:p>
            <w:pPr>
              <w:spacing w:after="0"/>
              <w:rPr>
                <w:sz w:val="16"/>
                <w:szCs w:val="16"/>
                <w:color w:val="auto"/>
              </w:rPr>
            </w:pP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Probability of Default</w:t>
            </w:r>
          </w:p>
        </w:tc>
        <w:tc>
          <w:tcPr>
            <w:tcW w:w="1620" w:type="dxa"/>
            <w:vAlign w:val="bottom"/>
            <w:tcBorders>
              <w:bottom w:val="single" w:sz="8" w:color="auto"/>
              <w:right w:val="single" w:sz="8" w:color="auto"/>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0.75% – 2% (1.4%)</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35,455,720</w:t>
            </w:r>
          </w:p>
        </w:tc>
        <w:tc>
          <w:tcPr>
            <w:tcW w:w="1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Discounted Cash Flow</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Loss Severity</w:t>
            </w:r>
          </w:p>
        </w:tc>
        <w:tc>
          <w:tcPr>
            <w:tcW w:w="1620" w:type="dxa"/>
            <w:vAlign w:val="bottom"/>
            <w:tcBorders>
              <w:bottom w:val="single" w:sz="8" w:color="auto"/>
              <w:right w:val="single" w:sz="8" w:color="auto"/>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20% – 36% (28.3%)</w:t>
            </w:r>
          </w:p>
        </w:tc>
        <w:tc>
          <w:tcPr>
            <w:tcW w:w="0" w:type="dxa"/>
            <w:vAlign w:val="bottom"/>
          </w:tcPr>
          <w:p>
            <w:pPr>
              <w:spacing w:after="0"/>
              <w:rPr>
                <w:sz w:val="1"/>
                <w:szCs w:val="1"/>
                <w:color w:val="auto"/>
              </w:rPr>
            </w:pPr>
          </w:p>
        </w:tc>
      </w:tr>
      <w:tr>
        <w:trPr>
          <w:trHeight w:val="198"/>
        </w:trPr>
        <w:tc>
          <w:tcPr>
            <w:tcW w:w="2120" w:type="dxa"/>
            <w:vAlign w:val="bottom"/>
            <w:tcBorders>
              <w:left w:val="single" w:sz="8" w:color="auto"/>
              <w:bottom w:val="single" w:sz="8" w:color="CCEEFF"/>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CLO Fund Securities</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1560" w:type="dxa"/>
            <w:vAlign w:val="bottom"/>
            <w:tcBorders>
              <w:bottom w:val="single" w:sz="8" w:color="CCEEFF"/>
              <w:right w:val="single" w:sz="8" w:color="auto"/>
            </w:tcBorders>
            <w:shd w:val="clear" w:color="auto" w:fill="CCEEFF"/>
          </w:tcPr>
          <w:p>
            <w:pPr>
              <w:spacing w:after="0"/>
              <w:rPr>
                <w:sz w:val="17"/>
                <w:szCs w:val="17"/>
                <w:color w:val="auto"/>
              </w:rPr>
            </w:pP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Recovery Rate</w:t>
            </w:r>
          </w:p>
        </w:tc>
        <w:tc>
          <w:tcPr>
            <w:tcW w:w="1620" w:type="dxa"/>
            <w:vAlign w:val="bottom"/>
            <w:tcBorders>
              <w:bottom w:val="single" w:sz="8" w:color="auto"/>
              <w:right w:val="single" w:sz="8" w:color="auto"/>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63.5% – 80% (71.7%)</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1560" w:type="dxa"/>
            <w:vAlign w:val="bottom"/>
            <w:tcBorders>
              <w:bottom w:val="single" w:sz="8" w:color="auto"/>
              <w:right w:val="single" w:sz="8" w:color="auto"/>
            </w:tcBorders>
            <w:shd w:val="clear" w:color="auto" w:fill="CCEEFF"/>
          </w:tcPr>
          <w:p>
            <w:pPr>
              <w:spacing w:after="0"/>
              <w:rPr>
                <w:sz w:val="17"/>
                <w:szCs w:val="17"/>
                <w:color w:val="auto"/>
              </w:rPr>
            </w:pP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Prepayment Rate</w:t>
            </w:r>
          </w:p>
        </w:tc>
        <w:tc>
          <w:tcPr>
            <w:tcW w:w="1620" w:type="dxa"/>
            <w:vAlign w:val="bottom"/>
            <w:tcBorders>
              <w:bottom w:val="single" w:sz="8" w:color="auto"/>
              <w:right w:val="single" w:sz="8" w:color="auto"/>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10% – 20% (15%)</w:t>
            </w:r>
          </w:p>
        </w:tc>
        <w:tc>
          <w:tcPr>
            <w:tcW w:w="0" w:type="dxa"/>
            <w:vAlign w:val="bottom"/>
          </w:tcPr>
          <w:p>
            <w:pPr>
              <w:spacing w:after="0"/>
              <w:rPr>
                <w:sz w:val="1"/>
                <w:szCs w:val="1"/>
                <w:color w:val="auto"/>
              </w:rPr>
            </w:pPr>
          </w:p>
        </w:tc>
      </w:tr>
      <w:tr>
        <w:trPr>
          <w:trHeight w:val="212"/>
        </w:trPr>
        <w:tc>
          <w:tcPr>
            <w:tcW w:w="1940" w:type="dxa"/>
            <w:vAlign w:val="bottom"/>
            <w:tcBorders>
              <w:left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369,280</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Liquidation Value</w:t>
            </w:r>
          </w:p>
        </w:tc>
        <w:tc>
          <w:tcPr>
            <w:tcW w:w="1980" w:type="dxa"/>
            <w:vAlign w:val="bottom"/>
            <w:tcBorders>
              <w:bottom w:val="single" w:sz="8" w:color="auto"/>
              <w:right w:val="single" w:sz="8" w:color="auto"/>
            </w:tcBorders>
            <w:shd w:val="clear" w:color="auto" w:fill="CCEEFF"/>
          </w:tcPr>
          <w:p>
            <w:pPr>
              <w:jc w:val="center"/>
              <w:spacing w:after="0" w:line="212" w:lineRule="exact"/>
              <w:rPr>
                <w:sz w:val="20"/>
                <w:szCs w:val="20"/>
                <w:color w:val="auto"/>
              </w:rPr>
            </w:pPr>
            <w:r>
              <w:rPr>
                <w:rFonts w:ascii="Times New Roman" w:cs="Times New Roman" w:eastAsia="Times New Roman" w:hAnsi="Times New Roman"/>
                <w:sz w:val="15"/>
                <w:szCs w:val="15"/>
                <w:color w:val="auto"/>
                <w:w w:val="98"/>
              </w:rPr>
              <w:t>Qualitative Inputs</w:t>
            </w:r>
            <w:r>
              <w:rPr>
                <w:rFonts w:ascii="Times New Roman" w:cs="Times New Roman" w:eastAsia="Times New Roman" w:hAnsi="Times New Roman"/>
                <w:sz w:val="23"/>
                <w:szCs w:val="23"/>
                <w:color w:val="auto"/>
                <w:w w:val="98"/>
                <w:vertAlign w:val="superscript"/>
              </w:rPr>
              <w:t>(2)</w:t>
            </w: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tcBorders>
            <w:shd w:val="clear" w:color="auto" w:fill="CCEEFF"/>
          </w:tcPr>
          <w:p>
            <w:pPr>
              <w:spacing w:after="0"/>
              <w:rPr>
                <w:sz w:val="16"/>
                <w:szCs w:val="16"/>
                <w:color w:val="auto"/>
              </w:rPr>
            </w:pPr>
          </w:p>
        </w:tc>
        <w:tc>
          <w:tcPr>
            <w:tcW w:w="180" w:type="dxa"/>
            <w:vAlign w:val="bottom"/>
            <w:tcBorders>
              <w:bottom w:val="single" w:sz="8" w:color="auto"/>
              <w:right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8,500,000</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Market Approach</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Third Party Quote</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85.0%</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2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Asset Manager Affiliate</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Discounted Cash Flow</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1620" w:type="dxa"/>
            <w:vAlign w:val="bottom"/>
            <w:tcBorders>
              <w:bottom w:val="single" w:sz="8" w:color="auto"/>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4.0% – 10.0% (7.77%)</w:t>
            </w:r>
          </w:p>
        </w:tc>
        <w:tc>
          <w:tcPr>
            <w:tcW w:w="0" w:type="dxa"/>
            <w:vAlign w:val="bottom"/>
          </w:tcPr>
          <w:p>
            <w:pPr>
              <w:spacing w:after="0"/>
              <w:rPr>
                <w:sz w:val="1"/>
                <w:szCs w:val="1"/>
                <w:color w:val="auto"/>
              </w:rPr>
            </w:pPr>
          </w:p>
        </w:tc>
      </w:tr>
      <w:tr>
        <w:trPr>
          <w:trHeight w:val="196"/>
        </w:trPr>
        <w:tc>
          <w:tcPr>
            <w:tcW w:w="212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Joint Venture</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18,390,440</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Enterprise Value</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Underlying NAV of the CLO</w:t>
            </w:r>
          </w:p>
        </w:tc>
        <w:tc>
          <w:tcPr>
            <w:tcW w:w="15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2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 Level III Investments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174,965,131</w:t>
            </w:r>
          </w:p>
        </w:tc>
        <w:tc>
          <w:tcPr>
            <w:tcW w:w="156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40" w:type="dxa"/>
            <w:vAlign w:val="bottom"/>
            <w:tcBorders>
              <w:top w:val="single" w:sz="8" w:color="CCEEFF"/>
              <w:left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right w:val="single" w:sz="8" w:color="auto"/>
            </w:tcBorders>
            <w:shd w:val="clear" w:color="auto" w:fill="CCEEFF"/>
          </w:tcPr>
          <w:p>
            <w:pPr>
              <w:spacing w:after="0"/>
              <w:rPr>
                <w:sz w:val="13"/>
                <w:szCs w:val="13"/>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9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52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20" w:right="939" w:hanging="352"/>
        <w:spacing w:after="0" w:line="26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line="153"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qualitative inputs used in the fair value measurements include the value of the pledged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2017, the Company’s Level III portfolio investments had the following valuation techniques and significant inputs:</w:t>
      </w:r>
    </w:p>
    <w:p>
      <w:pPr>
        <w:spacing w:after="0" w:line="93" w:lineRule="exact"/>
        <w:rPr>
          <w:sz w:val="20"/>
          <w:szCs w:val="20"/>
          <w:color w:val="auto"/>
        </w:rPr>
      </w:pPr>
    </w:p>
    <w:tbl>
      <w:tblPr>
        <w:tblLayout w:type="fixed"/>
        <w:tblInd w:w="1270" w:type="dxa"/>
        <w:tblCellMar>
          <w:top w:w="0" w:type="dxa"/>
          <w:left w:w="0" w:type="dxa"/>
          <w:bottom w:w="0" w:type="dxa"/>
          <w:right w:w="0" w:type="dxa"/>
        </w:tblCellMar>
      </w:tblPr>
      <w:tr>
        <w:trPr>
          <w:trHeight w:val="218"/>
        </w:trPr>
        <w:tc>
          <w:tcPr>
            <w:tcW w:w="1940" w:type="dxa"/>
            <w:vAlign w:val="bottom"/>
            <w:tcBorders>
              <w:top w:val="single" w:sz="8" w:color="auto"/>
              <w:left w:val="single" w:sz="8" w:color="auto"/>
            </w:tcBorders>
          </w:tcPr>
          <w:p>
            <w:pPr>
              <w:spacing w:after="0"/>
              <w:rPr>
                <w:sz w:val="18"/>
                <w:szCs w:val="18"/>
                <w:color w:val="auto"/>
              </w:rPr>
            </w:pPr>
          </w:p>
        </w:tc>
        <w:tc>
          <w:tcPr>
            <w:tcW w:w="60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Valuation</w:t>
            </w:r>
          </w:p>
        </w:tc>
        <w:tc>
          <w:tcPr>
            <w:tcW w:w="156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gridSpan w:val="2"/>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Range of Inputs</w:t>
            </w:r>
          </w:p>
        </w:tc>
        <w:tc>
          <w:tcPr>
            <w:tcW w:w="0" w:type="dxa"/>
            <w:vAlign w:val="bottom"/>
          </w:tcPr>
          <w:p>
            <w:pPr>
              <w:spacing w:after="0"/>
              <w:rPr>
                <w:sz w:val="1"/>
                <w:szCs w:val="1"/>
                <w:color w:val="auto"/>
              </w:rPr>
            </w:pPr>
          </w:p>
        </w:tc>
      </w:tr>
      <w:tr>
        <w:trPr>
          <w:trHeight w:val="195"/>
        </w:trPr>
        <w:tc>
          <w:tcPr>
            <w:tcW w:w="2540" w:type="dxa"/>
            <w:vAlign w:val="bottom"/>
            <w:tcBorders>
              <w:left w:val="single" w:sz="8" w:color="auto"/>
              <w:bottom w:val="single" w:sz="8" w:color="auto"/>
              <w:right w:val="single" w:sz="8" w:color="auto"/>
            </w:tcBorders>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20" w:type="dxa"/>
            <w:vAlign w:val="bottom"/>
            <w:tcBorders>
              <w:bottom w:val="single" w:sz="8" w:color="auto"/>
              <w:right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7"/>
        </w:trPr>
        <w:tc>
          <w:tcPr>
            <w:tcW w:w="1940" w:type="dxa"/>
            <w:vAlign w:val="bottom"/>
            <w:tcBorders>
              <w:left w:val="single" w:sz="8" w:color="auto"/>
            </w:tcBorders>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14,059,524</w:t>
            </w: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Enterprise Value</w:t>
            </w:r>
          </w:p>
        </w:tc>
        <w:tc>
          <w:tcPr>
            <w:tcW w:w="1560" w:type="dxa"/>
            <w:vAlign w:val="bottom"/>
            <w:tcBorders>
              <w:right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5"/>
                <w:szCs w:val="15"/>
                <w:color w:val="auto"/>
              </w:rPr>
              <w:t>Average EBITDA</w:t>
            </w:r>
          </w:p>
        </w:tc>
        <w:tc>
          <w:tcPr>
            <w:tcW w:w="1620" w:type="dxa"/>
            <w:vAlign w:val="bottom"/>
            <w:tcBorders>
              <w:right w:val="single" w:sz="8" w:color="auto"/>
            </w:tcBorders>
            <w:gridSpan w:val="2"/>
            <w:shd w:val="clear" w:color="auto" w:fill="CCEEFF"/>
          </w:tcPr>
          <w:p>
            <w:pPr>
              <w:jc w:val="center"/>
              <w:spacing w:after="0" w:line="147" w:lineRule="exact"/>
              <w:rPr>
                <w:sz w:val="20"/>
                <w:szCs w:val="20"/>
                <w:color w:val="auto"/>
              </w:rPr>
            </w:pPr>
            <w:r>
              <w:rPr>
                <w:rFonts w:ascii="Times New Roman" w:cs="Times New Roman" w:eastAsia="Times New Roman" w:hAnsi="Times New Roman"/>
                <w:sz w:val="15"/>
                <w:szCs w:val="15"/>
                <w:color w:val="auto"/>
              </w:rPr>
              <w:t>5.1x – 6.1x (5.2x)</w:t>
            </w:r>
          </w:p>
        </w:tc>
        <w:tc>
          <w:tcPr>
            <w:tcW w:w="0" w:type="dxa"/>
            <w:vAlign w:val="bottom"/>
          </w:tcPr>
          <w:p>
            <w:pPr>
              <w:spacing w:after="0"/>
              <w:rPr>
                <w:sz w:val="1"/>
                <w:szCs w:val="1"/>
                <w:color w:val="auto"/>
              </w:rPr>
            </w:pPr>
          </w:p>
        </w:tc>
      </w:tr>
      <w:tr>
        <w:trPr>
          <w:trHeight w:val="114"/>
        </w:trPr>
        <w:tc>
          <w:tcPr>
            <w:tcW w:w="2540" w:type="dxa"/>
            <w:vAlign w:val="bottom"/>
            <w:tcBorders>
              <w:left w:val="single" w:sz="8" w:color="auto"/>
              <w:right w:val="single" w:sz="8" w:color="auto"/>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Debt Securities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tcBorders>
              <w:right w:val="single" w:sz="8" w:color="auto"/>
            </w:tcBorders>
            <w:shd w:val="clear" w:color="auto" w:fill="CCEEFF"/>
          </w:tcPr>
          <w:p>
            <w:pPr>
              <w:spacing w:after="0"/>
              <w:rPr>
                <w:sz w:val="9"/>
                <w:szCs w:val="9"/>
                <w:color w:val="auto"/>
              </w:rPr>
            </w:pPr>
          </w:p>
        </w:tc>
        <w:tc>
          <w:tcPr>
            <w:tcW w:w="156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Multiple/WACC</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160" w:type="dxa"/>
            <w:vAlign w:val="bottom"/>
            <w:tcBorders>
              <w:right w:val="single" w:sz="8" w:color="auto"/>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9"/>
              </w:rPr>
              <w:t>– 18.5% (17.4%)</w:t>
            </w:r>
          </w:p>
        </w:tc>
        <w:tc>
          <w:tcPr>
            <w:tcW w:w="0" w:type="dxa"/>
            <w:vAlign w:val="bottom"/>
          </w:tcPr>
          <w:p>
            <w:pPr>
              <w:spacing w:after="0"/>
              <w:rPr>
                <w:sz w:val="1"/>
                <w:szCs w:val="1"/>
                <w:color w:val="auto"/>
              </w:rPr>
            </w:pPr>
          </w:p>
        </w:tc>
      </w:tr>
      <w:tr>
        <w:trPr>
          <w:trHeight w:val="89"/>
        </w:trPr>
        <w:tc>
          <w:tcPr>
            <w:tcW w:w="2540" w:type="dxa"/>
            <w:vAlign w:val="bottom"/>
            <w:tcBorders>
              <w:left w:val="single" w:sz="8" w:color="auto"/>
              <w:bottom w:val="single" w:sz="8" w:color="CCEEFF"/>
              <w:right w:val="single" w:sz="8" w:color="auto"/>
            </w:tcBorders>
            <w:gridSpan w:val="2"/>
            <w:vMerge w:val="continue"/>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right w:val="single" w:sz="8" w:color="auto"/>
            </w:tcBorders>
            <w:shd w:val="clear" w:color="auto" w:fill="CCEEFF"/>
          </w:tcPr>
          <w:p>
            <w:pPr>
              <w:spacing w:after="0"/>
              <w:rPr>
                <w:sz w:val="7"/>
                <w:szCs w:val="7"/>
                <w:color w:val="auto"/>
              </w:rPr>
            </w:pPr>
          </w:p>
        </w:tc>
        <w:tc>
          <w:tcPr>
            <w:tcW w:w="1560" w:type="dxa"/>
            <w:vAlign w:val="bottom"/>
            <w:tcBorders>
              <w:bottom w:val="single" w:sz="8" w:color="auto"/>
              <w:right w:val="single" w:sz="8" w:color="auto"/>
            </w:tcBorders>
            <w:shd w:val="clear" w:color="auto" w:fill="CCEEFF"/>
          </w:tcPr>
          <w:p>
            <w:pPr>
              <w:spacing w:after="0"/>
              <w:rPr>
                <w:sz w:val="7"/>
                <w:szCs w:val="7"/>
                <w:color w:val="auto"/>
              </w:rPr>
            </w:pPr>
          </w:p>
        </w:tc>
        <w:tc>
          <w:tcPr>
            <w:tcW w:w="156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460" w:type="dxa"/>
            <w:vAlign w:val="bottom"/>
            <w:tcBorders>
              <w:bottom w:val="single" w:sz="8" w:color="auto"/>
            </w:tcBorders>
            <w:vMerge w:val="continue"/>
            <w:shd w:val="clear" w:color="auto" w:fill="CCEEFF"/>
          </w:tcPr>
          <w:p>
            <w:pPr>
              <w:spacing w:after="0"/>
              <w:rPr>
                <w:sz w:val="7"/>
                <w:szCs w:val="7"/>
                <w:color w:val="auto"/>
              </w:rPr>
            </w:pPr>
          </w:p>
        </w:tc>
        <w:tc>
          <w:tcPr>
            <w:tcW w:w="116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tcBorders>
            <w:shd w:val="clear" w:color="auto" w:fill="CCEEFF"/>
          </w:tcPr>
          <w:p>
            <w:pPr>
              <w:spacing w:after="0"/>
              <w:rPr>
                <w:sz w:val="16"/>
                <w:szCs w:val="16"/>
                <w:color w:val="auto"/>
              </w:rPr>
            </w:pPr>
          </w:p>
        </w:tc>
        <w:tc>
          <w:tcPr>
            <w:tcW w:w="600" w:type="dxa"/>
            <w:vAlign w:val="bottom"/>
            <w:tcBorders>
              <w:bottom w:val="single" w:sz="8" w:color="auto"/>
              <w:right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55,825,931</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Income Approach</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Implied Discount Rate</w:t>
            </w:r>
          </w:p>
        </w:tc>
        <w:tc>
          <w:tcPr>
            <w:tcW w:w="1620" w:type="dxa"/>
            <w:vAlign w:val="bottom"/>
            <w:tcBorders>
              <w:bottom w:val="single" w:sz="8" w:color="auto"/>
              <w:right w:val="single" w:sz="8" w:color="auto"/>
            </w:tcBorders>
            <w:gridSpan w:val="2"/>
            <w:shd w:val="clear" w:color="auto" w:fill="CCEEFF"/>
          </w:tcPr>
          <w:p>
            <w:pPr>
              <w:jc w:val="center"/>
              <w:ind w:right="3"/>
              <w:spacing w:after="0"/>
              <w:rPr>
                <w:sz w:val="20"/>
                <w:szCs w:val="20"/>
                <w:color w:val="auto"/>
              </w:rPr>
            </w:pPr>
            <w:r>
              <w:rPr>
                <w:rFonts w:ascii="Times New Roman" w:cs="Times New Roman" w:eastAsia="Times New Roman" w:hAnsi="Times New Roman"/>
                <w:sz w:val="15"/>
                <w:szCs w:val="15"/>
                <w:color w:val="auto"/>
              </w:rPr>
              <w:t>6.4% – 23.5% (12.0%)</w:t>
            </w:r>
          </w:p>
        </w:tc>
        <w:tc>
          <w:tcPr>
            <w:tcW w:w="0" w:type="dxa"/>
            <w:vAlign w:val="bottom"/>
          </w:tcPr>
          <w:p>
            <w:pPr>
              <w:spacing w:after="0"/>
              <w:rPr>
                <w:sz w:val="1"/>
                <w:szCs w:val="1"/>
                <w:color w:val="auto"/>
              </w:rPr>
            </w:pPr>
          </w:p>
        </w:tc>
      </w:tr>
      <w:tr>
        <w:trPr>
          <w:trHeight w:val="144"/>
        </w:trPr>
        <w:tc>
          <w:tcPr>
            <w:tcW w:w="1940" w:type="dxa"/>
            <w:vAlign w:val="bottom"/>
            <w:tcBorders>
              <w:lef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4" w:lineRule="exact"/>
              <w:rPr>
                <w:sz w:val="20"/>
                <w:szCs w:val="20"/>
                <w:color w:val="auto"/>
              </w:rPr>
            </w:pPr>
            <w:r>
              <w:rPr>
                <w:rFonts w:ascii="Times New Roman" w:cs="Times New Roman" w:eastAsia="Times New Roman" w:hAnsi="Times New Roman"/>
                <w:sz w:val="15"/>
                <w:szCs w:val="15"/>
                <w:color w:val="auto"/>
              </w:rPr>
              <w:t>4,405,684</w:t>
            </w:r>
          </w:p>
        </w:tc>
        <w:tc>
          <w:tcPr>
            <w:tcW w:w="15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5"/>
                <w:szCs w:val="15"/>
                <w:color w:val="auto"/>
              </w:rPr>
              <w:t>Enterprise Value</w:t>
            </w:r>
          </w:p>
        </w:tc>
        <w:tc>
          <w:tcPr>
            <w:tcW w:w="15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5"/>
                <w:szCs w:val="15"/>
                <w:color w:val="auto"/>
              </w:rPr>
              <w:t>Average EBITDA</w:t>
            </w: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color w:val="auto"/>
              </w:rPr>
              <w:t>4.5x</w:t>
            </w:r>
          </w:p>
        </w:tc>
        <w:tc>
          <w:tcPr>
            <w:tcW w:w="1160" w:type="dxa"/>
            <w:vAlign w:val="bottom"/>
            <w:tcBorders>
              <w:right w:val="single" w:sz="8" w:color="auto"/>
            </w:tcBorders>
          </w:tcPr>
          <w:p>
            <w:pPr>
              <w:jc w:val="right"/>
              <w:ind w:right="203"/>
              <w:spacing w:after="0" w:line="144" w:lineRule="exact"/>
              <w:rPr>
                <w:sz w:val="20"/>
                <w:szCs w:val="20"/>
                <w:color w:val="auto"/>
              </w:rPr>
            </w:pPr>
            <w:r>
              <w:rPr>
                <w:rFonts w:ascii="Times New Roman" w:cs="Times New Roman" w:eastAsia="Times New Roman" w:hAnsi="Times New Roman"/>
                <w:sz w:val="15"/>
                <w:szCs w:val="15"/>
                <w:color w:val="auto"/>
              </w:rPr>
              <w:t>– 15.2x (9.8x)</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Equity Securities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Multiple/WACC</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16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99"/>
              </w:rPr>
              <w:t>– 15.1% (12.2%)</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Options Value</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w w:val="98"/>
              </w:rPr>
              <w:t>Qualitative Inputs</w:t>
            </w:r>
            <w:r>
              <w:rPr>
                <w:rFonts w:ascii="Times New Roman" w:cs="Times New Roman" w:eastAsia="Times New Roman" w:hAnsi="Times New Roman"/>
                <w:sz w:val="23"/>
                <w:szCs w:val="23"/>
                <w:color w:val="auto"/>
                <w:w w:val="98"/>
                <w:vertAlign w:val="superscript"/>
              </w:rPr>
              <w:t>(1)</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1560" w:type="dxa"/>
            <w:vAlign w:val="bottom"/>
            <w:tcBorders>
              <w:bottom w:val="single" w:sz="8" w:color="CCEEFF"/>
              <w:right w:val="single" w:sz="8" w:color="auto"/>
            </w:tcBorders>
            <w:shd w:val="clear" w:color="auto" w:fill="CCEEFF"/>
          </w:tcPr>
          <w:p>
            <w:pPr>
              <w:spacing w:after="0"/>
              <w:rPr>
                <w:sz w:val="16"/>
                <w:szCs w:val="16"/>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4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1560" w:type="dxa"/>
            <w:vAlign w:val="bottom"/>
            <w:tcBorders>
              <w:bottom w:val="single" w:sz="8" w:color="CCEEFF"/>
              <w:right w:val="single" w:sz="8" w:color="auto"/>
            </w:tcBorders>
            <w:shd w:val="clear" w:color="auto" w:fill="CCEEFF"/>
          </w:tcPr>
          <w:p>
            <w:pPr>
              <w:spacing w:after="0"/>
              <w:rPr>
                <w:sz w:val="16"/>
                <w:szCs w:val="16"/>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Probability of Default</w:t>
            </w:r>
          </w:p>
        </w:tc>
        <w:tc>
          <w:tcPr>
            <w:tcW w:w="4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jc w:val="center"/>
              <w:ind w:right="443"/>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18,922,030</w:t>
            </w:r>
          </w:p>
        </w:tc>
        <w:tc>
          <w:tcPr>
            <w:tcW w:w="1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Discounted Cash Flow</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Loss Severity</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25.9%</w:t>
            </w:r>
          </w:p>
        </w:tc>
        <w:tc>
          <w:tcPr>
            <w:tcW w:w="0" w:type="dxa"/>
            <w:vAlign w:val="bottom"/>
          </w:tcPr>
          <w:p>
            <w:pPr>
              <w:spacing w:after="0"/>
              <w:rPr>
                <w:sz w:val="1"/>
                <w:szCs w:val="1"/>
                <w:color w:val="auto"/>
              </w:rPr>
            </w:pPr>
          </w:p>
        </w:tc>
      </w:tr>
      <w:tr>
        <w:trPr>
          <w:trHeight w:val="198"/>
        </w:trPr>
        <w:tc>
          <w:tcPr>
            <w:tcW w:w="2540" w:type="dxa"/>
            <w:vAlign w:val="bottom"/>
            <w:tcBorders>
              <w:left w:val="single" w:sz="8" w:color="auto"/>
              <w:bottom w:val="single" w:sz="8" w:color="CCEEFF"/>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CLO Fund Securities</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1560" w:type="dxa"/>
            <w:vAlign w:val="bottom"/>
            <w:tcBorders>
              <w:bottom w:val="single" w:sz="8" w:color="CCEEFF"/>
              <w:right w:val="single" w:sz="8" w:color="auto"/>
            </w:tcBorders>
            <w:shd w:val="clear" w:color="auto" w:fill="CCEEFF"/>
          </w:tcPr>
          <w:p>
            <w:pPr>
              <w:spacing w:after="0"/>
              <w:rPr>
                <w:sz w:val="17"/>
                <w:szCs w:val="17"/>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Recovery Rate</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74.1%</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1560" w:type="dxa"/>
            <w:vAlign w:val="bottom"/>
            <w:tcBorders>
              <w:bottom w:val="single" w:sz="8" w:color="auto"/>
              <w:right w:val="single" w:sz="8" w:color="auto"/>
            </w:tcBorders>
            <w:shd w:val="clear" w:color="auto" w:fill="CCEEFF"/>
          </w:tcPr>
          <w:p>
            <w:pPr>
              <w:spacing w:after="0"/>
              <w:rPr>
                <w:sz w:val="17"/>
                <w:szCs w:val="17"/>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Prepayment Rate</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212"/>
        </w:trPr>
        <w:tc>
          <w:tcPr>
            <w:tcW w:w="1940" w:type="dxa"/>
            <w:vAlign w:val="bottom"/>
            <w:tcBorders>
              <w:left w:val="single" w:sz="8" w:color="auto"/>
              <w:bottom w:val="single" w:sz="8" w:color="CCEEFF"/>
            </w:tcBorders>
            <w:shd w:val="clear" w:color="auto" w:fill="CCEEFF"/>
          </w:tcPr>
          <w:p>
            <w:pPr>
              <w:spacing w:after="0"/>
              <w:rPr>
                <w:sz w:val="18"/>
                <w:szCs w:val="18"/>
                <w:color w:val="auto"/>
              </w:rPr>
            </w:pPr>
          </w:p>
        </w:tc>
        <w:tc>
          <w:tcPr>
            <w:tcW w:w="600" w:type="dxa"/>
            <w:vAlign w:val="bottom"/>
            <w:tcBorders>
              <w:bottom w:val="single" w:sz="8" w:color="CCEEFF"/>
              <w:right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11,150,766</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Liquidation Value</w:t>
            </w:r>
          </w:p>
        </w:tc>
        <w:tc>
          <w:tcPr>
            <w:tcW w:w="1560" w:type="dxa"/>
            <w:vAlign w:val="bottom"/>
            <w:tcBorders>
              <w:bottom w:val="single" w:sz="8" w:color="auto"/>
              <w:right w:val="single" w:sz="8" w:color="auto"/>
            </w:tcBorders>
            <w:shd w:val="clear" w:color="auto" w:fill="CCEEFF"/>
          </w:tcPr>
          <w:p>
            <w:pPr>
              <w:jc w:val="center"/>
              <w:spacing w:after="0" w:line="212" w:lineRule="exact"/>
              <w:rPr>
                <w:sz w:val="20"/>
                <w:szCs w:val="20"/>
                <w:color w:val="auto"/>
              </w:rPr>
            </w:pPr>
            <w:r>
              <w:rPr>
                <w:rFonts w:ascii="Times New Roman" w:cs="Times New Roman" w:eastAsia="Times New Roman" w:hAnsi="Times New Roman"/>
                <w:sz w:val="15"/>
                <w:szCs w:val="15"/>
                <w:color w:val="auto"/>
                <w:w w:val="98"/>
              </w:rPr>
              <w:t>Qualitative Inputs</w:t>
            </w:r>
            <w:r>
              <w:rPr>
                <w:rFonts w:ascii="Times New Roman" w:cs="Times New Roman" w:eastAsia="Times New Roman" w:hAnsi="Times New Roman"/>
                <w:sz w:val="23"/>
                <w:szCs w:val="23"/>
                <w:color w:val="auto"/>
                <w:w w:val="98"/>
                <w:vertAlign w:val="superscript"/>
              </w:rPr>
              <w:t>(2)</w:t>
            </w: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tcBorders>
            <w:shd w:val="clear" w:color="auto" w:fill="CCEEFF"/>
          </w:tcPr>
          <w:p>
            <w:pPr>
              <w:spacing w:after="0"/>
              <w:rPr>
                <w:sz w:val="16"/>
                <w:szCs w:val="16"/>
                <w:color w:val="auto"/>
              </w:rPr>
            </w:pPr>
          </w:p>
        </w:tc>
        <w:tc>
          <w:tcPr>
            <w:tcW w:w="600" w:type="dxa"/>
            <w:vAlign w:val="bottom"/>
            <w:tcBorders>
              <w:bottom w:val="single" w:sz="8" w:color="auto"/>
              <w:right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21,605,877</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Market Approach</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Third Party Quote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160" w:type="dxa"/>
            <w:vAlign w:val="bottom"/>
            <w:tcBorders>
              <w:bottom w:val="single" w:sz="8" w:color="auto"/>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9"/>
              </w:rPr>
              <w:t>– 96.5% (69.7%)</w:t>
            </w:r>
          </w:p>
        </w:tc>
        <w:tc>
          <w:tcPr>
            <w:tcW w:w="0" w:type="dxa"/>
            <w:vAlign w:val="bottom"/>
          </w:tcPr>
          <w:p>
            <w:pPr>
              <w:spacing w:after="0"/>
              <w:rPr>
                <w:sz w:val="1"/>
                <w:szCs w:val="1"/>
                <w:color w:val="auto"/>
              </w:rPr>
            </w:pPr>
          </w:p>
        </w:tc>
      </w:tr>
      <w:tr>
        <w:trPr>
          <w:trHeight w:val="198"/>
        </w:trPr>
        <w:tc>
          <w:tcPr>
            <w:tcW w:w="25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Asset Manager Affiliate</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38,849,000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Discounted Cash Flow</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16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99"/>
              </w:rPr>
              <w:t>– 12.0% (6.56%)</w:t>
            </w:r>
          </w:p>
        </w:tc>
        <w:tc>
          <w:tcPr>
            <w:tcW w:w="0" w:type="dxa"/>
            <w:vAlign w:val="bottom"/>
          </w:tcPr>
          <w:p>
            <w:pPr>
              <w:spacing w:after="0"/>
              <w:rPr>
                <w:sz w:val="1"/>
                <w:szCs w:val="1"/>
                <w:color w:val="auto"/>
              </w:rPr>
            </w:pPr>
          </w:p>
        </w:tc>
      </w:tr>
      <w:tr>
        <w:trPr>
          <w:trHeight w:val="196"/>
        </w:trPr>
        <w:tc>
          <w:tcPr>
            <w:tcW w:w="254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Joint Venture</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21,516,000</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Market Approach</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Third Party Quote</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center"/>
              <w:ind w:right="443"/>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183"/>
        </w:trPr>
        <w:tc>
          <w:tcPr>
            <w:tcW w:w="25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 Level III Investments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186,343,812</w:t>
            </w:r>
          </w:p>
        </w:tc>
        <w:tc>
          <w:tcPr>
            <w:tcW w:w="156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40" w:type="dxa"/>
            <w:vAlign w:val="bottom"/>
            <w:tcBorders>
              <w:top w:val="single" w:sz="8" w:color="CCEEFF"/>
              <w:left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right w:val="single" w:sz="8" w:color="auto"/>
            </w:tcBorders>
            <w:shd w:val="clear" w:color="auto" w:fill="CCEEFF"/>
          </w:tcPr>
          <w:p>
            <w:pPr>
              <w:spacing w:after="0"/>
              <w:rPr>
                <w:sz w:val="13"/>
                <w:szCs w:val="13"/>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5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460" w:type="dxa"/>
            <w:vAlign w:val="bottom"/>
            <w:tcBorders>
              <w:top w:val="single" w:sz="8" w:color="CCEEFF"/>
              <w:bottom w:val="single" w:sz="8" w:color="auto"/>
            </w:tcBorders>
            <w:shd w:val="clear" w:color="auto" w:fill="CCEEFF"/>
          </w:tcPr>
          <w:p>
            <w:pPr>
              <w:spacing w:after="0"/>
              <w:rPr>
                <w:sz w:val="13"/>
                <w:szCs w:val="13"/>
                <w:color w:val="auto"/>
              </w:rPr>
            </w:pPr>
          </w:p>
        </w:tc>
        <w:tc>
          <w:tcPr>
            <w:tcW w:w="11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940" w:type="dxa"/>
            <w:vAlign w:val="bottom"/>
            <w:tcBorders>
              <w:bottom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20" w:right="939" w:hanging="352"/>
        <w:spacing w:after="0" w:line="261"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line="85"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qualitative inputs used in the fair value measurements include the value of the pledged collateral.</w:t>
      </w:r>
    </w:p>
    <w:p>
      <w:pPr>
        <w:spacing w:after="0" w:line="117"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76"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72" w:lineRule="exact"/>
        <w:rPr>
          <w:sz w:val="20"/>
          <w:szCs w:val="20"/>
          <w:color w:val="auto"/>
        </w:rPr>
      </w:pPr>
    </w:p>
    <w:p>
      <w:pPr>
        <w:ind w:left="1260" w:right="879" w:firstLine="360"/>
        <w:spacing w:after="0" w:line="253" w:lineRule="auto"/>
        <w:rPr>
          <w:sz w:val="20"/>
          <w:szCs w:val="20"/>
          <w:color w:val="auto"/>
        </w:rPr>
      </w:pPr>
      <w:r>
        <w:rPr>
          <w:rFonts w:ascii="Times New Roman" w:cs="Times New Roman" w:eastAsia="Times New Roman" w:hAnsi="Times New Roman"/>
          <w:sz w:val="18"/>
          <w:szCs w:val="18"/>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w:t>
      </w:r>
    </w:p>
    <w:p>
      <w:pPr>
        <w:spacing w:after="0" w:line="2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202" w:lineRule="exact"/>
        <w:rPr>
          <w:sz w:val="20"/>
          <w:szCs w:val="20"/>
          <w:color w:val="auto"/>
        </w:rPr>
      </w:pPr>
    </w:p>
    <w:p>
      <w:pPr>
        <w:ind w:left="1260" w:right="779"/>
        <w:spacing w:after="0" w:line="266" w:lineRule="auto"/>
        <w:rPr>
          <w:sz w:val="20"/>
          <w:szCs w:val="20"/>
          <w:color w:val="auto"/>
        </w:rPr>
      </w:pPr>
      <w:r>
        <w:rPr>
          <w:rFonts w:ascii="Times New Roman" w:cs="Times New Roman" w:eastAsia="Times New Roman" w:hAnsi="Times New Roman"/>
          <w:sz w:val="18"/>
          <w:szCs w:val="18"/>
          <w:color w:val="auto"/>
        </w:rPr>
        <w:t>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68"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 respectively.</w:t>
      </w:r>
    </w:p>
    <w:p>
      <w:pPr>
        <w:spacing w:after="0" w:line="81"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The Company’s investment in the Joint Venture is carried at fair value based upon the fair value of the investments held by the Joint Venture.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ASSET MANAGER AFFILIATES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Wholly-Owned Asset Managers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31, 2018, the Company’s wholly-owned subsidiary Commodore Holdings, LLC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(“Commodore”) sold its wholly-owned asset management subsidiaries Katonah Debt Advisors, Trimaran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Advisors and Trimaran Advisors Management, representing substantially all of the Company’s investment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Asset Manager Affiliates. Commodore received cash proceeds of $37.9 million from the sale and distributed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$33.8 million in cash to KCAP. All of this cash distribution was recorded as a return of capital. No realized gain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loss was recognized due to this transaction.</w:t>
      </w:r>
    </w:p>
    <w:p>
      <w:pPr>
        <w:spacing w:after="0" w:line="99" w:lineRule="exact"/>
        <w:rPr>
          <w:sz w:val="20"/>
          <w:szCs w:val="20"/>
          <w:color w:val="auto"/>
        </w:rPr>
      </w:pPr>
    </w:p>
    <w:p>
      <w:pPr>
        <w:jc w:val="both"/>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Asset Manager Affiliates manage CLO Funds primarily for third party investors that invest primarily in broadly syndicated loans, high yield bonds and other credit instruments issued by corporations. At December 31, 2018 and 2017 the Asset Manager Affiliates had approximately $300 million and $3.0 billion, respectively of par value of assets under management, and the Company’s 100% equity interest in the Asset Manager Affiliates had a fair value of approximately $3.5 million and $38.8 million, respectively.</w:t>
      </w:r>
    </w:p>
    <w:p>
      <w:pPr>
        <w:spacing w:after="0" w:line="76"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w:t>
      </w:r>
    </w:p>
    <w:p>
      <w:pPr>
        <w:ind w:left="1260"/>
        <w:spacing w:after="0"/>
        <w:rPr>
          <w:sz w:val="20"/>
          <w:szCs w:val="20"/>
          <w:color w:val="auto"/>
        </w:rPr>
      </w:pPr>
      <w:r>
        <w:rPr>
          <w:rFonts w:ascii="Times New Roman" w:cs="Times New Roman" w:eastAsia="Times New Roman" w:hAnsi="Times New Roman"/>
          <w:sz w:val="18"/>
          <w:szCs w:val="18"/>
          <w:color w:val="auto"/>
        </w:rPr>
        <w:t>— senior management fee, a subordinated management fee and an incentive fee.</w:t>
      </w:r>
    </w:p>
    <w:p>
      <w:pPr>
        <w:spacing w:after="0" w:line="99"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Certain investments, and the future management fees of certain managed CLO Funds, had been pledged by the Asset Manager Affiliates to third-party lenders under borrowing arrangements undertaken to satisfy the risk retention requirements of the Dodd-Frank Act applicable to asset managers. In addition, certain of the Asset Manager Affiliates had provided a make-whole guaranty to these lenders in the event that the pledged assets and management fees were insufficient to satisfy the repayment of these borrowings. These borrowing arrangements were all satisfied prior to the sale of the Asset Manager Affiliates.</w:t>
      </w:r>
    </w:p>
    <w:p>
      <w:pPr>
        <w:spacing w:after="0" w:line="80"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2017, and 2016, the Asset Manager Affiliates declared cash distributions of $36.0 million, $3.2 million, and $2.7 million to the Company, respectively. The distributions in 2018 include a significant portion of the proceeds from the sale of the Disposed Manager Affiliates. Any</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ASSET MANAGER AFFILIATES – (continued)</w:t>
      </w:r>
    </w:p>
    <w:p>
      <w:pPr>
        <w:spacing w:after="0" w:line="202" w:lineRule="exact"/>
        <w:rPr>
          <w:sz w:val="20"/>
          <w:szCs w:val="20"/>
          <w:color w:val="auto"/>
        </w:rPr>
      </w:pPr>
    </w:p>
    <w:p>
      <w:pPr>
        <w:ind w:left="1260" w:right="799"/>
        <w:spacing w:after="0" w:line="255" w:lineRule="auto"/>
        <w:rPr>
          <w:sz w:val="20"/>
          <w:szCs w:val="20"/>
          <w:color w:val="auto"/>
        </w:rPr>
      </w:pPr>
      <w:r>
        <w:rPr>
          <w:rFonts w:ascii="Times New Roman" w:cs="Times New Roman" w:eastAsia="Times New Roman" w:hAnsi="Times New Roman"/>
          <w:sz w:val="18"/>
          <w:szCs w:val="18"/>
          <w:color w:val="auto"/>
        </w:rPr>
        <w:t>distributions from the Asset Manager Affiliates out of their estimated tax-basis earnings and profits are recorded as “Dividends from Asset Manager Affiliates” on the Company’s statement of operations. The Company recognized $1.2 million, $460,000 and $1.4 million of Dividends from Asset Manager Affiliates in the Statement of Operations in 2018, 2017, and 2016, respectively. The difference between cash distributions received and the tax-basis earnings and profits of the distributing affiliate, are recorded as an adjustment to the cost basis in the Asset Manager Affiliate (i.e., tax-basis return of capital). All but $1.2 million of the 2018 distribution from the Asset Manager Affiliates was a tax-basis return of capital. Distributions receivable, if any, are reflected in the “due from affiliates” account on the consolidated balance sheets.</w:t>
      </w:r>
    </w:p>
    <w:p>
      <w:pPr>
        <w:spacing w:after="0" w:line="77"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72"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68" w:lineRule="exact"/>
        <w:rPr>
          <w:sz w:val="20"/>
          <w:szCs w:val="20"/>
          <w:color w:val="auto"/>
        </w:rPr>
      </w:pPr>
    </w:p>
    <w:p>
      <w:pPr>
        <w:ind w:left="1260" w:right="95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Rules 3-09, Rule 4-08(g) and 1-02 of Regulation S-X, additional financial information with respect to the Asset Manager Affiliates and with respect to one of the CLO Funds in which the Company had an investment, Katonah 2007-I CLO are required to be included in the Company’s SEC filings. The additional information regarding the Asset Manager Affiliates and Katonah 2007-I CLO (pursuant to Rule 4-08(g)) is set forth below. This additional financial information regarding the Asset Manager Affiliates and Katonah 2007-1 does not directly impact the financial position, results of operations, or cash flows of the Company.</w:t>
      </w:r>
    </w:p>
    <w:p>
      <w:pPr>
        <w:spacing w:after="0" w:line="17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Summarized Balance Sheet</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4"/>
                <w:szCs w:val="14"/>
                <w:color w:val="auto"/>
              </w:rPr>
            </w:pPr>
          </w:p>
        </w:tc>
        <w:tc>
          <w:tcPr>
            <w:tcW w:w="8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2"/>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24"/>
        </w:trPr>
        <w:tc>
          <w:tcPr>
            <w:tcW w:w="5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1,335,004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4,655,662</w:t>
            </w:r>
          </w:p>
        </w:tc>
      </w:tr>
      <w:tr>
        <w:trPr>
          <w:trHeight w:val="25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79,901,209</w:t>
            </w:r>
          </w:p>
        </w:tc>
      </w:tr>
      <w:tr>
        <w:trPr>
          <w:trHeight w:val="25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22,830,000</w:t>
            </w:r>
          </w:p>
        </w:tc>
      </w:tr>
      <w:tr>
        <w:trPr>
          <w:trHeight w:val="26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129,880</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4,471,250</w:t>
            </w:r>
          </w:p>
        </w:tc>
      </w:tr>
      <w:tr>
        <w:trPr>
          <w:trHeight w:val="20"/>
        </w:trPr>
        <w:tc>
          <w:tcPr>
            <w:tcW w:w="5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6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1,464,884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111,858,121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69,802,500</w:t>
            </w:r>
          </w:p>
        </w:tc>
      </w:tr>
      <w:tr>
        <w:trPr>
          <w:trHeight w:val="25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related parties</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12,792,218</w:t>
            </w:r>
          </w:p>
        </w:tc>
      </w:tr>
      <w:tr>
        <w:trPr>
          <w:trHeight w:val="26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995,270</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6,789,433</w:t>
            </w:r>
          </w:p>
        </w:tc>
      </w:tr>
      <w:tr>
        <w:trPr>
          <w:trHeight w:val="20"/>
        </w:trPr>
        <w:tc>
          <w:tcPr>
            <w:tcW w:w="5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995,270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89,384,151</w:t>
            </w:r>
          </w:p>
        </w:tc>
      </w:tr>
      <w:tr>
        <w:trPr>
          <w:trHeight w:val="20"/>
        </w:trPr>
        <w:tc>
          <w:tcPr>
            <w:tcW w:w="5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6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469,614</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22,473,970</w:t>
            </w:r>
          </w:p>
        </w:tc>
      </w:tr>
      <w:tr>
        <w:trPr>
          <w:trHeight w:val="20"/>
        </w:trPr>
        <w:tc>
          <w:tcPr>
            <w:tcW w:w="5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5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1,464,884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111,858,121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458787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-556895</wp:posOffset>
            </wp:positionV>
            <wp:extent cx="458787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-1251585</wp:posOffset>
            </wp:positionV>
            <wp:extent cx="458787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-1920240</wp:posOffset>
            </wp:positionV>
            <wp:extent cx="4579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ASSET MANAGER AFFILIATES – (continued)</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Summarized Statements of Operations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00" w:type="dxa"/>
            <w:vAlign w:val="bottom"/>
            <w:gridSpan w:val="1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4"/>
        </w:trPr>
        <w:tc>
          <w:tcPr>
            <w:tcW w:w="1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260" w:type="dxa"/>
            <w:vAlign w:val="bottom"/>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 Revenue</w:t>
            </w:r>
          </w:p>
        </w:tc>
        <w:tc>
          <w:tcPr>
            <w:tcW w:w="2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11,548,457</w:t>
            </w:r>
          </w:p>
        </w:tc>
        <w:tc>
          <w:tcPr>
            <w:tcW w:w="11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$15,283,064</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$12,835,603</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3,041,889</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232,300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1,024,760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w:t>
            </w:r>
          </w:p>
        </w:tc>
        <w:tc>
          <w:tcPr>
            <w:tcW w:w="2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14,590,346</w:t>
            </w:r>
          </w:p>
        </w:tc>
        <w:tc>
          <w:tcPr>
            <w:tcW w:w="11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15,515,364</w:t>
            </w: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13,860,363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w w:val="98"/>
              </w:rPr>
              <w:t>10,700,629</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10,937,980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w w:val="98"/>
              </w:rPr>
              <w:t>11,443,319</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327,541</w:t>
            </w: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1,310,164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3,987,891</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1,044,242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1,821,517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14,688,520</w:t>
            </w:r>
          </w:p>
        </w:tc>
        <w:tc>
          <w:tcPr>
            <w:tcW w:w="11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12,309,763</w:t>
            </w: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14,575,000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50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(Loss) income before unrealized gains (losses) on investments and</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(98,174)</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3,205,601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(714,637)</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00" w:type="dxa"/>
            <w:vAlign w:val="bottom"/>
            <w:shd w:val="clear" w:color="auto" w:fill="CCEEFF"/>
          </w:tcPr>
          <w:p>
            <w:pPr>
              <w:spacing w:after="0"/>
              <w:rPr>
                <w:sz w:val="23"/>
                <w:szCs w:val="23"/>
                <w:color w:val="auto"/>
              </w:rPr>
            </w:pPr>
          </w:p>
        </w:tc>
        <w:tc>
          <w:tcPr>
            <w:tcW w:w="5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7,570,688</w:t>
            </w:r>
          </w:p>
        </w:tc>
        <w:tc>
          <w:tcPr>
            <w:tcW w:w="11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(2,674,885)</w:t>
            </w:r>
          </w:p>
        </w:tc>
        <w:tc>
          <w:tcPr>
            <w:tcW w:w="1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7,472,514</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530,716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(714,637)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(1,971,043)</w:t>
            </w:r>
          </w:p>
        </w:tc>
        <w:tc>
          <w:tcPr>
            <w:tcW w:w="11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(165,449)</w:t>
            </w: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9,443,557</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   696,165</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(633,615)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60" w:type="dxa"/>
            <w:vAlign w:val="bottom"/>
          </w:tcPr>
          <w:p>
            <w:pPr>
              <w:spacing w:after="0"/>
              <w:rPr>
                <w:sz w:val="24"/>
                <w:szCs w:val="24"/>
                <w:color w:val="auto"/>
              </w:rPr>
            </w:pPr>
          </w:p>
        </w:tc>
        <w:tc>
          <w:tcPr>
            <w:tcW w:w="5140" w:type="dxa"/>
            <w:vAlign w:val="bottom"/>
            <w:gridSpan w:val="4"/>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Katonah 2007-I CLO Ltd.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580" w:type="dxa"/>
            <w:vAlign w:val="bottom"/>
            <w:gridSpan w:val="6"/>
          </w:tcPr>
          <w:p>
            <w:pPr>
              <w:jc w:val="center"/>
              <w:ind w:left="2570"/>
              <w:spacing w:after="0"/>
              <w:rPr>
                <w:sz w:val="20"/>
                <w:szCs w:val="20"/>
                <w:color w:val="auto"/>
              </w:rPr>
            </w:pPr>
            <w:r>
              <w:rPr>
                <w:rFonts w:ascii="Times New Roman" w:cs="Times New Roman" w:eastAsia="Times New Roman" w:hAnsi="Times New Roman"/>
                <w:sz w:val="18"/>
                <w:szCs w:val="18"/>
                <w:color w:val="auto"/>
                <w:w w:val="99"/>
              </w:rPr>
              <w:t>Summarized Balance Sheet Information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80" w:type="dxa"/>
            <w:vAlign w:val="bottom"/>
            <w:gridSpan w:val="2"/>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4"/>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60" w:type="dxa"/>
            <w:vAlign w:val="bottom"/>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778,828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1,673,789</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for investments sold</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3"/>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8,750,934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spacing w:after="0"/>
              <w:rPr>
                <w:sz w:val="22"/>
                <w:szCs w:val="22"/>
                <w:color w:val="auto"/>
              </w:rPr>
            </w:pPr>
          </w:p>
        </w:tc>
        <w:tc>
          <w:tcPr>
            <w:tcW w:w="230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color w:val="auto"/>
              </w:rPr>
              <w:t>$11,203,551</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Debt at fair value</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bottom w:val="single" w:sz="8" w:color="CCEEFF"/>
            </w:tcBorders>
            <w:gridSpan w:val="3"/>
            <w:shd w:val="clear" w:color="auto" w:fill="CCEEFF"/>
          </w:tcPr>
          <w:p>
            <w:pPr>
              <w:spacing w:after="0"/>
              <w:rPr>
                <w:sz w:val="22"/>
                <w:szCs w:val="2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10,770,486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3"/>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10,854,495</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20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349,056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4"/>
            <w:vMerge w:val="restart"/>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Katonah 2007-I CLO Ltd.</w:t>
            </w: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60" w:type="dxa"/>
            <w:vAlign w:val="bottom"/>
          </w:tcPr>
          <w:p>
            <w:pPr>
              <w:spacing w:after="0"/>
              <w:rPr>
                <w:sz w:val="24"/>
                <w:szCs w:val="24"/>
                <w:color w:val="auto"/>
              </w:rPr>
            </w:pPr>
          </w:p>
        </w:tc>
        <w:tc>
          <w:tcPr>
            <w:tcW w:w="51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6020" w:type="dxa"/>
            <w:vAlign w:val="bottom"/>
            <w:gridSpan w:val="9"/>
          </w:tcPr>
          <w:p>
            <w:pPr>
              <w:jc w:val="center"/>
              <w:ind w:left="2130"/>
              <w:spacing w:after="0"/>
              <w:rPr>
                <w:sz w:val="20"/>
                <w:szCs w:val="20"/>
                <w:color w:val="auto"/>
              </w:rPr>
            </w:pPr>
            <w:r>
              <w:rPr>
                <w:rFonts w:ascii="Times New Roman" w:cs="Times New Roman" w:eastAsia="Times New Roman" w:hAnsi="Times New Roman"/>
                <w:sz w:val="18"/>
                <w:szCs w:val="18"/>
                <w:color w:val="auto"/>
                <w:w w:val="99"/>
              </w:rPr>
              <w:t>Summarized Statements of Operations Information</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2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2"/>
                <w:szCs w:val="22"/>
                <w:color w:val="auto"/>
              </w:rPr>
            </w:pPr>
          </w:p>
        </w:tc>
        <w:tc>
          <w:tcPr>
            <w:tcW w:w="150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3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2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3800" w:type="dxa"/>
            <w:vAlign w:val="bottom"/>
            <w:gridSpan w:val="12"/>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December 31, 2017   December 31, 2016</w:t>
            </w:r>
          </w:p>
        </w:tc>
        <w:tc>
          <w:tcPr>
            <w:tcW w:w="0" w:type="dxa"/>
            <w:vAlign w:val="bottom"/>
          </w:tcPr>
          <w:p>
            <w:pPr>
              <w:spacing w:after="0"/>
              <w:rPr>
                <w:sz w:val="1"/>
                <w:szCs w:val="1"/>
                <w:color w:val="auto"/>
              </w:rPr>
            </w:pPr>
          </w:p>
        </w:tc>
      </w:tr>
      <w:tr>
        <w:trPr>
          <w:trHeight w:val="24"/>
        </w:trPr>
        <w:tc>
          <w:tcPr>
            <w:tcW w:w="1260" w:type="dxa"/>
            <w:vAlign w:val="bottom"/>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4,829,636</w:t>
            </w:r>
          </w:p>
        </w:tc>
        <w:tc>
          <w:tcPr>
            <w:tcW w:w="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$ 9,381,680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4,866,033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9,767,270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10,627,258</w:t>
            </w:r>
          </w:p>
        </w:tc>
        <w:tc>
          <w:tcPr>
            <w:tcW w:w="120" w:type="dxa"/>
            <w:vAlign w:val="bottom"/>
            <w:shd w:val="clear" w:color="auto" w:fill="CCEEFF"/>
          </w:tcPr>
          <w:p>
            <w:pPr>
              <w:spacing w:after="0"/>
              <w:rPr>
                <w:sz w:val="22"/>
                <w:szCs w:val="22"/>
                <w:color w:val="auto"/>
              </w:rPr>
            </w:pPr>
          </w:p>
        </w:tc>
        <w:tc>
          <w:tcPr>
            <w:tcW w:w="1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15,704,243</w:t>
            </w:r>
          </w:p>
        </w:tc>
        <w:tc>
          <w:tcPr>
            <w:tcW w:w="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8,798,483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(10,764,092)</w:t>
            </w:r>
          </w:p>
        </w:tc>
        <w:tc>
          <w:tcPr>
            <w:tcW w:w="120" w:type="dxa"/>
            <w:vAlign w:val="bottom"/>
          </w:tcPr>
          <w:p>
            <w:pPr>
              <w:spacing w:after="0"/>
              <w:rPr>
                <w:sz w:val="22"/>
                <w:szCs w:val="22"/>
                <w:color w:val="auto"/>
              </w:rPr>
            </w:pPr>
          </w:p>
        </w:tc>
        <w:tc>
          <w:tcPr>
            <w:tcW w:w="126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(16,425,383)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(9,780,406)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losses</w:t>
            </w:r>
          </w:p>
        </w:tc>
        <w:tc>
          <w:tcPr>
            <w:tcW w:w="2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10,415,035</w:t>
            </w:r>
          </w:p>
        </w:tc>
        <w:tc>
          <w:tcPr>
            <w:tcW w:w="120" w:type="dxa"/>
            <w:vAlign w:val="bottom"/>
            <w:shd w:val="clear" w:color="auto" w:fill="CCEEFF"/>
          </w:tcPr>
          <w:p>
            <w:pPr>
              <w:spacing w:after="0"/>
              <w:rPr>
                <w:sz w:val="22"/>
                <w:szCs w:val="22"/>
                <w:color w:val="auto"/>
              </w:rPr>
            </w:pPr>
          </w:p>
        </w:tc>
        <w:tc>
          <w:tcPr>
            <w:tcW w:w="1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10,212,198</w:t>
            </w:r>
          </w:p>
        </w:tc>
        <w:tc>
          <w:tcPr>
            <w:tcW w:w="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5,482,606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net assets resulting from</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(349,056)</w:t>
            </w:r>
          </w:p>
        </w:tc>
        <w:tc>
          <w:tcPr>
            <w:tcW w:w="120" w:type="dxa"/>
            <w:vAlign w:val="bottom"/>
          </w:tcPr>
          <w:p>
            <w:pPr>
              <w:spacing w:after="0"/>
              <w:rPr>
                <w:sz w:val="20"/>
                <w:szCs w:val="20"/>
                <w:color w:val="auto"/>
              </w:rPr>
            </w:pPr>
          </w:p>
        </w:tc>
        <w:tc>
          <w:tcPr>
            <w:tcW w:w="126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(1,347,152)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5,469,470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260" w:type="dxa"/>
            <w:vAlign w:val="bottom"/>
          </w:tcPr>
          <w:p>
            <w:pPr>
              <w:spacing w:after="0"/>
              <w:rPr>
                <w:sz w:val="24"/>
                <w:szCs w:val="24"/>
                <w:color w:val="auto"/>
              </w:rPr>
            </w:pPr>
          </w:p>
        </w:tc>
        <w:tc>
          <w:tcPr>
            <w:tcW w:w="4300" w:type="dxa"/>
            <w:vAlign w:val="bottom"/>
          </w:tcPr>
          <w:p>
            <w:pPr>
              <w:jc w:val="center"/>
              <w:ind w:left="3830"/>
              <w:spacing w:after="0"/>
              <w:rPr>
                <w:sz w:val="20"/>
                <w:szCs w:val="20"/>
                <w:color w:val="auto"/>
              </w:rPr>
            </w:pPr>
            <w:r>
              <w:rPr>
                <w:rFonts w:ascii="Times New Roman" w:cs="Times New Roman" w:eastAsia="Times New Roman" w:hAnsi="Times New Roman"/>
                <w:sz w:val="18"/>
                <w:szCs w:val="18"/>
                <w:color w:val="auto"/>
                <w:w w:val="99"/>
              </w:rPr>
              <w:t>F-50</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-4895850</wp:posOffset>
            </wp:positionV>
            <wp:extent cx="14605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-4895850</wp:posOffset>
            </wp:positionV>
            <wp:extent cx="39192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-5736590</wp:posOffset>
            </wp:positionV>
            <wp:extent cx="14605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-5736590</wp:posOffset>
            </wp:positionV>
            <wp:extent cx="39192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-6405245</wp:posOffset>
            </wp:positionV>
            <wp:extent cx="14605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-6405245</wp:posOffset>
            </wp:positionV>
            <wp:extent cx="39192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-6748780</wp:posOffset>
            </wp:positionV>
            <wp:extent cx="1371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-6748780</wp:posOffset>
            </wp:positionV>
            <wp:extent cx="391033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-2640965</wp:posOffset>
            </wp:positionV>
            <wp:extent cx="463931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-3001010</wp:posOffset>
            </wp:positionV>
            <wp:extent cx="463931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-3686810</wp:posOffset>
            </wp:positionV>
            <wp:extent cx="463105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631055" cy="889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-1706245</wp:posOffset>
            </wp:positionV>
            <wp:extent cx="1371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-1706245</wp:posOffset>
            </wp:positionV>
            <wp:extent cx="36017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14" w:right="919" w:bottom="1440" w:gutter="0" w:footer="0" w:header="0"/>
        </w:sectPr>
      </w:pPr>
    </w:p>
    <w:bookmarkStart w:id="133" w:name="page134"/>
    <w:bookmarkEnd w:id="133"/>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ASSET MANAGER AFFILIATES – (continued)</w:t>
      </w:r>
    </w:p>
    <w:p>
      <w:pPr>
        <w:spacing w:after="0" w:line="202" w:lineRule="exact"/>
        <w:rPr>
          <w:sz w:val="20"/>
          <w:szCs w:val="20"/>
          <w:color w:val="auto"/>
        </w:rPr>
      </w:pPr>
    </w:p>
    <w:p>
      <w:pPr>
        <w:ind w:left="1260" w:right="859" w:firstLine="360"/>
        <w:spacing w:after="0" w:line="255" w:lineRule="auto"/>
        <w:rPr>
          <w:sz w:val="20"/>
          <w:szCs w:val="20"/>
          <w:color w:val="auto"/>
        </w:rPr>
      </w:pPr>
      <w:r>
        <w:rPr>
          <w:rFonts w:ascii="Times New Roman" w:cs="Times New Roman" w:eastAsia="Times New Roman" w:hAnsi="Times New Roman"/>
          <w:sz w:val="18"/>
          <w:szCs w:val="18"/>
          <w:color w:val="auto"/>
        </w:rPr>
        <w:t>On December 19, 2017, the Company, in its capacity as the holder of all of the outstanding preferred shares of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81" w:lineRule="exact"/>
        <w:rPr>
          <w:sz w:val="20"/>
          <w:szCs w:val="20"/>
          <w:color w:val="auto"/>
        </w:rPr>
      </w:pPr>
    </w:p>
    <w:p>
      <w:pPr>
        <w:jc w:val="both"/>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w:t>
      </w:r>
    </w:p>
    <w:p>
      <w:pPr>
        <w:spacing w:after="0" w:line="3" w:lineRule="exact"/>
        <w:rPr>
          <w:sz w:val="20"/>
          <w:szCs w:val="20"/>
          <w:color w:val="auto"/>
        </w:rPr>
      </w:pPr>
    </w:p>
    <w:p>
      <w:pPr>
        <w:ind w:left="1260" w:right="919"/>
        <w:spacing w:after="0" w:line="252" w:lineRule="auto"/>
        <w:rPr>
          <w:sz w:val="20"/>
          <w:szCs w:val="20"/>
          <w:color w:val="auto"/>
        </w:rPr>
      </w:pPr>
      <w:r>
        <w:rPr>
          <w:rFonts w:ascii="Times New Roman" w:cs="Times New Roman" w:eastAsia="Times New Roman" w:hAnsi="Times New Roman"/>
          <w:sz w:val="18"/>
          <w:szCs w:val="18"/>
          <w:color w:val="auto"/>
        </w:rPr>
        <w:t>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Goodwill amortization for tax purposes was created upon the purchase of 100% of the equity interests in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Katonah Debt Advisors prior to the Company’s IPO in exchange for shares of the Company’s stock valued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$33 million. Although this transaction was a stock transaction rather than an asset purchase and thus no goodwill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recognized for GAAP purposes, such exchange was considered an asset purchase under Section 351(a)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Code. At the time of the transfer, Katonah Debt Advisors had equity of approximately $1 million resulting in tax</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goodwill of approximately $32 million which was being amortized for tax purposes on a straight-line basis over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 years.</w:t>
      </w:r>
    </w:p>
    <w:p>
      <w:pPr>
        <w:spacing w:after="0" w:line="99" w:lineRule="exact"/>
        <w:rPr>
          <w:sz w:val="20"/>
          <w:szCs w:val="20"/>
          <w:color w:val="auto"/>
        </w:rPr>
      </w:pPr>
    </w:p>
    <w:p>
      <w:pPr>
        <w:ind w:left="1260" w:right="739" w:firstLine="360"/>
        <w:spacing w:after="0" w:line="257" w:lineRule="auto"/>
        <w:rPr>
          <w:sz w:val="20"/>
          <w:szCs w:val="20"/>
          <w:color w:val="auto"/>
        </w:rPr>
      </w:pPr>
      <w:r>
        <w:rPr>
          <w:rFonts w:ascii="Times New Roman" w:cs="Times New Roman" w:eastAsia="Times New Roman" w:hAnsi="Times New Roman"/>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w:t>
      </w:r>
    </w:p>
    <w:p>
      <w:pPr>
        <w:spacing w:after="0" w:line="2" w:lineRule="exact"/>
        <w:rPr>
          <w:sz w:val="20"/>
          <w:szCs w:val="20"/>
          <w:color w:val="auto"/>
        </w:rPr>
      </w:pPr>
    </w:p>
    <w:p>
      <w:pPr>
        <w:ind w:left="1260" w:right="879"/>
        <w:spacing w:after="0" w:line="255" w:lineRule="auto"/>
        <w:rPr>
          <w:sz w:val="20"/>
          <w:szCs w:val="20"/>
          <w:color w:val="auto"/>
        </w:rPr>
      </w:pPr>
      <w:r>
        <w:rPr>
          <w:rFonts w:ascii="Times New Roman" w:cs="Times New Roman" w:eastAsia="Times New Roman" w:hAnsi="Times New Roman"/>
          <w:sz w:val="18"/>
          <w:szCs w:val="18"/>
          <w:color w:val="auto"/>
        </w:rPr>
        <w:t>Section 351(a) of the Code and resulted in tax goodwill of approximately $22.8 million, and tax basis intangible assets of $15.7 million, both of which were being amortized for tax purposes on a straight-line basis over 15 years.</w:t>
      </w:r>
    </w:p>
    <w:p>
      <w:pPr>
        <w:spacing w:after="0" w:line="7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During the second quarter of 2016, KCAP contributed 100% of its ownership interests in Katonah Debt Advisors and Trimaran Advisors Management to Commodore Holdings, a wholly-owned subsidiary of KCAP. These transactions simplified the tax structure of the AMAs and facilitate the consolidation of tax basis goodwill deductions for the AMAs, which impacted the tax character of distributions from the AMAs.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06"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On February 26, 2013, the Company entered into a senior credit agreement (the “Trimaran Credit Facility”) with Trimaran Advisors, pursuant to which Trimaran Advisors would borrow from time to time up to $20 million from the Company in order to provide capital necessary to support one or more of Trimaran Advisors’ warehouse lines of credit and/or working capital in connection with Trimaran Advisors’ warehouse activities. On April 15, 2013, the Trimaran Credit Facility was amended and upsized from $20 million to $23 million. On November 17, 2017, the Trimaran Credit Facility was amended to extend the maturity date to November 17, 2022 and bore interest at an annual rate of 9.0%. Outstanding borrowings on the Trimaran Credit Facility were callable by the Company at any time. The Trimaran Credit Facility</w:t>
      </w: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ASSET MANAGER AFFILIATES – (continued)</w:t>
      </w:r>
    </w:p>
    <w:p>
      <w:pPr>
        <w:spacing w:after="0" w:line="202" w:lineRule="exact"/>
        <w:rPr>
          <w:sz w:val="20"/>
          <w:szCs w:val="20"/>
          <w:color w:val="auto"/>
        </w:rPr>
      </w:pPr>
    </w:p>
    <w:p>
      <w:pPr>
        <w:ind w:left="1260" w:right="739"/>
        <w:spacing w:after="0" w:line="261" w:lineRule="auto"/>
        <w:rPr>
          <w:sz w:val="20"/>
          <w:szCs w:val="20"/>
          <w:color w:val="auto"/>
        </w:rPr>
      </w:pPr>
      <w:r>
        <w:rPr>
          <w:rFonts w:ascii="Times New Roman" w:cs="Times New Roman" w:eastAsia="Times New Roman" w:hAnsi="Times New Roman"/>
          <w:sz w:val="18"/>
          <w:szCs w:val="18"/>
          <w:color w:val="auto"/>
        </w:rPr>
        <w:t>was fully repaid and terminated in the fourth quarter of 2018. At December 31, 2018 and December 31, 2017 there were no loans outstanding under the Trimaran Credit Facility. For the years ended December 31, 2018, 2017 and 2016, the Company recognized interest income of approximately $2.2 million, $918,000 and $1.8 million, respectively, related to the Trimaran Credit Facility.</w:t>
      </w:r>
    </w:p>
    <w:p>
      <w:pPr>
        <w:spacing w:after="0" w:line="72"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On October 30, 2017, the Company entered into a new term loan agreement with Trimaran Advisors, one of the Asset Manager Affiliates. Trimaran Advisors borrowed $8.4 million under this agreement, which bore interest at a rate of 10.5% annually, payable quarterly. The loan matures on April 30, 2030, can be repaid at any time, and must be repaid upon the occurrence of certain events. During the third quarter 2018 $2.1 million of the principal on this loan was repaid by Trimaran Advisors. During the fourth quarter of 2018, Trimaran Advisors repaid this loan in full. Repayment was comprised of $3.0 million of cash and $2.5 million notional amount of subordinated notes of Catamaran 2013-1 with a fair value of $1.4 million and $3.4 million of notional amount of subordinated notes of Catamaran 2014-1 with a fair value of $1.9 million.</w:t>
      </w:r>
    </w:p>
    <w:p>
      <w:pPr>
        <w:spacing w:after="0" w:line="64"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II, LLC purchased $34.8 million notional amount of notes issued by Catamaran CLO 2014-1, Ltd. for aggregate consideration of $35.5 million. On December 21, 2017, the Company entered into another new term loan agreement with Trimaran Advisors, under which Trimaran Advisors borrowed $4.4 million, which also bore interest at a rate of 10.5% annually, payable quarterly. During the second quarter of 2018, this loan was repaid in full by Trimaran Advisors.</w:t>
      </w:r>
    </w:p>
    <w:p>
      <w:pPr>
        <w:spacing w:after="0" w:line="81"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color w:val="auto"/>
        </w:rPr>
        <w:t>On December 21, 2017, Trimaran Advisors contributed $4.4 million of equity capital to Trimaran Risk Retention Holdings, LLC. In turn, Trimaran Risk Retention Holdings contributed $4.4 million of equity capital to Trimaran RR II. With this equity contribution and other borrowed funds, Trimaran RR I, LLC purchased</w:t>
      </w:r>
    </w:p>
    <w:p>
      <w:pPr>
        <w:spacing w:after="0" w:line="2" w:lineRule="exact"/>
        <w:rPr>
          <w:sz w:val="20"/>
          <w:szCs w:val="20"/>
          <w:color w:val="auto"/>
        </w:rPr>
      </w:pPr>
    </w:p>
    <w:p>
      <w:pPr>
        <w:ind w:left="1260" w:right="1039"/>
        <w:spacing w:after="0" w:line="261" w:lineRule="auto"/>
        <w:rPr>
          <w:sz w:val="20"/>
          <w:szCs w:val="20"/>
          <w:color w:val="auto"/>
        </w:rPr>
      </w:pPr>
      <w:r>
        <w:rPr>
          <w:rFonts w:ascii="Times New Roman" w:cs="Times New Roman" w:eastAsia="Times New Roman" w:hAnsi="Times New Roman"/>
          <w:sz w:val="18"/>
          <w:szCs w:val="18"/>
          <w:color w:val="auto"/>
        </w:rPr>
        <w:t>$27.4 million notional amount of notes issued by Catamaran CLO 2015-1, Ltd. for aggregate consideration of $27.4 million.</w:t>
      </w:r>
    </w:p>
    <w:p>
      <w:pPr>
        <w:spacing w:after="0" w:line="58" w:lineRule="exact"/>
        <w:rPr>
          <w:sz w:val="20"/>
          <w:szCs w:val="20"/>
          <w:color w:val="auto"/>
        </w:rPr>
      </w:pPr>
    </w:p>
    <w:p>
      <w:pPr>
        <w:ind w:left="1260" w:right="999" w:firstLine="360"/>
        <w:spacing w:after="0" w:line="276" w:lineRule="auto"/>
        <w:rPr>
          <w:sz w:val="20"/>
          <w:szCs w:val="20"/>
          <w:color w:val="auto"/>
        </w:rPr>
      </w:pPr>
      <w:r>
        <w:rPr>
          <w:rFonts w:ascii="Times New Roman" w:cs="Times New Roman" w:eastAsia="Times New Roman" w:hAnsi="Times New Roman"/>
          <w:sz w:val="17"/>
          <w:szCs w:val="17"/>
          <w:color w:val="auto"/>
        </w:rPr>
        <w:t>On June 4, 2018, Trimaran RR I, LLC sold $31.4 million and $24.9 million, of notional amount of notes issued by Catamaran CLO 2014-1, Ltd and Catamaran 2013-1, Ltd, respectively. In December 2018, Trimaran</w:t>
      </w:r>
    </w:p>
    <w:p>
      <w:pPr>
        <w:spacing w:after="0" w:line="1" w:lineRule="exact"/>
        <w:rPr>
          <w:sz w:val="20"/>
          <w:szCs w:val="20"/>
          <w:color w:val="auto"/>
        </w:rPr>
      </w:pPr>
    </w:p>
    <w:p>
      <w:pPr>
        <w:ind w:left="1260" w:right="899" w:firstLine="8"/>
        <w:spacing w:after="0" w:line="255" w:lineRule="auto"/>
        <w:tabs>
          <w:tab w:leader="none" w:pos="15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Company’s debt obligations consist of the following:</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2"/>
        </w:trPr>
        <w:tc>
          <w:tcPr>
            <w:tcW w:w="1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8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
        </w:trPr>
        <w:tc>
          <w:tcPr>
            <w:tcW w:w="18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6.125% Notes Due 2022</w:t>
            </w: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offering costs of: 2018</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$2,207,342; 2017 —</w:t>
            </w: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$2,734,248)</w:t>
            </w:r>
          </w:p>
        </w:tc>
        <w:tc>
          <w:tcPr>
            <w:tcW w:w="22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75,199,858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74,672,952</w:t>
            </w:r>
          </w:p>
        </w:tc>
      </w:tr>
      <w:tr>
        <w:trPr>
          <w:trHeight w:val="225"/>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KCAP Funding I, LLC Revolving Credit Facility (net of offering costs of:</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1"/>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 — $1,155,754)</w:t>
            </w:r>
          </w:p>
        </w:tc>
        <w:tc>
          <w:tcPr>
            <w:tcW w:w="2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25,200,331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7.375% Notes Due 2019</w:t>
            </w: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offering costs of: 2017</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$259,635)</w:t>
            </w: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26,740,365</w:t>
            </w:r>
          </w:p>
        </w:tc>
      </w:tr>
      <w:tr>
        <w:trPr>
          <w:trHeight w:val="20"/>
        </w:trPr>
        <w:tc>
          <w:tcPr>
            <w:tcW w:w="18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57"/>
        </w:trPr>
        <w:tc>
          <w:tcPr>
            <w:tcW w:w="18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100,400,189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101,413,317</w:t>
            </w:r>
          </w:p>
        </w:tc>
      </w:tr>
      <w:tr>
        <w:trPr>
          <w:trHeight w:val="20"/>
        </w:trPr>
        <w:tc>
          <w:tcPr>
            <w:tcW w:w="1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-977265</wp:posOffset>
            </wp:positionV>
            <wp:extent cx="45707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137"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The weighted average stated interest rate and weighted average maturity on all our debt outstanding as of December 31, 2018 were 6.0% and 3.6 years, respectively, and as of December 31, 2017 were 6.4.% and 3.9 years, respectively.</w:t>
      </w: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BORROWINGS – (continued)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6.125% Notes Due 2022</w:t>
      </w:r>
    </w:p>
    <w:p>
      <w:pPr>
        <w:spacing w:after="0" w:line="106" w:lineRule="exact"/>
        <w:rPr>
          <w:sz w:val="20"/>
          <w:szCs w:val="20"/>
          <w:color w:val="auto"/>
        </w:rPr>
      </w:pPr>
    </w:p>
    <w:p>
      <w:pPr>
        <w:ind w:left="1260" w:right="799" w:firstLine="360"/>
        <w:spacing w:after="0" w:line="252" w:lineRule="auto"/>
        <w:rPr>
          <w:sz w:val="20"/>
          <w:szCs w:val="20"/>
          <w:color w:val="auto"/>
        </w:rPr>
      </w:pPr>
      <w:r>
        <w:rPr>
          <w:rFonts w:ascii="Times New Roman" w:cs="Times New Roman" w:eastAsia="Times New Roman" w:hAnsi="Times New Roman"/>
          <w:sz w:val="18"/>
          <w:szCs w:val="18"/>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relating to borrowing and dividends. At December 31, 2018, the Company was in compliance with all of its debt covenants.</w:t>
      </w:r>
    </w:p>
    <w:p>
      <w:pPr>
        <w:spacing w:after="0" w:line="9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and 2017 interest expense related to the 6.125% Notes Due 2022 was approximately $4.7 million and $1.6 million.</w:t>
      </w:r>
    </w:p>
    <w:p>
      <w:pPr>
        <w:spacing w:after="0" w:line="54" w:lineRule="exact"/>
        <w:rPr>
          <w:sz w:val="20"/>
          <w:szCs w:val="20"/>
          <w:color w:val="auto"/>
        </w:rPr>
      </w:pPr>
    </w:p>
    <w:p>
      <w:pPr>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$2.2 million and $2.7 million remains to be amortized as of December 31, 2018 and 2017, and is included on the consolidated balance sheets as a reduction in the related debt liability.</w:t>
      </w:r>
    </w:p>
    <w:p>
      <w:pPr>
        <w:spacing w:after="0" w:line="74"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6.125% Notes Due 2022. </w:t>
      </w:r>
      <w:r>
        <w:rPr>
          <w:rFonts w:ascii="Times New Roman" w:cs="Times New Roman" w:eastAsia="Times New Roman" w:hAnsi="Times New Roman"/>
          <w:sz w:val="18"/>
          <w:szCs w:val="18"/>
          <w:color w:val="auto"/>
        </w:rPr>
        <w:t>The 6.125% Notes Due 2022 were issued via public offering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2017 and are carried at cost, net of offering costs of $2.2 million and $2.7 million at December 31, 2018 and 2017, respectively. The fair value of the Company’s outstanding 6.125% Notes Due 2022 was approximately $76.6 million and $77.7 million at December 31, 2018 and 2017, The fair value was determined based on the closing price on December 31, 2018 for the 6.125% Notes Due 2022. The 6.125% Notes Due 2022 are categorized as Level I under the ASC 820 Fair Value.</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KCAP Funding I, LLC</w:t>
      </w:r>
    </w:p>
    <w:p>
      <w:pPr>
        <w:spacing w:after="0" w:line="106"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On March 1, 2018, KCAP Funding I, LLC (“Funding”), a wholly-owned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7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w:t>
      </w:r>
    </w:p>
    <w:p>
      <w:pPr>
        <w:spacing w:after="0" w:line="3" w:lineRule="exact"/>
        <w:rPr>
          <w:sz w:val="20"/>
          <w:szCs w:val="20"/>
          <w:color w:val="auto"/>
        </w:rPr>
      </w:pPr>
    </w:p>
    <w:p>
      <w:pPr>
        <w:ind w:left="1260" w:right="859"/>
        <w:spacing w:after="0" w:line="261" w:lineRule="auto"/>
        <w:rPr>
          <w:sz w:val="20"/>
          <w:szCs w:val="20"/>
          <w:color w:val="auto"/>
        </w:rPr>
      </w:pPr>
      <w:r>
        <w:rPr>
          <w:rFonts w:ascii="Times New Roman" w:cs="Times New Roman" w:eastAsia="Times New Roman" w:hAnsi="Times New Roman"/>
          <w:sz w:val="18"/>
          <w:szCs w:val="18"/>
          <w:color w:val="auto"/>
        </w:rPr>
        <w:t>0.375% per annum; provided that if 50% or less of the Revolving Credit Facility is drawn, the fee will be 0.50% per annum.</w:t>
      </w:r>
    </w:p>
    <w:p>
      <w:pPr>
        <w:spacing w:after="0" w:line="7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6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maturity date is the earlier of: (a) March 1, 2022 and (b) the date upon which all loans shall become due and payable in full, whether by acceleration or otherwise, as a result of a default by the Company, as defined in the Revolving Credit Facility.</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BORROWINGS – (continued)</w:t>
      </w: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Borrowings under the Revolving Credit Facility are repayable by the Company at any time.</w:t>
      </w:r>
    </w:p>
    <w:p>
      <w:pPr>
        <w:spacing w:after="0" w:line="117"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December 31, 2018, Funding was in compliance with all of its debt covenants.</w:t>
      </w:r>
    </w:p>
    <w:p>
      <w:pPr>
        <w:spacing w:after="0" w:line="80"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2018, $26.4 million principal amount of borrowings was outstanding under the Revolving Credit Facility.</w:t>
      </w:r>
    </w:p>
    <w:p>
      <w:pPr>
        <w:spacing w:after="0" w:line="54"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Interest on borrowings under the Revolving Credit Facility is paid monthly. Borrowings under the Revolving Credit Facility are subject to redemption in whole or in part at any time or from time to time, at the option of the Funding. Concurrently with any termination of the Revolving Credit Facility before March 1, 2019, Funding will pay to agent an amount equal to 1% of the Revolver Commitments.</w:t>
      </w:r>
    </w:p>
    <w:p>
      <w:pPr>
        <w:spacing w:after="0" w:line="72" w:lineRule="exact"/>
        <w:rPr>
          <w:sz w:val="20"/>
          <w:szCs w:val="20"/>
          <w:color w:val="auto"/>
        </w:rPr>
      </w:pPr>
    </w:p>
    <w:p>
      <w:pPr>
        <w:ind w:left="1260" w:right="1339" w:firstLine="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interest expense related to the Revolving Credit Facility was approximately $994,000.</w:t>
      </w:r>
    </w:p>
    <w:p>
      <w:pPr>
        <w:spacing w:after="0" w:line="54"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The Company incurred approximately $1.5 million of debt offering costs in connection with the issuance of the Revolving Credit Facility, which are being amortized over the expected term of the Revolving Credit Facility, of which approximately $1.2 million remains to be amortized as of December 31, 2018, and is included on the consolidated balance sheets as a reduction in the related debt liability.</w:t>
      </w:r>
    </w:p>
    <w:p>
      <w:pPr>
        <w:spacing w:after="0" w:line="70"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the Revolving Credit Facility. </w:t>
      </w:r>
      <w:r>
        <w:rPr>
          <w:rFonts w:ascii="Times New Roman" w:cs="Times New Roman" w:eastAsia="Times New Roman" w:hAnsi="Times New Roman"/>
          <w:sz w:val="18"/>
          <w:szCs w:val="18"/>
          <w:color w:val="auto"/>
        </w:rPr>
        <w:t>Borrowings under the Revolving Credit Facility are carried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net of unamortized debt offering costs of $1.2 million at December 31, 2018. The fair value of the Revolving Credit Facility borrowings was approximately $26.4 million at December 31, 2018. The fair value was determined based on an analysis of the value of the pledged collateral and the amount of over-collateralization supporting the repayment of these borrowings. The Revolving Credit Facility borrowings are categorized as Level III under the ASC 820 Fair Value.</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7.375% Notes Due 2019</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October 10, 2012, the Company issued $41.4 million in aggregate principal amount of unsecured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7.375% Notes due 2019 (the “7.375% Notes Due 2019”). The net proceeds for these Notes, after the payment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underwriting expenses, were approximately $39.9 million. As of December 31, 2018, there were no 7.375%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 Due 2019 outstanding. Interest on the 7.375% Notes Due 2019 was paid quarterly in arrears on March 30,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30, September 30 and December 30, at a rate of 7.375%, commencing December 30, 2012. The 7.375%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Notes Due 2019 had a maturity date of September, 30, 2019 and were unsecured obligations of the Company. The</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7.375% Notes Due 2019 were subject to redemption in whole or in part at any time or from time to time, at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 of the Company, on or after September 30, 2015, at a redemption price per security equal to 100%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principal amount thereof plus accrued and unpaid interest payments otherwise payable for the then-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quarterly interest period accrued to the date fixed for redemption. In addition, due to the asset coverage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test applicable to the Company as a BDC and a covenant that the Company agreed to in connection with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issuance of the 7.375% Notes Due 2019, the Company was limited in its ability to make distributions in certain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circumstances. The indenture governing the 7.375% Notes Due 2019 contains certain restrictive covenants,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compliance with certain provisions of the 1940 Act relating to borrowing and dividends.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 the Company was in compliance with all of its debt covenants.</w:t>
      </w: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BORROWINGS – (continued)</w:t>
      </w:r>
    </w:p>
    <w:p>
      <w:pPr>
        <w:spacing w:after="0" w:line="202"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For the years ended the years ended December 31, 2018, 2017, and 2016, interest expense related to the 7.375% Notes Due 2019 was approximately $774,000, $2.2 million and $3.1 million, respectively.</w:t>
      </w:r>
    </w:p>
    <w:p>
      <w:pPr>
        <w:spacing w:after="0" w:line="54"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$0 remains to be amortized, and is included on the consolidated balance sheets as a reduction in the related debt liability.</w:t>
      </w:r>
    </w:p>
    <w:p>
      <w:pPr>
        <w:spacing w:after="0" w:line="7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During the second quarter of 2016, the Company repurchased approximately $2.4 million par value of the 7.375% Notes Due 2019 at a weighted average price of $25.23 per $25.00 note, resulting in a realized loss on extinguishment of $71,190. The Company subsequently surrendered these notes to the Trustee for cancellation.</w:t>
      </w:r>
    </w:p>
    <w:p>
      <w:pPr>
        <w:spacing w:after="0" w:line="6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During the third quarter of 2016, $5.0 million par value of the 7.375% Notes Due 2019 was redeemed by the Company, resulting in a realized loss on extinguishment of $88,015. The Company subsequently surrendered these notes to the Trustee for cancellation.</w:t>
      </w:r>
    </w:p>
    <w:p>
      <w:pPr>
        <w:spacing w:after="0" w:line="68"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2016, approximately $469,000 par value of the 7.375% Notes Due 2019 was redeemed by the Company, resulting in a realized loss on extinguishment of approximately $15,000. The Company subsequently surrendered these notes to the Trustee for cancellation.</w:t>
      </w:r>
    </w:p>
    <w:p>
      <w:pPr>
        <w:spacing w:after="0" w:line="6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68"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6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66"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7.375% Notes Due 2019. </w:t>
      </w:r>
      <w:r>
        <w:rPr>
          <w:rFonts w:ascii="Times New Roman" w:cs="Times New Roman" w:eastAsia="Times New Roman" w:hAnsi="Times New Roman"/>
          <w:sz w:val="18"/>
          <w:szCs w:val="18"/>
          <w:color w:val="auto"/>
        </w:rPr>
        <w:t>The 7.375% Notes Due 2019 were issued in a public offering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10, 2012 and are carried at cost, net of offering costs on December 31, 2017 of approximately $260,000. As of December 31, 2017, the fair value of the Company’s outstanding 7.375% Notes Due 2019 was approximately $27.3 million. The fair value was determined based on the closing price on December 31, 2017 for the 7.375% Notes Due 2019. The 7.375% Notes Due 2019 were categorized as Level I under the ASC 820 Fair Value.</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KCAP Senior Funding I, LLC (Debt Securitization)</w:t>
      </w:r>
    </w:p>
    <w:p>
      <w:pPr>
        <w:spacing w:after="0" w:line="106"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owned all of the KCAP Senior Funding I Subordinated Notes (as defined below), backed by a diversified portfolio of bank loans. The indenture governing the KCAP Senior Funding I Notes contained an event of default that is triggered in the event that certain coverage tests are not met.</w:t>
      </w:r>
    </w:p>
    <w:p>
      <w:pPr>
        <w:spacing w:after="0" w:line="81" w:lineRule="exact"/>
        <w:rPr>
          <w:sz w:val="20"/>
          <w:szCs w:val="20"/>
          <w:color w:val="auto"/>
        </w:rPr>
      </w:pPr>
    </w:p>
    <w:p>
      <w:pPr>
        <w:jc w:val="both"/>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All of the KCAP Senior Funding I Class A, B, C and D notes were repaid in the third quarter of 2017. In connection therewith, the Company recorded a realized loss from the extinguishment of debt of approximately $4.0 million in the third quarter of 2017.</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BORROWINGS – (continued)</w:t>
      </w:r>
    </w:p>
    <w:p>
      <w:pPr>
        <w:spacing w:after="0" w:line="202"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For December 31, 2017 and 2016, interest expense related to KCAP Senior Funding I notes, including the amortization of deferred debt issuance costs and the discount on the face amount of the notes was approximately $3.4 million and $5.6 million, respectively, consisting of stated interest expense of approximately $2.7 million and $3.8 million, respectively, accreted discount of approximately $352,000 and $621,000, respectively, and deferred debt issuance costs of approximately $379,000 and $667,000, respectively.</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06"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77"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$2.0 million face value of its own Convertible Notes at a price of $114.50, plus accrued interest. KCAP subsequently surrendered these notes to the Trustee for cancellation effective September 13, 2013. During 2015, the Company repurchased approximately $19.3 million face value of its own Convertible Notes at a price ranging from $101.500 to $102.375. KCAP subsequently surrendered these notes to the Trustee for cancellation. Due to the cash conversion option embedded in the Convertible Notes, the Company applied the guidance in ASC 470-20-40, Debt with Conversion and Other Options and realized a loss on the extinguishment of this debt. The indenture governing the Convertible Notes contains certain restrictive covenants, including compliance with certain provisions of the 1940 Act and conditions governing the undertaking of new debt.</w:t>
      </w:r>
    </w:p>
    <w:p>
      <w:pPr>
        <w:spacing w:after="0" w:line="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Convertible Notes matured and were fully repaid on March 15, 2016.</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2016, interest expense related to the Convertible Notes was $378,000.</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DISTRIBUTABLE TAXABLE INCOME</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2018).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DISTRIBUTABLE TAXABLE INCOME – (continued)</w:t>
      </w:r>
    </w:p>
    <w:p>
      <w:pPr>
        <w:spacing w:after="0" w:line="202"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Book and tax basis differences relating to stockholder dividends and distributions and other permanent book and tax differences are typically reclassified among the Company’s capital accounts. In addition, the character of income and gains to be distributed is determined in accordance with income tax regulations that may differ from GAAP; accordingly at calendar years ended December 31, 2018 and 2017, the Company reclassified for book purposes amounts arising from permanent book/tax differences related to the tax treatment of return of capital distributions and non-deductible expenses, as follows:</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6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7"/>
                <w:szCs w:val="17"/>
                <w:color w:val="auto"/>
              </w:rPr>
            </w:pPr>
          </w:p>
        </w:tc>
      </w:tr>
      <w:tr>
        <w:trPr>
          <w:trHeight w:val="24"/>
        </w:trPr>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(18,021,247)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(13,199,386)</w:t>
            </w:r>
          </w:p>
        </w:tc>
        <w:tc>
          <w:tcPr>
            <w:tcW w:w="60" w:type="dxa"/>
            <w:vAlign w:val="bottom"/>
          </w:tcPr>
          <w:p>
            <w:pPr>
              <w:spacing w:after="0"/>
              <w:rPr>
                <w:sz w:val="21"/>
                <w:szCs w:val="21"/>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undistributed net investment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158,263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(281,754)</w:t>
            </w:r>
          </w:p>
        </w:tc>
      </w:tr>
      <w:tr>
        <w:trPr>
          <w:trHeight w:val="25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realized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17,862,984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13,481,140</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-496570</wp:posOffset>
            </wp:positionV>
            <wp:extent cx="45878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17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following reconciles net increase in net assets resulting from operations to taxable income for the year ended December 31, 2018 and 2017:</w:t>
      </w:r>
    </w:p>
    <w:p>
      <w:pPr>
        <w:spacing w:after="0" w:line="7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
        </w:trPr>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(9,571,546)</w:t>
            </w:r>
          </w:p>
        </w:tc>
        <w:tc>
          <w:tcPr>
            <w:tcW w:w="2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3,388,082</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appreciation from investments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2,903,994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(3,389,993)</w:t>
            </w:r>
          </w:p>
        </w:tc>
      </w:tr>
      <w:tr>
        <w:trPr>
          <w:trHeight w:val="25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16,672,029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11,021,043</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Book tax differences on CLO equity investments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(2,953,177)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(5,915,827)</w:t>
            </w:r>
          </w:p>
        </w:tc>
      </w:tr>
      <w:tr>
        <w:trPr>
          <w:trHeight w:val="27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book tax differences</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2,141,677</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932,378</w:t>
            </w:r>
          </w:p>
        </w:tc>
      </w:tr>
      <w:tr>
        <w:trPr>
          <w:trHeight w:val="20"/>
        </w:trPr>
        <w:tc>
          <w:tcPr>
            <w:tcW w:w="5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31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Taxable income before deductions for distributions</w:t>
            </w:r>
          </w:p>
        </w:tc>
        <w:tc>
          <w:tcPr>
            <w:tcW w:w="34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9,192,977</w:t>
            </w:r>
          </w:p>
        </w:tc>
        <w:tc>
          <w:tcPr>
            <w:tcW w:w="2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6,035,683</w:t>
            </w:r>
          </w:p>
        </w:tc>
      </w:tr>
      <w:tr>
        <w:trPr>
          <w:trHeight w:val="185"/>
        </w:trPr>
        <w:tc>
          <w:tcPr>
            <w:tcW w:w="54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Taxable income before deductions for distributions per weighted average</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48"/>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shares for the period</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0.16</w:t>
            </w: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Taxable income before deductions for distributions per weighted average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shares for the period</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-1637030</wp:posOffset>
            </wp:positionV>
            <wp:extent cx="447675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191" w:lineRule="exact"/>
        <w:rPr>
          <w:sz w:val="20"/>
          <w:szCs w:val="20"/>
          <w:color w:val="auto"/>
        </w:rPr>
      </w:pPr>
    </w:p>
    <w:p>
      <w:pPr>
        <w:ind w:left="1260" w:right="779" w:firstLine="360"/>
        <w:spacing w:after="0" w:line="253" w:lineRule="auto"/>
        <w:rPr>
          <w:sz w:val="20"/>
          <w:szCs w:val="20"/>
          <w:color w:val="auto"/>
        </w:rPr>
      </w:pPr>
      <w:r>
        <w:rPr>
          <w:rFonts w:ascii="Times New Roman" w:cs="Times New Roman" w:eastAsia="Times New Roman" w:hAnsi="Times New Roman"/>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years ended the years ended December 31, 2018, 2017, and 2016, the Asset Manager Affiliates declared cash distributions of approximately $36.0 million $3.2 million, and $2.7 million to the Company, respectively. The Company recognized approximately</w:t>
      </w:r>
    </w:p>
    <w:p>
      <w:pPr>
        <w:spacing w:after="0" w:line="4" w:lineRule="exact"/>
        <w:rPr>
          <w:sz w:val="20"/>
          <w:szCs w:val="20"/>
          <w:color w:val="auto"/>
        </w:rPr>
      </w:pPr>
    </w:p>
    <w:p>
      <w:pPr>
        <w:ind w:left="1260" w:right="799"/>
        <w:spacing w:after="0" w:line="252" w:lineRule="auto"/>
        <w:rPr>
          <w:sz w:val="20"/>
          <w:szCs w:val="20"/>
          <w:color w:val="auto"/>
        </w:rPr>
      </w:pPr>
      <w:r>
        <w:rPr>
          <w:rFonts w:ascii="Times New Roman" w:cs="Times New Roman" w:eastAsia="Times New Roman" w:hAnsi="Times New Roman"/>
          <w:sz w:val="18"/>
          <w:szCs w:val="18"/>
          <w:color w:val="auto"/>
        </w:rPr>
        <w:t>$1.2 million, $460,000 and $1.4 million, respectively, of dividends from Asset Manager Affiliates in the Consolidated Statement of Operations for the years ended the years ended December 31, 2018, 2017, and 2016. The difference of $34.8 million, $2.8 million, and $1.3 million, respectively, between cash distributions received and the tax-basis earnings and profits of the distributing affiliate, are recorded as an adjustment to the cost basis in the Asset Manager Affiliate (i.e.tax-basis return of capital), for the years ended the years ended December 31, 2018, 2017, and 2016, respectively.</w:t>
      </w:r>
    </w:p>
    <w:p>
      <w:pPr>
        <w:spacing w:after="0" w:line="82"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2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DISTRIBUTABLE TAXABLE INCOME – (continued)</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6"/>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7"/>
                <w:szCs w:val="17"/>
                <w:color w:val="auto"/>
              </w:rPr>
            </w:pPr>
          </w:p>
        </w:tc>
        <w:tc>
          <w:tcPr>
            <w:tcW w:w="9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Distributions paid from:</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9,192,977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6,035,683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$14,761,679</w:t>
            </w:r>
          </w:p>
        </w:tc>
      </w:tr>
      <w:tr>
        <w:trPr>
          <w:trHeight w:val="263"/>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5,688,770</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11,736,777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7,307,578</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14,881,747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17,772,460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22,069,257</w:t>
            </w: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-702310</wp:posOffset>
            </wp:positionV>
            <wp:extent cx="1371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-702310</wp:posOffset>
            </wp:positionV>
            <wp:extent cx="391033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2018 and 2017, the components of accumulated earnings on a tax basis were as follows: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5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7"/>
                <w:szCs w:val="17"/>
                <w:color w:val="auto"/>
              </w:rPr>
            </w:pPr>
          </w:p>
        </w:tc>
      </w:tr>
      <w:tr>
        <w:trPr>
          <w:trHeight w:val="24"/>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loss carryforward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(86,744,479)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(88,590,153)</w:t>
            </w:r>
          </w:p>
        </w:tc>
        <w:tc>
          <w:tcPr>
            <w:tcW w:w="60" w:type="dxa"/>
            <w:vAlign w:val="bottom"/>
          </w:tcPr>
          <w:p>
            <w:pPr>
              <w:spacing w:after="0"/>
              <w:rPr>
                <w:sz w:val="21"/>
                <w:szCs w:val="21"/>
                <w:color w:val="auto"/>
              </w:rPr>
            </w:pP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(1,264,153)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(1,155,193)</w:t>
            </w:r>
          </w:p>
        </w:tc>
      </w:tr>
      <w:tr>
        <w:trPr>
          <w:trHeight w:val="25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(61,128,013)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(58,613,185)</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-496570</wp:posOffset>
            </wp:positionV>
            <wp:extent cx="41249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191"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At December 31, 2018, the Company had a net capital loss carryforward of approximately $86.8 million to offset net capital gains. This net capital loss carryforward is not subject to expiration.</w:t>
      </w:r>
    </w:p>
    <w:p>
      <w:pPr>
        <w:spacing w:after="0" w:line="54"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On December 12, 2018, the Company’s Board of Directors declared a distribution to shareholders of $0.10 per share for a total of approximately $3.7 million. The record date was January 7, 2019 and the distribution was paid on January 31, 2019.</w:t>
      </w:r>
    </w:p>
    <w:p>
      <w:pPr>
        <w:spacing w:after="0" w:line="68"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94"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2018 and December 31, 2017, the Company had $12.9 million and $0 commitments to fund investments, respectively.</w:t>
      </w:r>
    </w:p>
    <w:p>
      <w:pPr>
        <w:spacing w:after="0" w:line="81"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On November 27, 2018, the Company and BCP Great Lakes Fund LP, a Cayman Islands exempted limited partnership (“Great Lakes”) managed by BCP Great Lakes GP LP (“Great Lakes GP”), entered into a subscription agreement pursuant to which the Company agreed to make aggregate capital</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COMMITMENTS AND CONTINGENCIES – (continued)</w:t>
      </w:r>
    </w:p>
    <w:p>
      <w:pPr>
        <w:spacing w:after="0" w:line="202" w:lineRule="exact"/>
        <w:rPr>
          <w:sz w:val="20"/>
          <w:szCs w:val="20"/>
          <w:color w:val="auto"/>
        </w:rPr>
      </w:pPr>
    </w:p>
    <w:p>
      <w:pPr>
        <w:ind w:left="1260" w:right="779"/>
        <w:spacing w:after="0" w:line="254" w:lineRule="auto"/>
        <w:rPr>
          <w:sz w:val="20"/>
          <w:szCs w:val="20"/>
          <w:color w:val="auto"/>
        </w:rPr>
      </w:pPr>
      <w:r>
        <w:rPr>
          <w:rFonts w:ascii="Times New Roman" w:cs="Times New Roman" w:eastAsia="Times New Roman" w:hAnsi="Times New Roman"/>
          <w:sz w:val="18"/>
          <w:szCs w:val="18"/>
          <w:color w:val="auto"/>
        </w:rPr>
        <w:t>contributions to Great Lakes of $25 million. As of December 31, 2018, the Company has invested approximately $12.5 million in Great Lakes. In addition, on November 27, 2018, the Company and Great Lakes GP entered into a letter agreement (the “Great Lakes Fee Letter”), pursuant to which the Company and Great Lakes GP have agreed that (i) if the Closing occurs, all accrued fees otherwise payable in connection with the Company’s investment in Great Lakes will be waived, and thereafter the Company will pay no management fees in connection with its investment in Great Lakes, and (ii) if the Closing does not occur, the Company will be obligated pay the management fee applicable to Great Lakes investors generally, and a portion of those management fees ($1 million) will be paid in advance and thereafter credited against the management fees that subsequently accrue.</w:t>
      </w:r>
    </w:p>
    <w:p>
      <w:pPr>
        <w:spacing w:after="0" w:line="81" w:lineRule="exact"/>
        <w:rPr>
          <w:sz w:val="20"/>
          <w:szCs w:val="20"/>
          <w:color w:val="auto"/>
        </w:rPr>
      </w:pPr>
    </w:p>
    <w:p>
      <w:pPr>
        <w:ind w:left="1260" w:right="839" w:firstLine="360"/>
        <w:spacing w:after="0" w:line="253" w:lineRule="auto"/>
        <w:rPr>
          <w:sz w:val="20"/>
          <w:szCs w:val="20"/>
          <w:color w:val="auto"/>
        </w:rPr>
      </w:pPr>
      <w:r>
        <w:rPr>
          <w:rFonts w:ascii="Times New Roman" w:cs="Times New Roman" w:eastAsia="Times New Roman" w:hAnsi="Times New Roman"/>
          <w:sz w:val="18"/>
          <w:szCs w:val="18"/>
          <w:color w:val="auto"/>
        </w:rPr>
        <w:t>On December 12, 2018, the Company and BCP entered into a letter agreement (the “Asset Purchase Letter Agreement”) pursuant to which each of the Company and BCP agreed to use its commercially reasonable efforts to effect the sale by BCP (or its affiliates or advisory clients of its affiliates), in one or more transactions, of certain assets held by BCP (or its affiliates or advisory clients thereof) that, taken together, have an aggregate principal amount of approximately $75 million, less the aggregate amount of capital contributions made by the Company to Great Lakes. As of December 31, 2018, the Company has purchased or entered into agreements to purchase loans for an aggregate purchase price of approximately $8 million. If the Closing does not occur, BCP may, at its option, repurchase (or cause its affiliate or fund it manages to repurchase) some or all of the Investment Assets previously purchased by the Company at a purchase price equal to (i) the fair market value of such Purchased Asset as reported by the Company in its then-most recent Form 10-K or Form 10-Q (as applicable), or (ii) if such fair market value has not yet been reported, the cost of such Investment Asset when sold to the Company, and in the case of each of clauses (i) and (ii), without additional interest, fees or other charges.</w:t>
      </w:r>
    </w:p>
    <w:p>
      <w:pPr>
        <w:spacing w:after="0" w:line="81" w:lineRule="exact"/>
        <w:rPr>
          <w:sz w:val="20"/>
          <w:szCs w:val="20"/>
          <w:color w:val="auto"/>
        </w:rPr>
      </w:pPr>
    </w:p>
    <w:p>
      <w:pPr>
        <w:jc w:val="both"/>
        <w:ind w:left="1260" w:right="1039" w:firstLine="360"/>
        <w:spacing w:after="0" w:line="258" w:lineRule="auto"/>
        <w:rPr>
          <w:sz w:val="20"/>
          <w:szCs w:val="20"/>
          <w:color w:val="auto"/>
        </w:rPr>
      </w:pPr>
      <w:r>
        <w:rPr>
          <w:rFonts w:ascii="Times New Roman" w:cs="Times New Roman" w:eastAsia="Times New Roman" w:hAnsi="Times New Roman"/>
          <w:sz w:val="18"/>
          <w:szCs w:val="18"/>
          <w:color w:val="auto"/>
        </w:rPr>
        <w:t>In the fourth quarter of 2018, the Company undertook the commitments under a lease obligation for its office space. Such obligation was previously with Katonah Debt Advisors. During 2018, 2017 and 2016, the Company and the Asset Manager Affiliates shared the cost of such lease pursuant to an Overhead Allocation agreement. The Company’s portion of rent expense was approximately $380,000, $378,000, and $361,000 for the years ended December 31, 2018, 2017 and 2016 respectively.</w:t>
      </w:r>
    </w:p>
    <w:p>
      <w:pPr>
        <w:spacing w:after="0" w:line="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following table summarizes the future minimum lease payments as of December 31, 2018:</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90"/>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7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4"/>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$774,781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$800,436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$800,436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$800,436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$800,436</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$333,515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-170815</wp:posOffset>
            </wp:positionV>
            <wp:extent cx="13716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-170815</wp:posOffset>
            </wp:positionV>
            <wp:extent cx="1371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-170815</wp:posOffset>
            </wp:positionV>
            <wp:extent cx="1371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-170815</wp:posOffset>
            </wp:positionV>
            <wp:extent cx="13716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-170815</wp:posOffset>
            </wp:positionV>
            <wp:extent cx="1371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-170815</wp:posOffset>
            </wp:positionV>
            <wp:extent cx="12001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years ended December 31, 2018, 2017 and 2016 the Company issued 64,671, 96,468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174,396 shares, respectively, of common stock under its dividend reinvestment plan. For the year 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 the Company issued 6,000 shares of restricted stock, 56,368 shares were forfeited,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122,878 shares vested. The total number of shares of the Company’s common stock outstanding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 and 2017 was 37,326,846 and 37,339,224, respectively. During the year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2018, 2017 and 2016, the Company repurchased 26,681, 64,176 and 67,654 shares at an aggregate cost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$86,000, $225,000 and $248,000 in connection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EQUITY COMPENSATION PLANS</w:t>
      </w:r>
    </w:p>
    <w:p>
      <w:pPr>
        <w:spacing w:after="0" w:line="108"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The Company has an equity incentive plan, established in 2006 and most recently amended, following approval by the Company’s Board of Directors and shareholders, on May 4, 2017 (the “Equity Incentive Plan”). The Company reserved 2,000,000 shares of common stock for issuance under the Equity Incentive Plan. Pursuant to the Equity Incentive Plan and in accordance with the terms of the exemptive relief granted to the Company in August 2008, the Company aims to provide officers and employees of the Company with additional incentives and align the interests of its employees with those of its shareholders. Restricted stock granted under the Equity Incentive Plan is granted at a price equal to the fair market value (market closing price) of the shares on the day such restricted stock is granted. Options granted under the Equity Incentive Plan are exercisable at a price equal to the fair market value (market closing price) of the shares on the day the option is granted. Restricted stock granted pursuant to the Equity Incentive Plan in 2013 vested in two equal installments of 50% on each of the third and the fourth anniversaries of the grant date. Restricted Stock granted pursuant to the Equity Incentive Plan in 2014 and 2015 vests in four equal installments of 25% on each of the first four anniversaries of the grant date. Restricted Stock granted pursuant to the Equity Incentive Plan in 2017 will vest in two equal installments of 50% on each of the third and the fourth anniversaries of the grant date.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Pursuant to the Non-Employee Director Plan, the Company’s independent directors and other directors who are not officers or employees of the Company (“Non-Employee Directors”) may be issued restricted stock as a portion of their compensation for service on the Company’s Board of Directors in accordance with the terms of exemptive relief granted by the SEC in August 2008. Since implementation of the 2011 Plan, the Company is permitted to issue restricted stock, and is no longer permitted to issue any options for common stock, of the Company to Non-Employee Directors. Any options outstanding as of the date of the 2011 Annual Shareholder Meeting are governed in all respects by the terms of the 2008 Plan. Under the Non-Employee Director Plan, the Non-Employee Directors automatically receive 1,000 shares of restricted stock on the date of each annual meeting of shareholders during the term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EQUITY COMPENSATION PLANS – (continued)</w:t>
      </w:r>
    </w:p>
    <w:p>
      <w:pPr>
        <w:spacing w:after="0" w:line="20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Information with respect to options granted, exercised and forfeited under the Non-Employee Director Plan for the period January 1, 2017 through December 31, 2018 is as follows:</w:t>
      </w:r>
    </w:p>
    <w:p>
      <w:pPr>
        <w:spacing w:after="0" w:line="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2017</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2017</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unexercised</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11.97</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11.97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7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vested at December 31, 2018</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-376555</wp:posOffset>
            </wp:positionV>
            <wp:extent cx="521398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-1388745</wp:posOffset>
            </wp:positionV>
            <wp:extent cx="521398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-2057400</wp:posOffset>
            </wp:positionV>
            <wp:extent cx="13716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-2057400</wp:posOffset>
            </wp:positionV>
            <wp:extent cx="13716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-2057400</wp:posOffset>
            </wp:positionV>
            <wp:extent cx="343027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302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20" w:right="919" w:hanging="352"/>
        <w:spacing w:after="0" w:line="282"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market value of shares of the Company and the exercise price of the options.</w:t>
      </w:r>
    </w:p>
    <w:p>
      <w:pPr>
        <w:spacing w:after="0" w:line="5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Company uses a Binary Option Pricing Model (American, call option) to establish the expected value of all stock option grants. For the years ended December 31, 2018, 2017 and 2016 the Company did not recognize any non-cash compensation expense related to stock options. At December 31, 2018, the Company had no remaining compensation costs related to unvested stock based awards.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06"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Awards of restricted stock granted under the Non-Employee Director Plan vest as follows: 50% of the shares vest on the grant date and the remaining 50% of the shares vest on the earlier of:</w:t>
      </w:r>
    </w:p>
    <w:p>
      <w:pPr>
        <w:spacing w:after="0" w:line="54" w:lineRule="exact"/>
        <w:rPr>
          <w:sz w:val="20"/>
          <w:szCs w:val="20"/>
          <w:color w:val="auto"/>
        </w:rPr>
      </w:pPr>
    </w:p>
    <w:p>
      <w:pPr>
        <w:ind w:left="1840" w:hanging="212"/>
        <w:spacing w:after="0"/>
        <w:tabs>
          <w:tab w:leader="none" w:pos="1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such grant, or</w:t>
      </w:r>
    </w:p>
    <w:p>
      <w:pPr>
        <w:spacing w:after="0" w:line="117"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immediately preceding the next annual meeting of shareholders.</w:t>
      </w:r>
    </w:p>
    <w:p>
      <w:pPr>
        <w:spacing w:after="0" w:line="117"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On May 5, 2013, the Company’s Board of Directors approved the grant of 240,741 shares of restricted stock to the employees of the Company as partial compensation for their services. 50% of such awards vested on each of the third and fourth anniversaries of the grant date.</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June 14, 2013, 5,000 shares of restricted stock were awarded to the Company’s Board of Directors.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May 5, 2014, 5,000 shares of restricted stock were awarded to the Company’s Board of Directors.</w:t>
      </w:r>
    </w:p>
    <w:p>
      <w:pPr>
        <w:spacing w:after="0" w:line="117"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May 21, 2015, 6,000 shares of restricted stock were awarded to the Company’s Board of Directors.</w:t>
      </w:r>
    </w:p>
    <w:p>
      <w:pPr>
        <w:spacing w:after="0" w:line="2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EQUITY COMPENSATION PLANS – (continued)</w:t>
      </w: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May 3, 2016, 6,000 shares of restricted stock were awarded to the Company’s Board of Directors.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May 4, 2017, 6,000 shares of restricted stock were awarded to the Company’s Board of Directors.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May 3, 2018, 6,000 shares of restricted stock were awarded to the Company’s Board of Directors.</w:t>
      </w:r>
    </w:p>
    <w:p>
      <w:pPr>
        <w:spacing w:after="0" w:line="117"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Awards of restricted stock granted under the Equity Incentive Plan vest in accordance with the terms and conditions of each grant, as determined by the Company’s Board of Directors.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June 16, 2015, the Company received exemptive relief to repurchase shares of its common stock from its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employees in connection with certain equity compensation plan arrangements. During the years 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 2017 and 2016, the Company repurchased 26,681, 64,176 and 67,654 shares, respectively,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at an aggregate cost of approximately $86,000, $225,000 and $248,000, respectively,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connection with the vesting of employee’s restricted stock. These shares are not available to be reissued under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Equity Incentive Plan.</w:t>
      </w:r>
    </w:p>
    <w:p>
      <w:pPr>
        <w:spacing w:after="0" w:line="99" w:lineRule="exact"/>
        <w:rPr>
          <w:sz w:val="20"/>
          <w:szCs w:val="20"/>
          <w:color w:val="auto"/>
        </w:rPr>
      </w:pPr>
    </w:p>
    <w:p>
      <w:pPr>
        <w:ind w:left="1260" w:right="779" w:firstLine="360"/>
        <w:spacing w:after="0" w:line="289" w:lineRule="auto"/>
        <w:rPr>
          <w:sz w:val="20"/>
          <w:szCs w:val="20"/>
          <w:color w:val="auto"/>
        </w:rPr>
      </w:pPr>
      <w:r>
        <w:rPr>
          <w:rFonts w:ascii="Times New Roman" w:cs="Times New Roman" w:eastAsia="Times New Roman" w:hAnsi="Times New Roman"/>
          <w:sz w:val="17"/>
          <w:szCs w:val="17"/>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5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Equity Incentive Plan.</w:t>
      </w:r>
    </w:p>
    <w:p>
      <w:pPr>
        <w:spacing w:after="0" w:line="6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On September 19, 2017, the Company’s Board of Directors approved the grant of 133,620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no grants of restricted stock to employees in 2018.</w:t>
      </w:r>
    </w:p>
    <w:p>
      <w:pPr>
        <w:spacing w:after="0" w:line="117"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Information with respect to restricted stock granted, exercised and forfeited under the Equity Incentive Plan for the from period January 1, 2017 through December 31, 2018 is as follows:</w:t>
      </w:r>
    </w:p>
    <w:p>
      <w:pPr>
        <w:spacing w:after="0" w:line="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Non-Vested</w:t>
            </w:r>
          </w:p>
        </w:tc>
      </w:tr>
      <w:tr>
        <w:trPr>
          <w:trHeight w:val="162"/>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r>
      <w:tr>
        <w:trPr>
          <w:trHeight w:val="190"/>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4"/>
        </w:trPr>
        <w:tc>
          <w:tcPr>
            <w:tcW w:w="7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outstanding at January 1, 2017</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411,479</w:t>
            </w:r>
          </w:p>
        </w:tc>
        <w:tc>
          <w:tcPr>
            <w:tcW w:w="20" w:type="dxa"/>
            <w:vAlign w:val="bottom"/>
          </w:tcPr>
          <w:p>
            <w:pPr>
              <w:spacing w:after="0"/>
              <w:rPr>
                <w:sz w:val="21"/>
                <w:szCs w:val="21"/>
                <w:color w:val="auto"/>
              </w:rPr>
            </w:pPr>
          </w:p>
        </w:tc>
      </w:tr>
      <w:tr>
        <w:trPr>
          <w:trHeight w:val="25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139,620</w:t>
            </w:r>
          </w:p>
        </w:tc>
        <w:tc>
          <w:tcPr>
            <w:tcW w:w="20" w:type="dxa"/>
            <w:vAlign w:val="bottom"/>
          </w:tcPr>
          <w:p>
            <w:pPr>
              <w:spacing w:after="0"/>
              <w:rPr>
                <w:sz w:val="22"/>
                <w:szCs w:val="22"/>
                <w:color w:val="auto"/>
              </w:rPr>
            </w:pPr>
          </w:p>
        </w:tc>
      </w:tr>
      <w:tr>
        <w:trPr>
          <w:trHeight w:val="257"/>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(242,918)</w:t>
            </w:r>
          </w:p>
        </w:tc>
        <w:tc>
          <w:tcPr>
            <w:tcW w:w="20" w:type="dxa"/>
            <w:vAlign w:val="bottom"/>
          </w:tcPr>
          <w:p>
            <w:pPr>
              <w:spacing w:after="0"/>
              <w:rPr>
                <w:sz w:val="22"/>
                <w:szCs w:val="22"/>
                <w:color w:val="auto"/>
              </w:rPr>
            </w:pPr>
          </w:p>
        </w:tc>
      </w:tr>
      <w:tr>
        <w:trPr>
          <w:trHeight w:val="26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(10,982)</w:t>
            </w:r>
          </w:p>
        </w:tc>
      </w:tr>
      <w:tr>
        <w:trPr>
          <w:trHeight w:val="257"/>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outstanding at December 31, 2017</w:t>
            </w:r>
          </w:p>
        </w:tc>
        <w:tc>
          <w:tcPr>
            <w:tcW w:w="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297,199</w:t>
            </w:r>
          </w:p>
        </w:tc>
        <w:tc>
          <w:tcPr>
            <w:tcW w:w="20" w:type="dxa"/>
            <w:vAlign w:val="bottom"/>
          </w:tcPr>
          <w:p>
            <w:pPr>
              <w:spacing w:after="0"/>
              <w:rPr>
                <w:sz w:val="22"/>
                <w:szCs w:val="22"/>
                <w:color w:val="auto"/>
              </w:rPr>
            </w:pPr>
          </w:p>
        </w:tc>
      </w:tr>
      <w:tr>
        <w:trPr>
          <w:trHeight w:val="25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22"/>
                <w:szCs w:val="22"/>
                <w:color w:val="auto"/>
              </w:rPr>
            </w:pPr>
          </w:p>
        </w:tc>
      </w:tr>
      <w:tr>
        <w:trPr>
          <w:trHeight w:val="257"/>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(122,878)</w:t>
            </w:r>
          </w:p>
        </w:tc>
        <w:tc>
          <w:tcPr>
            <w:tcW w:w="20" w:type="dxa"/>
            <w:vAlign w:val="bottom"/>
          </w:tcPr>
          <w:p>
            <w:pPr>
              <w:spacing w:after="0"/>
              <w:rPr>
                <w:sz w:val="22"/>
                <w:szCs w:val="22"/>
                <w:color w:val="auto"/>
              </w:rPr>
            </w:pPr>
          </w:p>
        </w:tc>
      </w:tr>
      <w:tr>
        <w:trPr>
          <w:trHeight w:val="26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(56,368)</w:t>
            </w:r>
          </w:p>
        </w:tc>
      </w:tr>
      <w:tr>
        <w:trPr>
          <w:trHeight w:val="257"/>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outstanding at December 31, 2018</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123,953</w:t>
            </w:r>
          </w:p>
        </w:tc>
        <w:tc>
          <w:tcPr>
            <w:tcW w:w="20" w:type="dxa"/>
            <w:vAlign w:val="bottom"/>
          </w:tcPr>
          <w:p>
            <w:pPr>
              <w:spacing w:after="0"/>
              <w:rPr>
                <w:sz w:val="22"/>
                <w:szCs w:val="22"/>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-865505</wp:posOffset>
            </wp:positionV>
            <wp:extent cx="521398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-1534160</wp:posOffset>
            </wp:positionV>
            <wp:extent cx="47421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91" w:lineRule="exact"/>
        <w:rPr>
          <w:sz w:val="20"/>
          <w:szCs w:val="20"/>
          <w:color w:val="auto"/>
        </w:rPr>
      </w:pPr>
    </w:p>
    <w:p>
      <w:pPr>
        <w:ind w:left="1260" w:right="1179" w:firstLine="3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non-cash compensation expense related to restricted stock was approximately $548,000 of this amount approximately $248,000 was expensed at the Company and approximately $300,000 was a reimbursable expense allocated to the Asset Manager Affiliates. For the year ended December 31, 2017, non-cash compensation expense related to restricted stock was approximately $1.1 million; of this amount approximately $425,000 was expensed at the Company and approximately</w:t>
      </w:r>
    </w:p>
    <w:p>
      <w:pPr>
        <w:spacing w:after="0" w:line="2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EQUITY COMPENSATION PLANS – (continued)</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$704,000 was a reimbursable expense allocated to the Asset Manager Affiliates. For the year ended</w:t>
      </w:r>
    </w:p>
    <w:p>
      <w:pPr>
        <w:spacing w:after="0" w:line="27" w:lineRule="exact"/>
        <w:rPr>
          <w:sz w:val="20"/>
          <w:szCs w:val="20"/>
          <w:color w:val="auto"/>
        </w:rPr>
      </w:pPr>
    </w:p>
    <w:p>
      <w:pPr>
        <w:ind w:left="1260" w:right="879"/>
        <w:spacing w:after="0" w:line="255" w:lineRule="auto"/>
        <w:rPr>
          <w:sz w:val="20"/>
          <w:szCs w:val="20"/>
          <w:color w:val="auto"/>
        </w:rPr>
      </w:pPr>
      <w:r>
        <w:rPr>
          <w:rFonts w:ascii="Times New Roman" w:cs="Times New Roman" w:eastAsia="Times New Roman" w:hAnsi="Times New Roman"/>
          <w:sz w:val="18"/>
          <w:szCs w:val="18"/>
          <w:color w:val="auto"/>
        </w:rPr>
        <w:t>December 31, 2016, non-cash compensation expense related to restricted stock was approximately $1.6 million; of this amount approximately $659,000 was expensed at the Company and approximately $909,000 was a reimbursable expense allocated to the Asset Manager Affiliates.</w:t>
      </w:r>
    </w:p>
    <w:p>
      <w:pPr>
        <w:spacing w:after="0" w:line="78"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Distributions are paid on all outstanding shares of restricted stock, whether or not vested. In general, shares of unvested restricted stock are forfeited upon the recipient’s termination of employment. At December 31, 2018 and 2017, the Company had approximately $297,000 and $1.1 million of total unrecognized compensation cost related to non-vested restricted share awards, respectively. That cost is expected to be recognized over the remaining weighted average period of 2 years.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OTHER EMPLOYEE COMPENSATION</w:t>
      </w:r>
    </w:p>
    <w:p>
      <w:pPr>
        <w:spacing w:after="0" w:line="108" w:lineRule="exact"/>
        <w:rPr>
          <w:sz w:val="20"/>
          <w:szCs w:val="20"/>
          <w:color w:val="auto"/>
        </w:rPr>
      </w:pPr>
    </w:p>
    <w:p>
      <w:pPr>
        <w:ind w:left="1260" w:right="759" w:firstLine="360"/>
        <w:spacing w:after="0" w:line="269" w:lineRule="auto"/>
        <w:rPr>
          <w:sz w:val="20"/>
          <w:szCs w:val="20"/>
          <w:color w:val="auto"/>
        </w:rPr>
      </w:pPr>
      <w:r>
        <w:rPr>
          <w:rFonts w:ascii="Times New Roman" w:cs="Times New Roman" w:eastAsia="Times New Roman" w:hAnsi="Times New Roman"/>
          <w:sz w:val="17"/>
          <w:szCs w:val="17"/>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$44,000, $65,000, and $19,000 was expensed during</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years ended December 31, 2018, 2017, and 2016, respectively, related to the 401K Plan.</w:t>
      </w:r>
    </w:p>
    <w:p>
      <w:pPr>
        <w:spacing w:after="0" w:line="99"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$127,000, $185,000 and $184,000 was expensed during the years ended December 31, 2018, 2017, and 2016, respectively, related to the Profit-Sharing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KCAP Financial, Inc.</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SELECTED QUARTERLY DATA (Unaudited)</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11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Q2 2018</w:t>
            </w:r>
          </w:p>
        </w:tc>
        <w:tc>
          <w:tcPr>
            <w:tcW w:w="140" w:type="dxa"/>
            <w:vAlign w:val="bottom"/>
          </w:tcPr>
          <w:p>
            <w:pPr>
              <w:spacing w:after="0"/>
              <w:rPr>
                <w:sz w:val="16"/>
                <w:szCs w:val="16"/>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160" w:type="dxa"/>
            <w:vAlign w:val="bottom"/>
          </w:tcPr>
          <w:p>
            <w:pPr>
              <w:spacing w:after="0"/>
              <w:rPr>
                <w:sz w:val="16"/>
                <w:szCs w:val="16"/>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Q4 2018</w:t>
            </w:r>
          </w:p>
        </w:tc>
      </w:tr>
      <w:tr>
        <w:trPr>
          <w:trHeight w:val="24"/>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related portfolio income</w:t>
            </w: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$6,826,477</w:t>
            </w: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$ 6,848,443</w:t>
            </w:r>
          </w:p>
        </w:tc>
        <w:tc>
          <w:tcPr>
            <w:tcW w:w="8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$7,158,750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6,253,124</w:t>
            </w:r>
          </w:p>
        </w:tc>
        <w:tc>
          <w:tcPr>
            <w:tcW w:w="60" w:type="dxa"/>
            <w:vAlign w:val="bottom"/>
          </w:tcPr>
          <w:p>
            <w:pPr>
              <w:spacing w:after="0"/>
              <w:rPr>
                <w:sz w:val="21"/>
                <w:szCs w:val="21"/>
                <w:color w:val="auto"/>
              </w:rPr>
            </w:pPr>
          </w:p>
        </w:tc>
      </w:tr>
      <w:tr>
        <w:trPr>
          <w:trHeight w:val="25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$2,460,742</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$ 2,528,920</w:t>
            </w:r>
          </w:p>
        </w:tc>
        <w:tc>
          <w:tcPr>
            <w:tcW w:w="80" w:type="dxa"/>
            <w:vAlign w:val="bottom"/>
          </w:tcPr>
          <w:p>
            <w:pPr>
              <w:spacing w:after="0"/>
              <w:rPr>
                <w:sz w:val="22"/>
                <w:szCs w:val="22"/>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$2,954,529</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2,060,286</w:t>
            </w:r>
          </w:p>
        </w:tc>
      </w:tr>
      <w:tr>
        <w:trPr>
          <w:trHeight w:val="22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$2,609,394</w:t>
            </w: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$(1,311,771)</w:t>
            </w:r>
          </w:p>
        </w:tc>
        <w:tc>
          <w:tcPr>
            <w:tcW w:w="8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$1,348,849</w:t>
            </w:r>
          </w:p>
        </w:tc>
        <w:tc>
          <w:tcPr>
            <w:tcW w:w="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$(12,218,016)</w:t>
            </w:r>
          </w:p>
        </w:tc>
        <w:tc>
          <w:tcPr>
            <w:tcW w:w="60" w:type="dxa"/>
            <w:vAlign w:val="bottom"/>
          </w:tcPr>
          <w:p>
            <w:pPr>
              <w:spacing w:after="0"/>
              <w:rPr>
                <w:sz w:val="21"/>
                <w:szCs w:val="2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per share – basic and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5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per share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8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 – 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r>
      <w:tr>
        <w:trPr>
          <w:trHeight w:val="27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share –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23"/>
                <w:szCs w:val="23"/>
                <w:color w:val="auto"/>
              </w:rPr>
            </w:pPr>
          </w:p>
        </w:tc>
      </w:tr>
      <w:tr>
        <w:trPr>
          <w:trHeight w:val="355"/>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Q1 2017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Q2 2017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Q3 2017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Q4 2017</w:t>
            </w:r>
          </w:p>
        </w:tc>
      </w:tr>
      <w:tr>
        <w:trPr>
          <w:trHeight w:val="24"/>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related portfolio income</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$7,774,397</w:t>
            </w:r>
          </w:p>
        </w:tc>
        <w:tc>
          <w:tcPr>
            <w:tcW w:w="11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$7,659,732</w:t>
            </w:r>
          </w:p>
        </w:tc>
        <w:tc>
          <w:tcPr>
            <w:tcW w:w="10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$6,253,343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$6,576,226</w:t>
            </w:r>
          </w:p>
        </w:tc>
        <w:tc>
          <w:tcPr>
            <w:tcW w:w="60" w:type="dxa"/>
            <w:vAlign w:val="bottom"/>
          </w:tcPr>
          <w:p>
            <w:pPr>
              <w:spacing w:after="0"/>
              <w:rPr>
                <w:sz w:val="21"/>
                <w:szCs w:val="21"/>
                <w:color w:val="auto"/>
              </w:rPr>
            </w:pPr>
          </w:p>
        </w:tc>
      </w:tr>
      <w:tr>
        <w:trPr>
          <w:trHeight w:val="25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$3,218,141</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$2,608,768</w:t>
            </w:r>
          </w:p>
        </w:tc>
        <w:tc>
          <w:tcPr>
            <w:tcW w:w="10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$2,529,495</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$2,662,728</w:t>
            </w:r>
          </w:p>
        </w:tc>
      </w:tr>
      <w:tr>
        <w:trPr>
          <w:trHeight w:val="22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385,552</w:t>
            </w:r>
          </w:p>
        </w:tc>
        <w:tc>
          <w:tcPr>
            <w:tcW w:w="11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$2,521,725</w:t>
            </w:r>
          </w:p>
        </w:tc>
        <w:tc>
          <w:tcPr>
            <w:tcW w:w="10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(669,449)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$1,150,252</w:t>
            </w:r>
          </w:p>
        </w:tc>
        <w:tc>
          <w:tcPr>
            <w:tcW w:w="60" w:type="dxa"/>
            <w:vAlign w:val="bottom"/>
          </w:tcPr>
          <w:p>
            <w:pPr>
              <w:spacing w:after="0"/>
              <w:rPr>
                <w:sz w:val="21"/>
                <w:szCs w:val="2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per share – basic and diluted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r>
      <w:tr>
        <w:trPr>
          <w:trHeight w:val="24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8"/>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per share – diluted</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tcPr>
          <w:p>
            <w:pPr>
              <w:spacing w:after="0"/>
              <w:rPr>
                <w:sz w:val="21"/>
                <w:szCs w:val="21"/>
                <w:color w:val="auto"/>
              </w:rPr>
            </w:pPr>
          </w:p>
        </w:tc>
      </w:tr>
      <w:tr>
        <w:trPr>
          <w:trHeight w:val="27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 – basic</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r>
      <w:tr>
        <w:trPr>
          <w:trHeight w:val="27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share – diluted</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-2486660</wp:posOffset>
            </wp:positionV>
            <wp:extent cx="5213985" cy="3086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-3429635</wp:posOffset>
            </wp:positionV>
            <wp:extent cx="1371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-3429635</wp:posOffset>
            </wp:positionV>
            <wp:extent cx="13716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-3429635</wp:posOffset>
            </wp:positionV>
            <wp:extent cx="321564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-1594485</wp:posOffset>
            </wp:positionV>
            <wp:extent cx="1371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-1594485</wp:posOffset>
            </wp:positionV>
            <wp:extent cx="1371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-1594485</wp:posOffset>
            </wp:positionV>
            <wp:extent cx="33445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08"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At the Special Meeting held on February 19, 2019, our stockholders approved the Advisory Agreement. If the transactions contemplated by the Externalization Agreement are completed, upon the Closing, we will commence operations as an externally managed BDC managed by the Adviser. The Company anticipates that the Closing will occur at the end of the quarter ending March 31, 2019, but the Company will issue a press release announcing the record date and payment date of the stockholder payment.</w:t>
      </w:r>
    </w:p>
    <w:p>
      <w:pPr>
        <w:spacing w:after="0" w:line="76"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Company has evaluated events and transactions occurring subsequent to December 31, 2018 for items that should potentially be recognized or disclosed in these financial statements. Other than described above, management has determined that there are no material subsequent events that would require adjustment to, or disclosure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INDEX TO OTHER FINANCIAL STATEMENTS AND FINANCIAL STATEMENT SCHEDULES</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75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ASSET MANAGER AFFILIATES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22"/>
        </w:trPr>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2"/>
        </w:trPr>
        <w:tc>
          <w:tcPr>
            <w:tcW w:w="7540" w:type="dxa"/>
            <w:vAlign w:val="bottom"/>
            <w:gridSpan w:val="16"/>
            <w:shd w:val="clear" w:color="auto" w:fill="CCEEFF"/>
          </w:tcPr>
          <w:p>
            <w:pPr>
              <w:spacing w:after="0" w:line="162" w:lineRule="exact"/>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Report of Independent Certified Public Accountants</w:t>
              </w:r>
            </w:hyperlink>
          </w:p>
        </w:tc>
        <w:tc>
          <w:tcPr>
            <w:tcW w:w="280" w:type="dxa"/>
            <w:vAlign w:val="bottom"/>
            <w:tcBorders>
              <w:right w:val="single" w:sz="8" w:color="CCEEFF"/>
            </w:tcBorders>
            <w:shd w:val="clear" w:color="auto" w:fill="CCEEFF"/>
          </w:tcPr>
          <w:p>
            <w:pPr>
              <w:spacing w:after="0"/>
              <w:rPr>
                <w:sz w:val="14"/>
                <w:szCs w:val="14"/>
                <w:color w:val="auto"/>
              </w:rPr>
            </w:pPr>
          </w:p>
        </w:tc>
        <w:tc>
          <w:tcPr>
            <w:tcW w:w="400" w:type="dxa"/>
            <w:vAlign w:val="bottom"/>
            <w:gridSpan w:val="2"/>
            <w:shd w:val="clear" w:color="auto" w:fill="CCEEFF"/>
          </w:tcPr>
          <w:p>
            <w:pPr>
              <w:jc w:val="center"/>
              <w:ind w:right="140"/>
              <w:spacing w:after="0" w:line="162" w:lineRule="exact"/>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S-2</w:t>
              </w:r>
            </w:hyperlink>
          </w:p>
        </w:tc>
      </w:tr>
      <w:tr>
        <w:trPr>
          <w:trHeight w:val="27"/>
        </w:trPr>
        <w:tc>
          <w:tcPr>
            <w:tcW w:w="18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00" w:type="dxa"/>
            <w:vAlign w:val="bottom"/>
            <w:tcBorders>
              <w:right w:val="single" w:sz="8" w:color="CCEEFF"/>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40" w:type="dxa"/>
            <w:vAlign w:val="bottom"/>
            <w:gridSpan w:val="16"/>
          </w:tcPr>
          <w:p>
            <w:pPr>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Combined Balance Sheets as of December 31, 2017 and 2016</w:t>
              </w:r>
            </w:hyperlink>
          </w:p>
        </w:tc>
        <w:tc>
          <w:tcPr>
            <w:tcW w:w="280" w:type="dxa"/>
            <w:vAlign w:val="bottom"/>
          </w:tcPr>
          <w:p>
            <w:pPr>
              <w:spacing w:after="0"/>
              <w:rPr>
                <w:sz w:val="18"/>
                <w:szCs w:val="18"/>
                <w:color w:val="auto"/>
              </w:rPr>
            </w:pPr>
          </w:p>
        </w:tc>
        <w:tc>
          <w:tcPr>
            <w:tcW w:w="400" w:type="dxa"/>
            <w:vAlign w:val="bottom"/>
            <w:gridSpan w:val="2"/>
          </w:tcPr>
          <w:p>
            <w:pPr>
              <w:jc w:val="center"/>
              <w:ind w:right="140"/>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S-3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4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Combined Statements of Operations for the years ended December 31, 2017, 2016 and 2015</w:t>
              </w:r>
            </w:hyperlink>
          </w:p>
        </w:tc>
        <w:tc>
          <w:tcPr>
            <w:tcW w:w="280" w:type="dxa"/>
            <w:vAlign w:val="bottom"/>
            <w:tcBorders>
              <w:right w:val="single" w:sz="8" w:color="CCEEFF"/>
            </w:tcBorders>
            <w:shd w:val="clear" w:color="auto" w:fill="CCEEFF"/>
          </w:tcPr>
          <w:p>
            <w:pPr>
              <w:spacing w:after="0"/>
              <w:rPr>
                <w:sz w:val="19"/>
                <w:szCs w:val="19"/>
                <w:color w:val="auto"/>
              </w:rPr>
            </w:pPr>
          </w:p>
        </w:tc>
        <w:tc>
          <w:tcPr>
            <w:tcW w:w="400" w:type="dxa"/>
            <w:vAlign w:val="bottom"/>
            <w:gridSpan w:val="2"/>
            <w:shd w:val="clear" w:color="auto" w:fill="CCEEFF"/>
          </w:tcPr>
          <w:p>
            <w:pPr>
              <w:jc w:val="center"/>
              <w:ind w:right="140"/>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S-4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51">
              <w:r>
                <w:rPr>
                  <w:rFonts w:ascii="Times New Roman" w:cs="Times New Roman" w:eastAsia="Times New Roman" w:hAnsi="Times New Roman"/>
                  <w:sz w:val="18"/>
                  <w:szCs w:val="18"/>
                  <w:color w:val="0000EE"/>
                  <w:w w:val="99"/>
                </w:rPr>
                <w:t>Combined Statements of Changes in Member’s Equity for the years ended December 31, 2017, 2016,</w:t>
              </w:r>
            </w:hyperlink>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540" w:type="dxa"/>
            <w:vAlign w:val="bottom"/>
            <w:gridSpan w:val="16"/>
          </w:tcPr>
          <w:p>
            <w:pPr>
              <w:ind w:left="180"/>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and 2015</w:t>
              </w:r>
            </w:hyperlink>
          </w:p>
        </w:tc>
        <w:tc>
          <w:tcPr>
            <w:tcW w:w="280" w:type="dxa"/>
            <w:vAlign w:val="bottom"/>
          </w:tcPr>
          <w:p>
            <w:pPr>
              <w:spacing w:after="0"/>
              <w:rPr>
                <w:sz w:val="17"/>
                <w:szCs w:val="17"/>
                <w:color w:val="auto"/>
              </w:rPr>
            </w:pPr>
          </w:p>
        </w:tc>
        <w:tc>
          <w:tcPr>
            <w:tcW w:w="400" w:type="dxa"/>
            <w:vAlign w:val="bottom"/>
            <w:gridSpan w:val="2"/>
          </w:tcPr>
          <w:p>
            <w:pPr>
              <w:jc w:val="center"/>
              <w:ind w:right="140"/>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S-5</w:t>
              </w:r>
            </w:hyperlink>
          </w:p>
        </w:tc>
      </w:tr>
      <w:tr>
        <w:trPr>
          <w:trHeight w:val="34"/>
        </w:trPr>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54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Combined Statements of Cash Flows for the years ended December 31, 2017, 2016, and 2015</w:t>
              </w:r>
            </w:hyperlink>
          </w:p>
        </w:tc>
        <w:tc>
          <w:tcPr>
            <w:tcW w:w="280" w:type="dxa"/>
            <w:vAlign w:val="bottom"/>
            <w:tcBorders>
              <w:right w:val="single" w:sz="8" w:color="CCEEFF"/>
            </w:tcBorders>
            <w:shd w:val="clear" w:color="auto" w:fill="CCEEFF"/>
          </w:tcPr>
          <w:p>
            <w:pPr>
              <w:spacing w:after="0"/>
              <w:rPr>
                <w:sz w:val="21"/>
                <w:szCs w:val="21"/>
                <w:color w:val="auto"/>
              </w:rPr>
            </w:pPr>
          </w:p>
        </w:tc>
        <w:tc>
          <w:tcPr>
            <w:tcW w:w="400" w:type="dxa"/>
            <w:vAlign w:val="bottom"/>
            <w:gridSpan w:val="2"/>
            <w:shd w:val="clear" w:color="auto" w:fill="CCEEFF"/>
          </w:tcPr>
          <w:p>
            <w:pPr>
              <w:jc w:val="center"/>
              <w:ind w:right="140"/>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S-6</w:t>
              </w:r>
            </w:hyperlink>
          </w:p>
        </w:tc>
      </w:tr>
      <w:tr>
        <w:trPr>
          <w:trHeight w:val="230"/>
        </w:trPr>
        <w:tc>
          <w:tcPr>
            <w:tcW w:w="29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53">
              <w:r>
                <w:rPr>
                  <w:rFonts w:ascii="Times New Roman" w:cs="Times New Roman" w:eastAsia="Times New Roman" w:hAnsi="Times New Roman"/>
                  <w:sz w:val="18"/>
                  <w:szCs w:val="18"/>
                  <w:color w:val="0000EE"/>
                  <w:w w:val="99"/>
                </w:rPr>
                <w:t>Notes to Combined Financial Statements</w:t>
              </w:r>
            </w:hyperlink>
          </w:p>
        </w:tc>
        <w:tc>
          <w:tcPr>
            <w:tcW w:w="3800" w:type="dxa"/>
            <w:vAlign w:val="bottom"/>
            <w:tcBorders>
              <w:top w:val="single" w:sz="8" w:color="0000EE"/>
            </w:tcBorders>
            <w:gridSpan w:val="8"/>
          </w:tcPr>
          <w:p>
            <w:pPr>
              <w:spacing w:after="0"/>
              <w:rPr>
                <w:sz w:val="19"/>
                <w:szCs w:val="19"/>
                <w:color w:val="auto"/>
              </w:rPr>
            </w:pPr>
          </w:p>
        </w:tc>
        <w:tc>
          <w:tcPr>
            <w:tcW w:w="780" w:type="dxa"/>
            <w:vAlign w:val="bottom"/>
            <w:tcBorders>
              <w:top w:val="single" w:sz="8" w:color="CCEEFF"/>
            </w:tcBorders>
            <w:gridSpan w:val="3"/>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S-7</w:t>
              </w:r>
            </w:hyperlink>
          </w:p>
        </w:tc>
        <w:tc>
          <w:tcPr>
            <w:tcW w:w="100" w:type="dxa"/>
            <w:vAlign w:val="bottom"/>
            <w:tcBorders>
              <w:top w:val="single" w:sz="8" w:color="CCEEFF"/>
            </w:tcBorders>
          </w:tcPr>
          <w:p>
            <w:pPr>
              <w:spacing w:after="0"/>
              <w:rPr>
                <w:sz w:val="19"/>
                <w:szCs w:val="19"/>
                <w:color w:val="auto"/>
              </w:rPr>
            </w:pPr>
          </w:p>
        </w:tc>
      </w:tr>
      <w:tr>
        <w:trPr>
          <w:trHeight w:val="628"/>
        </w:trPr>
        <w:tc>
          <w:tcPr>
            <w:tcW w:w="75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KATONAH 2007-I CLO LTD.</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2"/>
        </w:trPr>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2"/>
        </w:trPr>
        <w:tc>
          <w:tcPr>
            <w:tcW w:w="7540" w:type="dxa"/>
            <w:vAlign w:val="bottom"/>
            <w:gridSpan w:val="16"/>
            <w:shd w:val="clear" w:color="auto" w:fill="CCEEFF"/>
          </w:tcPr>
          <w:p>
            <w:pPr>
              <w:spacing w:after="0" w:line="162" w:lineRule="exact"/>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Report of Independent Certified Public Accountants</w:t>
              </w:r>
            </w:hyperlink>
          </w:p>
        </w:tc>
        <w:tc>
          <w:tcPr>
            <w:tcW w:w="680" w:type="dxa"/>
            <w:vAlign w:val="bottom"/>
            <w:gridSpan w:val="3"/>
            <w:shd w:val="clear" w:color="auto" w:fill="CCEEFF"/>
          </w:tcPr>
          <w:p>
            <w:pPr>
              <w:jc w:val="center"/>
              <w:ind w:left="50"/>
              <w:spacing w:after="0" w:line="162" w:lineRule="exact"/>
              <w:rPr>
                <w:rFonts w:ascii="Times New Roman" w:cs="Times New Roman" w:eastAsia="Times New Roman" w:hAnsi="Times New Roman"/>
                <w:sz w:val="18"/>
                <w:szCs w:val="18"/>
                <w:color w:val="0000EE"/>
                <w:w w:val="99"/>
              </w:rPr>
            </w:pPr>
            <w:hyperlink w:anchor="page165">
              <w:r>
                <w:rPr>
                  <w:rFonts w:ascii="Times New Roman" w:cs="Times New Roman" w:eastAsia="Times New Roman" w:hAnsi="Times New Roman"/>
                  <w:sz w:val="18"/>
                  <w:szCs w:val="18"/>
                  <w:color w:val="0000EE"/>
                  <w:w w:val="99"/>
                </w:rPr>
                <w:t>S-19</w:t>
              </w:r>
            </w:hyperlink>
          </w:p>
        </w:tc>
      </w:tr>
      <w:tr>
        <w:trPr>
          <w:trHeight w:val="27"/>
        </w:trPr>
        <w:tc>
          <w:tcPr>
            <w:tcW w:w="18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tcBorders>
              <w:right w:val="single" w:sz="8" w:color="0000EE"/>
            </w:tcBorders>
            <w:shd w:val="clear" w:color="auto" w:fill="CCEEFF"/>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40" w:type="dxa"/>
            <w:vAlign w:val="bottom"/>
            <w:gridSpan w:val="16"/>
          </w:tcPr>
          <w:p>
            <w:pPr>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Statements of Net Assets as of December 31, 2016 and December 31, 2015</w:t>
              </w:r>
            </w:hyperlink>
          </w:p>
        </w:tc>
        <w:tc>
          <w:tcPr>
            <w:tcW w:w="680" w:type="dxa"/>
            <w:vAlign w:val="bottom"/>
            <w:gridSpan w:val="3"/>
          </w:tcPr>
          <w:p>
            <w:pPr>
              <w:jc w:val="center"/>
              <w:ind w:left="50"/>
              <w:spacing w:after="0"/>
              <w:rPr>
                <w:rFonts w:ascii="Times New Roman" w:cs="Times New Roman" w:eastAsia="Times New Roman" w:hAnsi="Times New Roman"/>
                <w:sz w:val="18"/>
                <w:szCs w:val="18"/>
                <w:color w:val="0000EE"/>
                <w:w w:val="99"/>
              </w:rPr>
            </w:pPr>
            <w:hyperlink w:anchor="page166">
              <w:r>
                <w:rPr>
                  <w:rFonts w:ascii="Times New Roman" w:cs="Times New Roman" w:eastAsia="Times New Roman" w:hAnsi="Times New Roman"/>
                  <w:sz w:val="18"/>
                  <w:szCs w:val="18"/>
                  <w:color w:val="0000EE"/>
                  <w:w w:val="99"/>
                </w:rPr>
                <w:t>S-20</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520" w:type="dxa"/>
            <w:vAlign w:val="bottom"/>
            <w:tcBorders>
              <w:bottom w:val="single" w:sz="8" w:color="0000EE"/>
            </w:tcBorders>
            <w:gridSpan w:val="10"/>
            <w:shd w:val="clear" w:color="auto" w:fill="CCEEFF"/>
          </w:tcPr>
          <w:p>
            <w:pPr>
              <w:spacing w:after="0"/>
              <w:rPr>
                <w:rFonts w:ascii="Times New Roman" w:cs="Times New Roman" w:eastAsia="Times New Roman" w:hAnsi="Times New Roman"/>
                <w:sz w:val="18"/>
                <w:szCs w:val="18"/>
                <w:color w:val="0000EE"/>
                <w:w w:val="99"/>
              </w:rPr>
            </w:pPr>
            <w:hyperlink w:anchor="page167">
              <w:r>
                <w:rPr>
                  <w:rFonts w:ascii="Times New Roman" w:cs="Times New Roman" w:eastAsia="Times New Roman" w:hAnsi="Times New Roman"/>
                  <w:sz w:val="18"/>
                  <w:szCs w:val="18"/>
                  <w:color w:val="0000EE"/>
                  <w:w w:val="99"/>
                </w:rPr>
                <w:t>Statements of Operations for the years ended December 31, 2016, December 31, 2015 and</w:t>
              </w:r>
            </w:hyperlink>
          </w:p>
        </w:tc>
        <w:tc>
          <w:tcPr>
            <w:tcW w:w="1020" w:type="dxa"/>
            <w:vAlign w:val="bottom"/>
            <w:tcBorders>
              <w:bottom w:val="single" w:sz="8" w:color="CCEEFF"/>
            </w:tcBorders>
            <w:gridSpan w:val="6"/>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3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December 31, 2014</w:t>
              </w:r>
            </w:hyperlink>
          </w:p>
        </w:tc>
        <w:tc>
          <w:tcPr>
            <w:tcW w:w="680" w:type="dxa"/>
            <w:vAlign w:val="bottom"/>
            <w:gridSpan w:val="3"/>
            <w:shd w:val="clear" w:color="auto" w:fill="CCEEFF"/>
          </w:tcPr>
          <w:p>
            <w:pPr>
              <w:jc w:val="center"/>
              <w:ind w:left="50"/>
              <w:spacing w:after="0" w:line="196" w:lineRule="exact"/>
              <w:rPr>
                <w:rFonts w:ascii="Times New Roman" w:cs="Times New Roman" w:eastAsia="Times New Roman" w:hAnsi="Times New Roman"/>
                <w:sz w:val="18"/>
                <w:szCs w:val="18"/>
                <w:color w:val="0000EE"/>
                <w:w w:val="99"/>
              </w:rPr>
            </w:pPr>
            <w:hyperlink w:anchor="page167">
              <w:r>
                <w:rPr>
                  <w:rFonts w:ascii="Times New Roman" w:cs="Times New Roman" w:eastAsia="Times New Roman" w:hAnsi="Times New Roman"/>
                  <w:sz w:val="18"/>
                  <w:szCs w:val="18"/>
                  <w:color w:val="0000EE"/>
                  <w:w w:val="99"/>
                </w:rPr>
                <w:t>S-21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16"/>
        </w:trPr>
        <w:tc>
          <w:tcPr>
            <w:tcW w:w="7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Statements of Changes in Net Assets for the years ended December 31, 2016, December 31, 2015,</w:t>
              </w:r>
            </w:hyperlink>
          </w:p>
        </w:tc>
        <w:tc>
          <w:tcPr>
            <w:tcW w:w="4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540" w:type="dxa"/>
            <w:vAlign w:val="bottom"/>
            <w:gridSpan w:val="16"/>
          </w:tcPr>
          <w:p>
            <w:pPr>
              <w:ind w:left="180"/>
              <w:spacing w:after="0" w:line="196" w:lineRule="exact"/>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and December 31, 2014</w:t>
              </w:r>
            </w:hyperlink>
          </w:p>
        </w:tc>
        <w:tc>
          <w:tcPr>
            <w:tcW w:w="680" w:type="dxa"/>
            <w:vAlign w:val="bottom"/>
            <w:gridSpan w:val="3"/>
          </w:tcPr>
          <w:p>
            <w:pPr>
              <w:jc w:val="center"/>
              <w:ind w:left="50"/>
              <w:spacing w:after="0" w:line="196" w:lineRule="exact"/>
              <w:rPr>
                <w:rFonts w:ascii="Times New Roman" w:cs="Times New Roman" w:eastAsia="Times New Roman" w:hAnsi="Times New Roman"/>
                <w:sz w:val="18"/>
                <w:szCs w:val="18"/>
                <w:color w:val="0000EE"/>
                <w:w w:val="99"/>
              </w:rPr>
            </w:pPr>
            <w:hyperlink w:anchor="page168">
              <w:r>
                <w:rPr>
                  <w:rFonts w:ascii="Times New Roman" w:cs="Times New Roman" w:eastAsia="Times New Roman" w:hAnsi="Times New Roman"/>
                  <w:sz w:val="18"/>
                  <w:szCs w:val="18"/>
                  <w:color w:val="0000EE"/>
                  <w:w w:val="99"/>
                </w:rPr>
                <w:t>S-22</w:t>
              </w:r>
            </w:hyperlink>
          </w:p>
        </w:tc>
      </w:tr>
      <w:tr>
        <w:trPr>
          <w:trHeight w:val="34"/>
        </w:trPr>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4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Statements of Cash Flows for the year ended December 31, 2016, December 31, 2015, and</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36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December 31, 2014</w:t>
              </w:r>
            </w:hyperlink>
          </w:p>
        </w:tc>
        <w:tc>
          <w:tcPr>
            <w:tcW w:w="1000" w:type="dxa"/>
            <w:vAlign w:val="bottom"/>
            <w:tcBorders>
              <w:top w:val="single" w:sz="8" w:color="CCEEFF"/>
            </w:tcBorders>
            <w:gridSpan w:val="5"/>
            <w:shd w:val="clear" w:color="auto" w:fill="CCEEFF"/>
          </w:tcPr>
          <w:p>
            <w:pPr>
              <w:spacing w:after="0"/>
              <w:rPr>
                <w:sz w:val="17"/>
                <w:szCs w:val="17"/>
                <w:color w:val="auto"/>
              </w:rPr>
            </w:pPr>
          </w:p>
        </w:tc>
        <w:tc>
          <w:tcPr>
            <w:tcW w:w="680" w:type="dxa"/>
            <w:vAlign w:val="bottom"/>
            <w:tcBorders>
              <w:top w:val="single" w:sz="8" w:color="CCEEFF"/>
            </w:tcBorders>
            <w:gridSpan w:val="3"/>
            <w:shd w:val="clear" w:color="auto" w:fill="CCEEFF"/>
          </w:tcPr>
          <w:p>
            <w:pPr>
              <w:jc w:val="center"/>
              <w:ind w:left="50"/>
              <w:spacing w:after="0" w:line="196" w:lineRule="exact"/>
              <w:rPr>
                <w:rFonts w:ascii="Times New Roman" w:cs="Times New Roman" w:eastAsia="Times New Roman" w:hAnsi="Times New Roman"/>
                <w:sz w:val="18"/>
                <w:szCs w:val="18"/>
                <w:color w:val="0000EE"/>
                <w:w w:val="99"/>
              </w:rPr>
            </w:pPr>
            <w:hyperlink w:anchor="page169">
              <w:r>
                <w:rPr>
                  <w:rFonts w:ascii="Times New Roman" w:cs="Times New Roman" w:eastAsia="Times New Roman" w:hAnsi="Times New Roman"/>
                  <w:sz w:val="18"/>
                  <w:szCs w:val="18"/>
                  <w:color w:val="0000EE"/>
                  <w:w w:val="99"/>
                </w:rPr>
                <w:t>S-23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7540" w:type="dxa"/>
            <w:vAlign w:val="bottom"/>
            <w:gridSpan w:val="16"/>
          </w:tcPr>
          <w:p>
            <w:pPr>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Schedules of Investment as of December 31, 2016 and December 31, 2015</w:t>
              </w:r>
            </w:hyperlink>
          </w:p>
        </w:tc>
        <w:tc>
          <w:tcPr>
            <w:tcW w:w="680" w:type="dxa"/>
            <w:vAlign w:val="bottom"/>
            <w:gridSpan w:val="3"/>
          </w:tcPr>
          <w:p>
            <w:pPr>
              <w:jc w:val="center"/>
              <w:ind w:left="50"/>
              <w:spacing w:after="0"/>
              <w:rPr>
                <w:rFonts w:ascii="Times New Roman" w:cs="Times New Roman" w:eastAsia="Times New Roman" w:hAnsi="Times New Roman"/>
                <w:sz w:val="18"/>
                <w:szCs w:val="18"/>
                <w:color w:val="0000EE"/>
                <w:w w:val="99"/>
              </w:rPr>
            </w:pPr>
            <w:hyperlink w:anchor="page170">
              <w:r>
                <w:rPr>
                  <w:rFonts w:ascii="Times New Roman" w:cs="Times New Roman" w:eastAsia="Times New Roman" w:hAnsi="Times New Roman"/>
                  <w:sz w:val="18"/>
                  <w:szCs w:val="18"/>
                  <w:color w:val="0000EE"/>
                  <w:w w:val="99"/>
                </w:rPr>
                <w:t>S-24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4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Notes to Combined Financial Statements</w:t>
              </w:r>
            </w:hyperlink>
          </w:p>
        </w:tc>
        <w:tc>
          <w:tcPr>
            <w:tcW w:w="680" w:type="dxa"/>
            <w:vAlign w:val="bottom"/>
            <w:gridSpan w:val="3"/>
            <w:shd w:val="clear" w:color="auto" w:fill="CCEEFF"/>
          </w:tcPr>
          <w:p>
            <w:pPr>
              <w:jc w:val="center"/>
              <w:ind w:left="50"/>
              <w:spacing w:after="0"/>
              <w:rPr>
                <w:rFonts w:ascii="Times New Roman" w:cs="Times New Roman" w:eastAsia="Times New Roman" w:hAnsi="Times New Roman"/>
                <w:sz w:val="18"/>
                <w:szCs w:val="18"/>
                <w:color w:val="0000EE"/>
                <w:w w:val="99"/>
              </w:rPr>
            </w:pPr>
            <w:hyperlink w:anchor="page180">
              <w:r>
                <w:rPr>
                  <w:rFonts w:ascii="Times New Roman" w:cs="Times New Roman" w:eastAsia="Times New Roman" w:hAnsi="Times New Roman"/>
                  <w:sz w:val="18"/>
                  <w:szCs w:val="18"/>
                  <w:color w:val="0000EE"/>
                  <w:w w:val="99"/>
                </w:rPr>
                <w:t>S-34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6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NOTE</w:t>
      </w:r>
    </w:p>
    <w:p>
      <w:pPr>
        <w:spacing w:after="0" w:line="108"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certain SEC rules, KCAP Financial, Inc. (the “Company”) is providing additional information regarding the following three portfolio companies: Katonah Debt Advisers, L.L.C., Trimaran Advisors, L.L.C. (collectively the Asset Manager Affiliates) and Katonah 2007-I CLO Ltd. However, pursuant to SEC rules, the Company does not consolidate portfolio company investments, including those in which it has a controlling interest. As a result, the additional financial information regarding these entities does not directly impact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 and Shareholder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Asset Manager Affiliates</w:t>
      </w:r>
    </w:p>
    <w:p>
      <w:pPr>
        <w:spacing w:after="0" w:line="84" w:lineRule="exact"/>
        <w:rPr>
          <w:sz w:val="20"/>
          <w:szCs w:val="20"/>
          <w:color w:val="auto"/>
        </w:rPr>
      </w:pPr>
    </w:p>
    <w:p>
      <w:pPr>
        <w:ind w:left="1260" w:right="879"/>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combined financial statements of Asset Manager Affiliates, which comprise the combined balance sheets, as of December 31, 2017 and 2016, and the related combined statements of operations, changes in member’s equity, and cash flows for each of the three years in the period ended December 31, 2017, and the related notes to the combined financial statements.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08" w:lineRule="exact"/>
        <w:rPr>
          <w:sz w:val="20"/>
          <w:szCs w:val="20"/>
          <w:color w:val="auto"/>
        </w:rPr>
      </w:pPr>
    </w:p>
    <w:p>
      <w:pPr>
        <w:ind w:left="1260" w:right="839"/>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08" w:lineRule="exact"/>
        <w:rPr>
          <w:sz w:val="20"/>
          <w:szCs w:val="20"/>
          <w:color w:val="auto"/>
        </w:rPr>
      </w:pPr>
    </w:p>
    <w:p>
      <w:pPr>
        <w:ind w:left="1260" w:right="779"/>
        <w:spacing w:after="0" w:line="261"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72" w:lineRule="exact"/>
        <w:rPr>
          <w:sz w:val="20"/>
          <w:szCs w:val="20"/>
          <w:color w:val="auto"/>
        </w:rPr>
      </w:pPr>
    </w:p>
    <w:p>
      <w:pPr>
        <w:ind w:left="1260" w:right="819"/>
        <w:spacing w:after="0" w:line="254"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1"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08" w:lineRule="exact"/>
        <w:rPr>
          <w:sz w:val="20"/>
          <w:szCs w:val="20"/>
          <w:color w:val="auto"/>
        </w:rPr>
      </w:pPr>
    </w:p>
    <w:p>
      <w:pPr>
        <w:ind w:left="1260" w:right="819"/>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combined financial position of Asset Manager Affiliates at December 31, 2017 and 2016, and the combined results of their operations and their cash flows for each of the three years in the period ended December 31, 2017, in conformity with U.S. generally accepted accounting principles.</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2"/>
        </w:trPr>
        <w:tc>
          <w:tcPr>
            <w:tcW w:w="604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6"/>
                <w:szCs w:val="16"/>
                <w:color w:val="auto"/>
              </w:rPr>
            </w:pPr>
          </w:p>
        </w:tc>
      </w:tr>
      <w:tr>
        <w:trPr>
          <w:trHeight w:val="24"/>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 (cost: 2017 – $82,576,095; 2016 – $0)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79,901,209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4,655,662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3,425,709</w:t>
            </w:r>
          </w:p>
        </w:tc>
        <w:tc>
          <w:tcPr>
            <w:tcW w:w="60" w:type="dxa"/>
            <w:vAlign w:val="bottom"/>
          </w:tcPr>
          <w:p>
            <w:pPr>
              <w:spacing w:after="0"/>
              <w:rPr>
                <w:sz w:val="22"/>
                <w:szCs w:val="22"/>
                <w:color w:val="auto"/>
              </w:rPr>
            </w:pP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Accrued management fees receivable</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2,346,490</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2,176,833</w:t>
            </w:r>
          </w:p>
        </w:tc>
        <w:tc>
          <w:tcPr>
            <w:tcW w:w="60" w:type="dxa"/>
            <w:vAlign w:val="bottom"/>
          </w:tcPr>
          <w:p>
            <w:pPr>
              <w:spacing w:after="0"/>
              <w:rPr>
                <w:sz w:val="22"/>
                <w:szCs w:val="22"/>
                <w:color w:val="auto"/>
              </w:rPr>
            </w:pPr>
          </w:p>
        </w:tc>
      </w:tr>
      <w:tr>
        <w:trPr>
          <w:trHeight w:val="257"/>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146,838</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86,615</w:t>
            </w:r>
          </w:p>
        </w:tc>
        <w:tc>
          <w:tcPr>
            <w:tcW w:w="60" w:type="dxa"/>
            <w:vAlign w:val="bottom"/>
          </w:tcPr>
          <w:p>
            <w:pPr>
              <w:spacing w:after="0"/>
              <w:rPr>
                <w:sz w:val="22"/>
                <w:szCs w:val="22"/>
                <w:color w:val="auto"/>
              </w:rPr>
            </w:pP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22,830,000</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23,157,541</w:t>
            </w:r>
          </w:p>
        </w:tc>
        <w:tc>
          <w:tcPr>
            <w:tcW w:w="60" w:type="dxa"/>
            <w:vAlign w:val="bottom"/>
          </w:tcPr>
          <w:p>
            <w:pPr>
              <w:spacing w:after="0"/>
              <w:rPr>
                <w:sz w:val="22"/>
                <w:szCs w:val="22"/>
                <w:color w:val="auto"/>
              </w:rPr>
            </w:pPr>
          </w:p>
        </w:tc>
      </w:tr>
      <w:tr>
        <w:trPr>
          <w:trHeight w:val="263"/>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1,977,922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2,760,726</w:t>
            </w:r>
          </w:p>
        </w:tc>
        <w:tc>
          <w:tcPr>
            <w:tcW w:w="60" w:type="dxa"/>
            <w:vAlign w:val="bottom"/>
          </w:tcPr>
          <w:p>
            <w:pPr>
              <w:spacing w:after="0"/>
              <w:rPr>
                <w:sz w:val="22"/>
                <w:szCs w:val="22"/>
                <w:color w:val="auto"/>
              </w:rPr>
            </w:pPr>
          </w:p>
        </w:tc>
      </w:tr>
      <w:tr>
        <w:trPr>
          <w:trHeight w:val="20"/>
        </w:trPr>
        <w:tc>
          <w:tcPr>
            <w:tcW w:w="6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111,858,121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31,607,424</w:t>
            </w:r>
          </w:p>
        </w:tc>
        <w:tc>
          <w:tcPr>
            <w:tcW w:w="60" w:type="dxa"/>
            <w:vAlign w:val="bottom"/>
          </w:tcPr>
          <w:p>
            <w:pPr>
              <w:spacing w:after="0"/>
              <w:rPr>
                <w:sz w:val="24"/>
                <w:szCs w:val="24"/>
                <w:color w:val="auto"/>
              </w:rPr>
            </w:pPr>
          </w:p>
        </w:tc>
      </w:tr>
      <w:tr>
        <w:trPr>
          <w:trHeight w:val="311"/>
        </w:trPr>
        <w:tc>
          <w:tcPr>
            <w:tcW w:w="60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69,802,500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related parties</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12,792,218</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230,034</w:t>
            </w: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3,724,943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3,431,496</w:t>
            </w:r>
          </w:p>
        </w:tc>
        <w:tc>
          <w:tcPr>
            <w:tcW w:w="60" w:type="dxa"/>
            <w:vAlign w:val="bottom"/>
          </w:tcPr>
          <w:p>
            <w:pPr>
              <w:spacing w:after="0"/>
              <w:rPr>
                <w:sz w:val="23"/>
                <w:szCs w:val="23"/>
                <w:color w:val="auto"/>
              </w:rPr>
            </w:pP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943,557</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612,983</w:t>
            </w:r>
          </w:p>
        </w:tc>
        <w:tc>
          <w:tcPr>
            <w:tcW w:w="60" w:type="dxa"/>
            <w:vAlign w:val="bottom"/>
          </w:tcPr>
          <w:p>
            <w:pPr>
              <w:spacing w:after="0"/>
              <w:rPr>
                <w:sz w:val="23"/>
                <w:szCs w:val="23"/>
                <w:color w:val="auto"/>
              </w:rPr>
            </w:pPr>
          </w:p>
        </w:tc>
      </w:tr>
      <w:tr>
        <w:trPr>
          <w:trHeight w:val="277"/>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24"/>
                <w:szCs w:val="24"/>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1,890,899</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2,575,140</w:t>
            </w:r>
          </w:p>
        </w:tc>
        <w:tc>
          <w:tcPr>
            <w:tcW w:w="60" w:type="dxa"/>
            <w:vAlign w:val="bottom"/>
          </w:tcPr>
          <w:p>
            <w:pPr>
              <w:spacing w:after="0"/>
              <w:rPr>
                <w:sz w:val="24"/>
                <w:szCs w:val="24"/>
                <w:color w:val="auto"/>
              </w:rPr>
            </w:pPr>
          </w:p>
        </w:tc>
      </w:tr>
      <w:tr>
        <w:trPr>
          <w:trHeight w:val="20"/>
        </w:trPr>
        <w:tc>
          <w:tcPr>
            <w:tcW w:w="6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89,384,151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6,619,619</w:t>
            </w:r>
          </w:p>
        </w:tc>
        <w:tc>
          <w:tcPr>
            <w:tcW w:w="60" w:type="dxa"/>
            <w:vAlign w:val="bottom"/>
          </w:tcPr>
          <w:p>
            <w:pPr>
              <w:spacing w:after="0"/>
              <w:rPr>
                <w:sz w:val="23"/>
                <w:szCs w:val="23"/>
                <w:color w:val="auto"/>
              </w:rPr>
            </w:pPr>
          </w:p>
        </w:tc>
      </w:tr>
      <w:tr>
        <w:trPr>
          <w:trHeight w:val="270"/>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r>
      <w:tr>
        <w:trPr>
          <w:trHeight w:val="37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contributions</w:t>
            </w:r>
          </w:p>
        </w:tc>
        <w:tc>
          <w:tcPr>
            <w:tcW w:w="1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52,519,916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52,519,916</w:t>
            </w:r>
          </w:p>
        </w:tc>
        <w:tc>
          <w:tcPr>
            <w:tcW w:w="60" w:type="dxa"/>
            <w:vAlign w:val="bottom"/>
          </w:tcPr>
          <w:p>
            <w:pPr>
              <w:spacing w:after="0"/>
              <w:rPr>
                <w:sz w:val="23"/>
                <w:szCs w:val="23"/>
                <w:color w:val="auto"/>
              </w:rPr>
            </w:pPr>
          </w:p>
        </w:tc>
      </w:tr>
      <w:tr>
        <w:trPr>
          <w:trHeight w:val="27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(30,045,946)</w:t>
            </w: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(27,532,111)</w:t>
            </w:r>
          </w:p>
        </w:tc>
      </w:tr>
      <w:tr>
        <w:trPr>
          <w:trHeight w:val="20"/>
        </w:trPr>
        <w:tc>
          <w:tcPr>
            <w:tcW w:w="6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22,473,970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24,987,805</w:t>
            </w:r>
          </w:p>
        </w:tc>
        <w:tc>
          <w:tcPr>
            <w:tcW w:w="60" w:type="dxa"/>
            <w:vAlign w:val="bottom"/>
          </w:tcPr>
          <w:p>
            <w:pPr>
              <w:spacing w:after="0"/>
              <w:rPr>
                <w:sz w:val="23"/>
                <w:szCs w:val="23"/>
                <w:color w:val="auto"/>
              </w:rPr>
            </w:pP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111,858,121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31,607,424</w:t>
            </w:r>
          </w:p>
        </w:tc>
        <w:tc>
          <w:tcPr>
            <w:tcW w:w="60" w:type="dxa"/>
            <w:vAlign w:val="bottom"/>
          </w:tcPr>
          <w:p>
            <w:pPr>
              <w:spacing w:after="0"/>
              <w:rPr>
                <w:sz w:val="23"/>
                <w:szCs w:val="23"/>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-376555</wp:posOffset>
            </wp:positionV>
            <wp:extent cx="46050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6050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-3901440</wp:posOffset>
            </wp:positionV>
            <wp:extent cx="459676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COMBINED STATEMENTS OF OPERATIONS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7"/>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and incentive fee 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15,283,064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12,835,603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22,617,240</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232,300</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1,024,760</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2,787,334</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15,515,364</w:t>
            </w: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13,860,363</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25,404,574</w:t>
            </w:r>
          </w:p>
        </w:tc>
        <w:tc>
          <w:tcPr>
            <w:tcW w:w="0" w:type="dxa"/>
            <w:vAlign w:val="bottom"/>
          </w:tcPr>
          <w:p>
            <w:pPr>
              <w:spacing w:after="0"/>
              <w:rPr>
                <w:sz w:val="1"/>
                <w:szCs w:val="1"/>
                <w:color w:val="auto"/>
              </w:rPr>
            </w:pPr>
          </w:p>
        </w:tc>
      </w:tr>
      <w:tr>
        <w:trPr>
          <w:trHeight w:val="365"/>
        </w:trPr>
        <w:tc>
          <w:tcPr>
            <w:tcW w:w="5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1,044,242</w:t>
            </w: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1,821,517</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1,726,781</w:t>
            </w:r>
          </w:p>
        </w:tc>
        <w:tc>
          <w:tcPr>
            <w:tcW w:w="0" w:type="dxa"/>
            <w:vAlign w:val="bottom"/>
          </w:tcPr>
          <w:p>
            <w:pPr>
              <w:spacing w:after="0"/>
              <w:rPr>
                <w:sz w:val="1"/>
                <w:szCs w:val="1"/>
                <w:color w:val="auto"/>
              </w:rPr>
            </w:pPr>
          </w:p>
        </w:tc>
      </w:tr>
      <w:tr>
        <w:trPr>
          <w:trHeight w:val="257"/>
        </w:trPr>
        <w:tc>
          <w:tcPr>
            <w:tcW w:w="5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7,470,218</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7,596,726</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9,441,607</w:t>
            </w:r>
          </w:p>
        </w:tc>
        <w:tc>
          <w:tcPr>
            <w:tcW w:w="0" w:type="dxa"/>
            <w:vAlign w:val="bottom"/>
          </w:tcPr>
          <w:p>
            <w:pPr>
              <w:spacing w:after="0"/>
              <w:rPr>
                <w:sz w:val="1"/>
                <w:szCs w:val="1"/>
                <w:color w:val="auto"/>
              </w:rPr>
            </w:pPr>
          </w:p>
        </w:tc>
      </w:tr>
      <w:tr>
        <w:trPr>
          <w:trHeight w:val="25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354,466</w:t>
            </w: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408,959</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450,460</w:t>
            </w:r>
          </w:p>
        </w:tc>
        <w:tc>
          <w:tcPr>
            <w:tcW w:w="0" w:type="dxa"/>
            <w:vAlign w:val="bottom"/>
          </w:tcPr>
          <w:p>
            <w:pPr>
              <w:spacing w:after="0"/>
              <w:rPr>
                <w:sz w:val="1"/>
                <w:szCs w:val="1"/>
                <w:color w:val="auto"/>
              </w:rPr>
            </w:pPr>
          </w:p>
        </w:tc>
      </w:tr>
      <w:tr>
        <w:trPr>
          <w:trHeight w:val="257"/>
        </w:trPr>
        <w:tc>
          <w:tcPr>
            <w:tcW w:w="5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575,067</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980,605</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903,119</w:t>
            </w:r>
          </w:p>
        </w:tc>
        <w:tc>
          <w:tcPr>
            <w:tcW w:w="0" w:type="dxa"/>
            <w:vAlign w:val="bottom"/>
          </w:tcPr>
          <w:p>
            <w:pPr>
              <w:spacing w:after="0"/>
              <w:rPr>
                <w:sz w:val="1"/>
                <w:szCs w:val="1"/>
                <w:color w:val="auto"/>
              </w:rPr>
            </w:pPr>
          </w:p>
        </w:tc>
      </w:tr>
      <w:tr>
        <w:trPr>
          <w:trHeight w:val="25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327,541</w:t>
            </w: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1,310,164</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2,308,123</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and other</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2,538,229</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2,457,029</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2,391,184</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12,309,763</w:t>
            </w: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14,575,000</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17,221,274</w:t>
            </w:r>
          </w:p>
        </w:tc>
        <w:tc>
          <w:tcPr>
            <w:tcW w:w="0" w:type="dxa"/>
            <w:vAlign w:val="bottom"/>
          </w:tcPr>
          <w:p>
            <w:pPr>
              <w:spacing w:after="0"/>
              <w:rPr>
                <w:sz w:val="1"/>
                <w:szCs w:val="1"/>
                <w:color w:val="auto"/>
              </w:rPr>
            </w:pPr>
          </w:p>
        </w:tc>
      </w:tr>
      <w:tr>
        <w:trPr>
          <w:trHeight w:val="221"/>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unrealized losses on investments and income</w:t>
            </w: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3,205,601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(714,637)</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8,183,300</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losses on investments</w:t>
            </w:r>
          </w:p>
        </w:tc>
        <w:tc>
          <w:tcPr>
            <w:tcW w:w="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(2,674,885)</w:t>
            </w: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vMerge w:val="continue"/>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530,716</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(714,637)</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8,183,300</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(165,449)</w:t>
            </w:r>
          </w:p>
        </w:tc>
        <w:tc>
          <w:tcPr>
            <w:tcW w:w="1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(81,022)</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5,642,225</w:t>
            </w:r>
          </w:p>
        </w:tc>
        <w:tc>
          <w:tcPr>
            <w:tcW w:w="0" w:type="dxa"/>
            <w:vAlign w:val="bottom"/>
          </w:tcPr>
          <w:p>
            <w:pPr>
              <w:spacing w:after="0"/>
              <w:rPr>
                <w:sz w:val="1"/>
                <w:szCs w:val="1"/>
                <w:color w:val="auto"/>
              </w:rPr>
            </w:pPr>
          </w:p>
        </w:tc>
      </w:tr>
      <w:tr>
        <w:trPr>
          <w:trHeight w:val="20"/>
        </w:trPr>
        <w:tc>
          <w:tcPr>
            <w:tcW w:w="52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tcBorders>
              <w:right w:val="single" w:sz="8" w:color="CCEEFF"/>
            </w:tcBorders>
            <w:gridSpan w:val="2"/>
            <w:vMerge w:val="continue"/>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696,165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(633,615)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2,541,075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-196850</wp:posOffset>
            </wp:positionV>
            <wp:extent cx="9461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9706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-556895</wp:posOffset>
            </wp:positionV>
            <wp:extent cx="9461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-556895</wp:posOffset>
            </wp:positionV>
            <wp:extent cx="39706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-1054100</wp:posOffset>
            </wp:positionV>
            <wp:extent cx="9461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-1054100</wp:posOffset>
            </wp:positionV>
            <wp:extent cx="39706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-3129280</wp:posOffset>
            </wp:positionV>
            <wp:extent cx="857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-3129280</wp:posOffset>
            </wp:positionV>
            <wp:extent cx="396176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COMBINED STATEMENTS OF CHANGES IN MEMBER’S EQUITY</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48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Member’s Equity</w:t>
            </w:r>
          </w:p>
        </w:tc>
      </w:tr>
      <w:tr>
        <w:trPr>
          <w:trHeight w:val="24"/>
        </w:trPr>
        <w:tc>
          <w:tcPr>
            <w:tcW w:w="4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at January 1, 2015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$52,519,916</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$(17,739,571)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$ 34,780,345</w:t>
            </w:r>
          </w:p>
        </w:tc>
        <w:tc>
          <w:tcPr>
            <w:tcW w:w="80" w:type="dxa"/>
            <w:vAlign w:val="bottom"/>
            <w:shd w:val="clear" w:color="auto" w:fill="CCEEFF"/>
          </w:tcPr>
          <w:p>
            <w:pPr>
              <w:spacing w:after="0"/>
              <w:rPr>
                <w:sz w:val="21"/>
                <w:szCs w:val="21"/>
                <w:color w:val="auto"/>
              </w:rPr>
            </w:pPr>
          </w:p>
        </w:tc>
      </w:tr>
      <w:tr>
        <w:trPr>
          <w:trHeight w:val="25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2,541,075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2,541,075</w:t>
            </w:r>
          </w:p>
        </w:tc>
        <w:tc>
          <w:tcPr>
            <w:tcW w:w="80" w:type="dxa"/>
            <w:vAlign w:val="bottom"/>
          </w:tcPr>
          <w:p>
            <w:pPr>
              <w:spacing w:after="0"/>
              <w:rPr>
                <w:sz w:val="22"/>
                <w:szCs w:val="22"/>
                <w:color w:val="auto"/>
              </w:rPr>
            </w:pPr>
          </w:p>
        </w:tc>
      </w:tr>
      <w:tr>
        <w:trPr>
          <w:trHeight w:val="263"/>
        </w:trPr>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(9,050,000)</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(9,050,000)</w:t>
            </w: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at December 31, 2015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52,519,916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(24,248,496)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28,271,420</w:t>
            </w:r>
          </w:p>
        </w:tc>
        <w:tc>
          <w:tcPr>
            <w:tcW w:w="80" w:type="dxa"/>
            <w:vAlign w:val="bottom"/>
          </w:tcPr>
          <w:p>
            <w:pPr>
              <w:spacing w:after="0"/>
              <w:rPr>
                <w:sz w:val="22"/>
                <w:szCs w:val="22"/>
                <w:color w:val="auto"/>
              </w:rPr>
            </w:pPr>
          </w:p>
        </w:tc>
      </w:tr>
      <w:tr>
        <w:trPr>
          <w:trHeight w:val="257"/>
        </w:trPr>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(633,615)</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(633,615)</w:t>
            </w:r>
          </w:p>
        </w:tc>
      </w:tr>
      <w:tr>
        <w:trPr>
          <w:trHeight w:val="26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(2,650,000)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(2,650,000)</w:t>
            </w: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at December 31, 2016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52,519,916</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(27,532,111)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24,987,805</w:t>
            </w:r>
          </w:p>
        </w:tc>
        <w:tc>
          <w:tcPr>
            <w:tcW w:w="80" w:type="dxa"/>
            <w:vAlign w:val="bottom"/>
            <w:shd w:val="clear" w:color="auto" w:fill="CCEEFF"/>
          </w:tcPr>
          <w:p>
            <w:pPr>
              <w:spacing w:after="0"/>
              <w:rPr>
                <w:sz w:val="22"/>
                <w:szCs w:val="22"/>
                <w:color w:val="auto"/>
              </w:rPr>
            </w:pPr>
          </w:p>
        </w:tc>
      </w:tr>
      <w:tr>
        <w:trPr>
          <w:trHeight w:val="25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696,165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696,165</w:t>
            </w:r>
          </w:p>
        </w:tc>
        <w:tc>
          <w:tcPr>
            <w:tcW w:w="80" w:type="dxa"/>
            <w:vAlign w:val="bottom"/>
          </w:tcPr>
          <w:p>
            <w:pPr>
              <w:spacing w:after="0"/>
              <w:rPr>
                <w:sz w:val="22"/>
                <w:szCs w:val="22"/>
                <w:color w:val="auto"/>
              </w:rPr>
            </w:pPr>
          </w:p>
        </w:tc>
      </w:tr>
      <w:tr>
        <w:trPr>
          <w:trHeight w:val="263"/>
        </w:trPr>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(3,210,000)</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(3,210,000)</w:t>
            </w: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at December 31, 2017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52,519,916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(30,045,946)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$ 22,473,970</w:t>
            </w:r>
          </w:p>
        </w:tc>
        <w:tc>
          <w:tcPr>
            <w:tcW w:w="80" w:type="dxa"/>
            <w:vAlign w:val="bottom"/>
          </w:tcPr>
          <w:p>
            <w:pPr>
              <w:spacing w:after="0"/>
              <w:rPr>
                <w:sz w:val="22"/>
                <w:szCs w:val="22"/>
                <w:color w:val="auto"/>
              </w:rPr>
            </w:pPr>
          </w:p>
        </w:tc>
      </w:tr>
      <w:tr>
        <w:trPr>
          <w:trHeight w:val="20"/>
        </w:trPr>
        <w:tc>
          <w:tcPr>
            <w:tcW w:w="4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-702310</wp:posOffset>
            </wp:positionV>
            <wp:extent cx="5143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-702310</wp:posOffset>
            </wp:positionV>
            <wp:extent cx="18034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-702310</wp:posOffset>
            </wp:positionV>
            <wp:extent cx="377317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-1714500</wp:posOffset>
            </wp:positionV>
            <wp:extent cx="1371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-1714500</wp:posOffset>
            </wp:positionV>
            <wp:extent cx="376491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7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696,165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(633,615)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2,541,075</w:t>
            </w:r>
          </w:p>
        </w:tc>
        <w:tc>
          <w:tcPr>
            <w:tcW w:w="0" w:type="dxa"/>
            <w:vAlign w:val="bottom"/>
          </w:tcPr>
          <w:p>
            <w:pPr>
              <w:spacing w:after="0"/>
              <w:rPr>
                <w:sz w:val="1"/>
                <w:szCs w:val="1"/>
                <w:color w:val="auto"/>
              </w:rPr>
            </w:pPr>
          </w:p>
        </w:tc>
      </w:tr>
      <w:tr>
        <w:trPr>
          <w:trHeight w:val="234"/>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(684,241)</w:t>
            </w:r>
          </w:p>
        </w:tc>
        <w:tc>
          <w:tcPr>
            <w:tcW w:w="1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1,925,170</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4,226,118</w:t>
            </w:r>
          </w:p>
        </w:tc>
        <w:tc>
          <w:tcPr>
            <w:tcW w:w="0" w:type="dxa"/>
            <w:vAlign w:val="bottom"/>
          </w:tcPr>
          <w:p>
            <w:pPr>
              <w:spacing w:after="0"/>
              <w:rPr>
                <w:sz w:val="1"/>
                <w:szCs w:val="1"/>
                <w:color w:val="auto"/>
              </w:rPr>
            </w:pPr>
          </w:p>
        </w:tc>
      </w:tr>
      <w:tr>
        <w:trPr>
          <w:trHeight w:val="270"/>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327,541</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1,310,164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2,308,123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interest income</w:t>
            </w:r>
          </w:p>
        </w:tc>
        <w:tc>
          <w:tcPr>
            <w:tcW w:w="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(1,016,614)</w:t>
            </w:r>
          </w:p>
        </w:tc>
        <w:tc>
          <w:tcPr>
            <w:tcW w:w="1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(1,089,679)</w:t>
            </w:r>
          </w:p>
        </w:tc>
        <w:tc>
          <w:tcPr>
            <w:tcW w:w="0" w:type="dxa"/>
            <w:vAlign w:val="bottom"/>
          </w:tcPr>
          <w:p>
            <w:pPr>
              <w:spacing w:after="0"/>
              <w:rPr>
                <w:sz w:val="1"/>
                <w:szCs w:val="1"/>
                <w:color w:val="auto"/>
              </w:rPr>
            </w:pPr>
          </w:p>
        </w:tc>
      </w:tr>
      <w:tr>
        <w:trPr>
          <w:trHeight w:val="270"/>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depreciation</w:t>
            </w:r>
          </w:p>
        </w:tc>
        <w:tc>
          <w:tcPr>
            <w:tcW w:w="8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2,674,885</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management fees</w:t>
            </w:r>
          </w:p>
        </w:tc>
        <w:tc>
          <w:tcPr>
            <w:tcW w:w="8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(169,657)</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1,245,576</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due from affiliates</w:t>
            </w:r>
          </w:p>
        </w:tc>
        <w:tc>
          <w:tcPr>
            <w:tcW w:w="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(60,223)</w:t>
            </w:r>
          </w:p>
        </w:tc>
        <w:tc>
          <w:tcPr>
            <w:tcW w:w="1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556,737</w:t>
            </w:r>
          </w:p>
        </w:tc>
        <w:tc>
          <w:tcPr>
            <w:tcW w:w="1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(389,848)</w:t>
            </w:r>
          </w:p>
        </w:tc>
        <w:tc>
          <w:tcPr>
            <w:tcW w:w="0" w:type="dxa"/>
            <w:vAlign w:val="bottom"/>
          </w:tcPr>
          <w:p>
            <w:pPr>
              <w:spacing w:after="0"/>
              <w:rPr>
                <w:sz w:val="1"/>
                <w:szCs w:val="1"/>
                <w:color w:val="auto"/>
              </w:rPr>
            </w:pPr>
          </w:p>
        </w:tc>
      </w:tr>
      <w:tr>
        <w:trPr>
          <w:trHeight w:val="270"/>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8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782,805</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45,251</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(2,341,414)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accounts payable and accrued</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293,447</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(866,355)</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(5,505,086)</w:t>
            </w:r>
          </w:p>
        </w:tc>
        <w:tc>
          <w:tcPr>
            <w:tcW w:w="0" w:type="dxa"/>
            <w:vAlign w:val="bottom"/>
          </w:tcPr>
          <w:p>
            <w:pPr>
              <w:spacing w:after="0"/>
              <w:rPr>
                <w:sz w:val="1"/>
                <w:szCs w:val="1"/>
                <w:color w:val="auto"/>
              </w:rPr>
            </w:pPr>
          </w:p>
        </w:tc>
      </w:tr>
      <w:tr>
        <w:trPr>
          <w:trHeight w:val="277"/>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interest payable</w:t>
            </w:r>
          </w:p>
        </w:tc>
        <w:tc>
          <w:tcPr>
            <w:tcW w:w="80" w:type="dxa"/>
            <w:vAlign w:val="bottom"/>
            <w:shd w:val="clear" w:color="auto" w:fill="CCEEFF"/>
          </w:tcPr>
          <w:p>
            <w:pPr>
              <w:spacing w:after="0"/>
              <w:rPr>
                <w:sz w:val="24"/>
                <w:szCs w:val="24"/>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230,034</w:t>
            </w:r>
          </w:p>
        </w:tc>
        <w:tc>
          <w:tcPr>
            <w:tcW w:w="10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(178,250)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due to affiliates</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330,574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(1,504,112)</w:t>
            </w:r>
          </w:p>
        </w:tc>
        <w:tc>
          <w:tcPr>
            <w:tcW w:w="1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1,889,707</w:t>
            </w:r>
          </w:p>
        </w:tc>
        <w:tc>
          <w:tcPr>
            <w:tcW w:w="0" w:type="dxa"/>
            <w:vAlign w:val="bottom"/>
          </w:tcPr>
          <w:p>
            <w:pPr>
              <w:spacing w:after="0"/>
              <w:rPr>
                <w:sz w:val="1"/>
                <w:szCs w:val="1"/>
                <w:color w:val="auto"/>
              </w:rPr>
            </w:pPr>
          </w:p>
        </w:tc>
      </w:tr>
      <w:tr>
        <w:trPr>
          <w:trHeight w:val="270"/>
        </w:trPr>
        <w:tc>
          <w:tcPr>
            <w:tcW w:w="476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4,418,643</w:t>
            </w:r>
          </w:p>
        </w:tc>
        <w:tc>
          <w:tcPr>
            <w:tcW w:w="22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883,952</w:t>
            </w:r>
          </w:p>
        </w:tc>
        <w:tc>
          <w:tcPr>
            <w:tcW w:w="22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w:t>
            </w:r>
          </w:p>
        </w:tc>
        <w:tc>
          <w:tcPr>
            <w:tcW w:w="8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(102,573,408)</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(22,000,000)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Proceeds from sales/redemptions/maturities of investments</w:t>
            </w: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31,106,293</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22,506,850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8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(82,573,408)</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24,106,293</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distributions</w:t>
            </w:r>
          </w:p>
        </w:tc>
        <w:tc>
          <w:tcPr>
            <w:tcW w:w="8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(3,210,000)</w:t>
            </w:r>
          </w:p>
        </w:tc>
        <w:tc>
          <w:tcPr>
            <w:tcW w:w="100" w:type="dxa"/>
            <w:vAlign w:val="bottom"/>
            <w:shd w:val="clear" w:color="auto" w:fill="CCEEFF"/>
          </w:tcPr>
          <w:p>
            <w:pPr>
              <w:spacing w:after="0"/>
              <w:rPr>
                <w:sz w:val="23"/>
                <w:szCs w:val="23"/>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(2,650,000)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offering proceeds</w:t>
            </w:r>
          </w:p>
        </w:tc>
        <w:tc>
          <w:tcPr>
            <w:tcW w:w="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127,594,718</w:t>
            </w:r>
          </w:p>
        </w:tc>
        <w:tc>
          <w:tcPr>
            <w:tcW w:w="1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36,000,000</w:t>
            </w:r>
          </w:p>
        </w:tc>
        <w:tc>
          <w:tcPr>
            <w:tcW w:w="0" w:type="dxa"/>
            <w:vAlign w:val="bottom"/>
          </w:tcPr>
          <w:p>
            <w:pPr>
              <w:spacing w:after="0"/>
              <w:rPr>
                <w:sz w:val="1"/>
                <w:szCs w:val="1"/>
                <w:color w:val="auto"/>
              </w:rPr>
            </w:pPr>
          </w:p>
        </w:tc>
      </w:tr>
      <w:tr>
        <w:trPr>
          <w:trHeight w:val="277"/>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80" w:type="dxa"/>
            <w:vAlign w:val="bottom"/>
            <w:shd w:val="clear" w:color="auto" w:fill="CCEEFF"/>
          </w:tcPr>
          <w:p>
            <w:pPr>
              <w:spacing w:after="0"/>
              <w:rPr>
                <w:sz w:val="24"/>
                <w:szCs w:val="24"/>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(45,000,000)</w:t>
            </w:r>
          </w:p>
        </w:tc>
        <w:tc>
          <w:tcPr>
            <w:tcW w:w="10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(30,000,000)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(36,000,000)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79,384,718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(25,650,000)</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(9,050,000)</w:t>
            </w:r>
          </w:p>
        </w:tc>
        <w:tc>
          <w:tcPr>
            <w:tcW w:w="0" w:type="dxa"/>
            <w:vAlign w:val="bottom"/>
          </w:tcPr>
          <w:p>
            <w:pPr>
              <w:spacing w:after="0"/>
              <w:rPr>
                <w:sz w:val="1"/>
                <w:szCs w:val="1"/>
                <w:color w:val="auto"/>
              </w:rPr>
            </w:pPr>
          </w:p>
        </w:tc>
      </w:tr>
      <w:tr>
        <w:trPr>
          <w:trHeight w:val="20"/>
        </w:trPr>
        <w:tc>
          <w:tcPr>
            <w:tcW w:w="4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1,229,953</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(659,755)</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(3,667,650)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3,425,709</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4,085,464</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7,753,114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4,655,662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3,425,709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4,085,464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Supplemental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1,999,767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taxes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5,477,493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-805180</wp:posOffset>
            </wp:positionV>
            <wp:extent cx="14605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-805180</wp:posOffset>
            </wp:positionV>
            <wp:extent cx="383349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-1183005</wp:posOffset>
            </wp:positionV>
            <wp:extent cx="14605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-1183005</wp:posOffset>
            </wp:positionV>
            <wp:extent cx="383349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-2254885</wp:posOffset>
            </wp:positionV>
            <wp:extent cx="14605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-2254885</wp:posOffset>
            </wp:positionV>
            <wp:extent cx="383349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-2949575</wp:posOffset>
            </wp:positionV>
            <wp:extent cx="14605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-2949575</wp:posOffset>
            </wp:positionV>
            <wp:extent cx="383349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-5641975</wp:posOffset>
            </wp:positionV>
            <wp:extent cx="13716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-5641975</wp:posOffset>
            </wp:positionV>
            <wp:extent cx="382460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08"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Katonah Debt Advisors, L.L.C. (“Katonah Debt Advisors”), a registered investment adviser under the Investment Advisors Act of 1940 (“the IA Act of 1940”), is a wholly-owned portfolio company of KCAP Financial, Inc. (“KCAP Financial” or the “Company”), which is an internally managed, non-diversified closed-end publicly traded investment company that is regulated as a business development company (“BDC”) under the Investment Company Act of 1940 (the “1940 Act”). Katonah Debt Advisors manages collateralized loan obligation funds (“CLO Funds”) which invest in broadly syndicated loans, high-yield bonds and other credit instruments. On February 29, 2012, KCAP Financial, through its newly formed wholly-owned subsidiary Commodore Holdings LLC (“Commodore”) purchased Trimaran Advisors, L.L.C. (“Trimaran Advisors”), a registered investment adviser and CLO manager similar to Katonah Debt Advisors, for total consideration of $13.0 million in cash and 3,600,000 shares of KCAP Financial’s common stock. Contemporaneous with the acquisition of Trimaran Advisors, KCAP Financial acquired from Trimaran Advisors equity interests in certain CLO Funds managed by Trimaran Advisors for an aggregate purchase price of $12.0 million in cash. As of December 31, 2017, Commodore and its wholly-owned subsidiaries Katonah Debt Advisors, Trimaran Advisors and Trimaran Advisors Management, L.L.C., as well as affiliated management companies Katonah 2007-1 Management, L.L.C., Katonah X Management, L.L.C. and KCAP Management, L.L.C. (collectively, the “Asset Manager Affiliates”) had approximately $3.0 billion of par value assets under management. The Asset Manager Affiliates provide investment management services to CLO Funds, making day-to-day investment decisions concerning the assets of the CLO Funds. In 2017, Trimaran formed and capitalized Trimaran Risk Retention Holdings, LLC, Trimaran RR I, LLC, and Trimaran RR II, LLC, in order to satisfy certain provisions of the Dodd-Frank Wall Street Reform and Consumer Protection Act (Dodd-Frank). The Asset Manager Affiliates have investment interests in certain of the CLO Funds they manage. In addition, KCAP Financial holds investments in a portion of the securities issued by the CLO Funds managed by the Asset Manager Affiliates.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08"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have been prepared in accordance with Accounting Principles Generally Accepted in the United States (“U.S. GAAP”) and include the financial statements of the Asset Manager Affiliates. The Asset Manager Affiliates provide investment management services to various CLO Funds, making day-to-day investment decisions concerning the assets of the CLO Funds. The Asset Manager Affiliates are all under the common control of the Company and have similar business characteristics; therefore they report on a combined basis for financial reporting purposes.</w:t>
      </w:r>
    </w:p>
    <w:p>
      <w:pPr>
        <w:spacing w:after="0" w:line="80" w:lineRule="exact"/>
        <w:rPr>
          <w:sz w:val="20"/>
          <w:szCs w:val="20"/>
          <w:color w:val="auto"/>
        </w:rPr>
      </w:pPr>
    </w:p>
    <w:p>
      <w:pPr>
        <w:ind w:left="1260" w:right="859" w:firstLine="360"/>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combined financial statements reflect all adjustments, consisting of normal recurring accruals, which are necessary for the fair presentation of the financial condition and results of operations for the periods presented. All significant intercompany transactions, balances, revenues and expenses are eliminated upon combination. Certain prior-year amounts have been reclassified to conform to the current year presentation. 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w:t>
      </w:r>
    </w:p>
    <w:p>
      <w:pPr>
        <w:spacing w:after="0" w:line="81" w:lineRule="exact"/>
        <w:rPr>
          <w:sz w:val="20"/>
          <w:szCs w:val="20"/>
          <w:color w:val="auto"/>
        </w:rPr>
      </w:pPr>
    </w:p>
    <w:p>
      <w:pPr>
        <w:ind w:left="1260" w:right="859" w:firstLine="360"/>
        <w:spacing w:after="0" w:line="255" w:lineRule="auto"/>
        <w:rPr>
          <w:sz w:val="20"/>
          <w:szCs w:val="20"/>
          <w:color w:val="auto"/>
        </w:rPr>
      </w:pPr>
      <w:r>
        <w:rPr>
          <w:rFonts w:ascii="Times New Roman" w:cs="Times New Roman" w:eastAsia="Times New Roman" w:hAnsi="Times New Roman"/>
          <w:sz w:val="18"/>
          <w:szCs w:val="18"/>
          <w:color w:val="auto"/>
        </w:rPr>
        <w:t>On February 18, 2015, the FASB issued Accounting Standards Update 2015-2 (“ASU 2015-2”), which updated consolidation standards under ASC Topic 810, “Consolidation”. Under this update, a new consolidation analysis is required for variable interest entities (“VIEs”), which limits the circumstances in which investment managers and similar entities are required to consolidate the entities that they manage. ASU 2015-02 eliminates some of the criteria under which the fees of investment managers and similar entities are considered a variable interest and limit the circumstances in which variable interests in a VIE held by related parties of a reporting enterprise require the reporting enterprise to consolidate the VIE.</w:t>
      </w:r>
    </w:p>
    <w:p>
      <w:pPr>
        <w:spacing w:after="0" w:line="25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ind w:left="1260" w:right="759"/>
        <w:spacing w:after="0" w:line="261" w:lineRule="auto"/>
        <w:rPr>
          <w:sz w:val="20"/>
          <w:szCs w:val="20"/>
          <w:color w:val="auto"/>
        </w:rPr>
      </w:pPr>
      <w:r>
        <w:rPr>
          <w:rFonts w:ascii="Times New Roman" w:cs="Times New Roman" w:eastAsia="Times New Roman" w:hAnsi="Times New Roman"/>
          <w:sz w:val="18"/>
          <w:szCs w:val="18"/>
          <w:color w:val="auto"/>
        </w:rPr>
        <w:t>During 2016, the Asset Manager Affiliates adopted ASU 2015-02 on a retrospective basis for all periods presented. The consolidated financial statements and related note disclosures have been adjusted for the impact of the adoption. The adoption did not result in a cumulative effect adjustment to the Asset Manager Affiliates’ accumulated deficit.</w:t>
      </w:r>
    </w:p>
    <w:p>
      <w:pPr>
        <w:spacing w:after="0" w:line="72" w:lineRule="exact"/>
        <w:rPr>
          <w:sz w:val="20"/>
          <w:szCs w:val="20"/>
          <w:color w:val="auto"/>
        </w:rPr>
      </w:pPr>
    </w:p>
    <w:p>
      <w:pPr>
        <w:ind w:left="1260" w:right="879" w:firstLine="360"/>
        <w:spacing w:after="0" w:line="253" w:lineRule="auto"/>
        <w:rPr>
          <w:sz w:val="20"/>
          <w:szCs w:val="20"/>
          <w:color w:val="auto"/>
        </w:rPr>
      </w:pPr>
      <w:r>
        <w:rPr>
          <w:rFonts w:ascii="Times New Roman" w:cs="Times New Roman" w:eastAsia="Times New Roman" w:hAnsi="Times New Roman"/>
          <w:sz w:val="18"/>
          <w:szCs w:val="18"/>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2018. Management has concluded that there will be no material impact from the adoption of ASU 2015-14. Management does not believe that the adoption of ASU 2014-09 will have a material impact to the Asset Manager Affiliates’ financial statements.</w:t>
      </w:r>
    </w:p>
    <w:p>
      <w:pPr>
        <w:spacing w:after="0" w:line="85"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On February 25, 2016, the FASB issued Accounting Standards Update 2016-02, Leases (Topic 842). This update will require organizations to recognize leased assets and liabilities on the balance sheet for the rights and obligations created by those leases. The recognition, measurement, presentation and cash flows arising from a lease by a lessee will primarily depend on its classification as a finance or operating lease. The ASU will require that both types of leases to be recognized on the balance sheet. For public business entities, this guidance is effective for fiscal years beginning after December 15, 2018. Management is still evaluating the effect of the new standard.</w:t>
      </w:r>
    </w:p>
    <w:p>
      <w:pPr>
        <w:spacing w:after="0" w:line="77"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at Fair Value. </w:t>
      </w:r>
      <w:r>
        <w:rPr>
          <w:rFonts w:ascii="Times New Roman" w:cs="Times New Roman" w:eastAsia="Times New Roman" w:hAnsi="Times New Roman"/>
          <w:sz w:val="18"/>
          <w:szCs w:val="18"/>
          <w:color w:val="auto"/>
        </w:rPr>
        <w:t>Investment transactions are recorded on the applicable trade date. Realized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gains or losses are determined using the specific identification method. Investments held by the Asset Manager Affiliates are stated at fair value. Accounting Standards Codification (“ASC”) 820 — Fair Value Measurements and Disclosures (“ASC 820: Fair Value”), requires, among other things, disclosures about assets and liabilities that are measured and reported at fair value. Investments are generally comprised of investments in first loss position in facilities which warehouse assets for a new CLO and certain investments in CLO Funds managed by the Asset Manager Affiliates. The Asset Manager Affiliates’ assessment of the significance of a particular input to the Fair Value measurement in its entirety requires judgment and considers factors specific to the financial instrument.</w:t>
      </w:r>
    </w:p>
    <w:p>
      <w:pPr>
        <w:spacing w:after="0" w:line="76"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Hierarchy of Fair Value Inputs. </w:t>
      </w:r>
      <w:r>
        <w:rPr>
          <w:rFonts w:ascii="Times New Roman" w:cs="Times New Roman" w:eastAsia="Times New Roman" w:hAnsi="Times New Roman"/>
          <w:sz w:val="18"/>
          <w:szCs w:val="18"/>
          <w:color w:val="auto"/>
        </w:rPr>
        <w:t>The provisions of ASC 820: Fair Value establish a hierarchy that prioritizes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to valuation techniques used to measure fair value and require companies to disclose the fair value of their financial instruments according to the fair value hierarchy (i.e., Level I, II and III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III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and reported at fair value are classified and disclosed in one of the following categories: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Level I Inputs:</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Quoted prices (unadjusted) in active markets for identical assets or liabilities at the reporting date.</w:t>
      </w: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Level II Inputs:</w:t>
      </w:r>
    </w:p>
    <w:p>
      <w:pPr>
        <w:spacing w:after="0" w:line="117"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Quoted prices for similar assets or liabilities in active markets; quoted prices for identical or similar assets or liabilities that are not active; quotes from pricing services or brokers, for which the Asset Manager Affiliates can determine that orderly transactions took place at the quoted price or that the inputs used to arrive at the price were observable; and inputs other than quoted prices that are observable, such as models or other valuation methodologies.</w:t>
      </w:r>
    </w:p>
    <w:p>
      <w:pPr>
        <w:spacing w:after="0" w:line="116" w:lineRule="exact"/>
        <w:rPr>
          <w:sz w:val="20"/>
          <w:szCs w:val="20"/>
          <w:color w:val="auto"/>
        </w:rPr>
      </w:pPr>
    </w:p>
    <w:p>
      <w:pPr>
        <w:ind w:left="1980" w:right="799" w:hanging="352"/>
        <w:spacing w:after="0" w:line="281" w:lineRule="auto"/>
        <w:tabs>
          <w:tab w:leader="none" w:pos="19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 assets in this category may include debt securities, bank loans, short-term floating rate notes and asset-backed securities, restricted public securities valued at a discount, as well as over-the-counter derivatives, including interest and inflation rate swaps and foreign currency exchange contracts that have inputs to the valuations that generally can be corroborated by observable market data.</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Level III Inputs:</w:t>
      </w:r>
    </w:p>
    <w:p>
      <w:pPr>
        <w:spacing w:after="0" w:line="117"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Unobservable inputs may include non-binding broker quotes. Level III assets include investments for which there is little, if any, market activity. These inputs require significant management judgment or estimation.</w:t>
      </w:r>
    </w:p>
    <w:p>
      <w:pPr>
        <w:spacing w:after="0" w:line="81" w:lineRule="exact"/>
        <w:rPr>
          <w:sz w:val="20"/>
          <w:szCs w:val="20"/>
          <w:color w:val="auto"/>
        </w:rPr>
      </w:pPr>
    </w:p>
    <w:p>
      <w:pPr>
        <w:ind w:left="1260" w:right="2979" w:firstLine="368"/>
        <w:spacing w:after="0" w:line="375" w:lineRule="auto"/>
        <w:tabs>
          <w:tab w:leader="none" w:pos="1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III assets in this category include, securities issued by CLO Funds. </w:t>
      </w:r>
      <w:r>
        <w:rPr>
          <w:rFonts w:ascii="Times New Roman" w:cs="Times New Roman" w:eastAsia="Times New Roman" w:hAnsi="Times New Roman"/>
          <w:sz w:val="18"/>
          <w:szCs w:val="18"/>
          <w:u w:val="single" w:color="auto"/>
          <w:color w:val="auto"/>
        </w:rPr>
        <w:t>Significance of Inputs:</w:t>
      </w:r>
    </w:p>
    <w:p>
      <w:pPr>
        <w:spacing w:after="0" w:line="1" w:lineRule="exact"/>
        <w:rPr>
          <w:sz w:val="20"/>
          <w:szCs w:val="20"/>
          <w:color w:val="auto"/>
        </w:rPr>
      </w:pPr>
    </w:p>
    <w:p>
      <w:pPr>
        <w:jc w:val="both"/>
        <w:ind w:left="1260" w:right="1499" w:firstLine="360"/>
        <w:spacing w:after="0" w:line="282" w:lineRule="auto"/>
        <w:rPr>
          <w:sz w:val="20"/>
          <w:szCs w:val="20"/>
          <w:color w:val="auto"/>
        </w:rPr>
      </w:pPr>
      <w:r>
        <w:rPr>
          <w:rFonts w:ascii="Times New Roman" w:cs="Times New Roman" w:eastAsia="Times New Roman" w:hAnsi="Times New Roman"/>
          <w:sz w:val="18"/>
          <w:szCs w:val="18"/>
          <w:color w:val="auto"/>
        </w:rPr>
        <w:t>The Asset Manager Affiliates’ assessment of the significance of a particular input to the fair value measurement in its entirety requires judgment and considers factors specific to the financial instrument.</w:t>
      </w:r>
    </w:p>
    <w:p>
      <w:pPr>
        <w:spacing w:after="0" w:line="50" w:lineRule="exact"/>
        <w:rPr>
          <w:sz w:val="20"/>
          <w:szCs w:val="20"/>
          <w:color w:val="auto"/>
        </w:rPr>
      </w:pPr>
    </w:p>
    <w:p>
      <w:pPr>
        <w:jc w:val="both"/>
        <w:ind w:left="1260" w:right="95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The Asset Manager Affiliates define cash as demand deposits. The Asset Manager Affiliates 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cash with financial institutions and, at times, cash held in these accounts may exceed the Federal Deposit Insurance Corporation insured limit.</w:t>
      </w:r>
    </w:p>
    <w:p>
      <w:pPr>
        <w:spacing w:after="0" w:line="63" w:lineRule="exact"/>
        <w:rPr>
          <w:sz w:val="20"/>
          <w:szCs w:val="20"/>
          <w:color w:val="auto"/>
        </w:rPr>
      </w:pPr>
    </w:p>
    <w:p>
      <w:pPr>
        <w:ind w:left="1260" w:right="14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Assets</w:t>
      </w:r>
      <w:r>
        <w:rPr>
          <w:rFonts w:ascii="Times New Roman" w:cs="Times New Roman" w:eastAsia="Times New Roman" w:hAnsi="Times New Roman"/>
          <w:sz w:val="18"/>
          <w:szCs w:val="18"/>
          <w:color w:val="auto"/>
        </w:rPr>
        <w:t>. Other assets are generally comprised of prepaid expenses and current income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 (if any). Prepaid expenses are amortized over their terms or expected useful life.</w:t>
      </w:r>
    </w:p>
    <w:p>
      <w:pPr>
        <w:spacing w:after="0" w:line="47" w:lineRule="exact"/>
        <w:rPr>
          <w:sz w:val="20"/>
          <w:szCs w:val="20"/>
          <w:color w:val="auto"/>
        </w:rPr>
      </w:pPr>
    </w:p>
    <w:p>
      <w:pPr>
        <w:ind w:left="1260" w:right="8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color w:val="auto"/>
        </w:rPr>
        <w:t>. Interest income is recorded on the accrual basis on interest-bearing assets.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on residual beneficial interests in warehouse facilities and CLO Funds is recognized using the effective interest method under ASC 325-40. 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 — basis investment income and from the cash distributions actually received by the Company during the period.</w:t>
      </w:r>
    </w:p>
    <w:p>
      <w:pPr>
        <w:spacing w:after="0" w:line="75" w:lineRule="exact"/>
        <w:rPr>
          <w:sz w:val="20"/>
          <w:szCs w:val="20"/>
          <w:color w:val="auto"/>
        </w:rPr>
      </w:pPr>
    </w:p>
    <w:p>
      <w:pPr>
        <w:ind w:left="1260" w:right="8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 Fees. </w:t>
      </w:r>
      <w:r>
        <w:rPr>
          <w:rFonts w:ascii="Times New Roman" w:cs="Times New Roman" w:eastAsia="Times New Roman" w:hAnsi="Times New Roman"/>
          <w:sz w:val="18"/>
          <w:szCs w:val="18"/>
          <w:color w:val="auto"/>
        </w:rPr>
        <w:t>As a manager of CLO Funds, the Asset Manager Affiliates receive contractual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recurring management fees (and may receive one-time structuring fees) from the CLO Funds for their management and advisory services. The periodic fees which the Asset Manager Affiliates are generally based on a fixed percentage of assets under management (at par value and not subject to changes in market value). The periodic management fees the Asset Manager Affiliates receive have two components — a senior management fee and a subordinated management fee.</w:t>
      </w:r>
    </w:p>
    <w:p>
      <w:pPr>
        <w:spacing w:after="0" w:line="75" w:lineRule="exact"/>
        <w:rPr>
          <w:sz w:val="20"/>
          <w:szCs w:val="20"/>
          <w:color w:val="auto"/>
        </w:rPr>
      </w:pPr>
    </w:p>
    <w:p>
      <w:pPr>
        <w:jc w:val="both"/>
        <w:ind w:left="1260" w:right="10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Incentive Fees. </w:t>
      </w:r>
      <w:r>
        <w:rPr>
          <w:rFonts w:ascii="Times New Roman" w:cs="Times New Roman" w:eastAsia="Times New Roman" w:hAnsi="Times New Roman"/>
          <w:sz w:val="18"/>
          <w:szCs w:val="18"/>
          <w:color w:val="auto"/>
        </w:rPr>
        <w:t>As a manager of CLO Funds, the Asset Manager Affiliates may receive incentive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exceeding specified relative and/or absolute investment return thresholds. Such fees are recorded upon completion of the measurement period, which varies by CLO Fund.</w:t>
      </w: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198" w:lineRule="exact"/>
        <w:rPr>
          <w:sz w:val="20"/>
          <w:szCs w:val="20"/>
          <w:color w:val="auto"/>
        </w:rPr>
      </w:pPr>
    </w:p>
    <w:p>
      <w:pPr>
        <w:ind w:left="1260" w:right="9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Distributions to Member. </w:t>
      </w:r>
      <w:r>
        <w:rPr>
          <w:rFonts w:ascii="Times New Roman" w:cs="Times New Roman" w:eastAsia="Times New Roman" w:hAnsi="Times New Roman"/>
          <w:sz w:val="18"/>
          <w:szCs w:val="18"/>
          <w:color w:val="auto"/>
        </w:rPr>
        <w:t>Distributions to the Asset Manager Affiliates’ sole member are recognized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ex-dividend date. Generally, distributions have been declared and paid on a quarterly basis.</w:t>
      </w:r>
    </w:p>
    <w:p>
      <w:pPr>
        <w:spacing w:after="0" w:line="47"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The Asset Manager Affiliates expense costs, as incurred, with regard to the running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Primary operating expenses include employee compensation and benefits, the costs of identifying, evaluating, monitoring and servicing the CLO Fund investments managed by the Asset Manager Affiliates, and related overhead charges and expenses, including rental expense. The Asset Manager Affiliates share office space and certain other operating expenses. Katonah Debt Advisors has entered into an Overhead Allocation Agreement with its sole member, KCAP Financial. Trimaran Advisors has entered into such an allocation agreement with Katonah Debt Advisors. The Agreements provide for the sharing of such expenses based on an equal sharing of office lease costs and the ratable usage of other shared resources. Katonah Debt Advisors accounts for its operating leases, which may include escalations, in accordance with ASC 840-10, Leases, and expenses the lease payments associated with operating leases evenly during the lease term (including rent-free periods), beginning on the commencement of the lease term.</w:t>
      </w:r>
    </w:p>
    <w:p>
      <w:pPr>
        <w:spacing w:after="0" w:line="75"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Expenses</w:t>
      </w:r>
      <w:r>
        <w:rPr>
          <w:rFonts w:ascii="Times New Roman" w:cs="Times New Roman" w:eastAsia="Times New Roman" w:hAnsi="Times New Roman"/>
          <w:sz w:val="18"/>
          <w:szCs w:val="18"/>
          <w:color w:val="auto"/>
        </w:rPr>
        <w:t>. Interest expense related to borrowings of the Asset Manager Affiliates is recorded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accrual basis pursuant to the terms of the related borrowing agreements. Interest is accrued and generally paid quarterly.</w:t>
      </w:r>
    </w:p>
    <w:p>
      <w:pPr>
        <w:spacing w:after="0" w:line="63"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Asset Manager Affiliates account for income taxes under the liability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prescribed by ASC 740, Income Taxes (“ASC 740”). Deferred income tax assets and liabilities are recognized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The effect of a change in tax rates on deferred income tax assets and liabilities is recognized in income in the period that includes the enactment date.</w:t>
      </w:r>
    </w:p>
    <w:p>
      <w:pPr>
        <w:spacing w:after="0" w:line="79"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Management periodically assesses the recoverability of its deferred income tax assets based upon expected future earnings, taxable income in prior carryback years, future deductibility of the asset, changes in applicable tax laws and other factors. If management determines that it is not more likely than not that the deferred tax asset will be fully recoverable in the future, a valuation allowance will be established for the difference between the asset balance and the amount expected to be recoverable in the future. This allowance will result in a charge to income tax expense on the combined statements of operations. The Asset Manager Affiliate record their income taxes receivables and payables based upon their estimated income tax liability.</w:t>
      </w:r>
    </w:p>
    <w:p>
      <w:pPr>
        <w:spacing w:after="0" w:line="81"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ASC 740 clarifies the accounting for uncertainty in income taxes recognized in a company’s financial statements by prescribing a threshold for measurement and recognition in the financial statements of an asset or liability resulting from a tax position taken or expected to be taken in an income tax return. ASC 740 also provides guidance on derecognition, classification, interest and penalties, accounting in interim periods, disclosure and transition.</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CLO FUNDS</w:t>
      </w:r>
    </w:p>
    <w:p>
      <w:pPr>
        <w:spacing w:after="0" w:line="108"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A CLO Fund generally refers to a special purpose vehicle that owns a portfolio of investments and issues various tranches of debt and subordinated securities to finance the purchase of those investments. Investments purchased by the CLO Funds are governed by extensive investment guidelines, including limits on exposure to any single industry or issuer and limits on the ratings of the CLO Fund’s assets. The CLO Funds managed by the Asset Manager Affiliates have a defined investment period during which they are allowed to make investments or reinvest capital as it becomes available.</w:t>
      </w:r>
    </w:p>
    <w:p>
      <w:pPr>
        <w:spacing w:after="0" w:line="80"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The Asset Manager Affiliates manage CLO Funds primarily for third party investors. The CLO Funds generally invest in syndicated loans and other credit instruments issued by corporations. At December 31,</w:t>
      </w: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CLO FUNDS – (continued)</w:t>
      </w:r>
    </w:p>
    <w:p>
      <w:pPr>
        <w:spacing w:after="0" w:line="202" w:lineRule="exact"/>
        <w:rPr>
          <w:sz w:val="20"/>
          <w:szCs w:val="20"/>
          <w:color w:val="auto"/>
        </w:rPr>
      </w:pPr>
    </w:p>
    <w:p>
      <w:pPr>
        <w:ind w:left="1260" w:right="1179"/>
        <w:spacing w:after="0" w:line="282" w:lineRule="auto"/>
        <w:rPr>
          <w:sz w:val="20"/>
          <w:szCs w:val="20"/>
          <w:color w:val="auto"/>
        </w:rPr>
      </w:pPr>
      <w:r>
        <w:rPr>
          <w:rFonts w:ascii="Times New Roman" w:cs="Times New Roman" w:eastAsia="Times New Roman" w:hAnsi="Times New Roman"/>
          <w:sz w:val="18"/>
          <w:szCs w:val="18"/>
          <w:color w:val="auto"/>
        </w:rPr>
        <w:t>2017 and 2016, the Asset Manager Affiliates had approximately $3.0 billion and $3.0 billion of par value of assets under management, respectively.</w:t>
      </w:r>
    </w:p>
    <w:p>
      <w:pPr>
        <w:spacing w:after="0" w:line="54"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The CLO Funds are primarily financed via capital contributed by subordinated noteholders and debt holders. CLO Funds are investment vehicles created for the sole purpose of issuing collateralized loan instruments that offer investors the opportunity for returns that vary with the risk level of their investment. The securities issued by the CLO Funds are backed by diversified collateral asset portfolios consisting primarily of loans. For managing the collateral for the CLO Fund entities, the Asset Manager Affiliates earn investment management fees, including senior and subordinated management fees, as well as contingent incentive fees. For the years ending December 31, 2017, 2016 and 2015, management fee revenues included incentive fees earned of approximately $3.0 million, $983,000, and $8.0 million, respectively.</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08" w:lineRule="exact"/>
        <w:rPr>
          <w:sz w:val="20"/>
          <w:szCs w:val="20"/>
          <w:color w:val="auto"/>
        </w:rPr>
      </w:pPr>
    </w:p>
    <w:p>
      <w:pPr>
        <w:jc w:val="both"/>
        <w:ind w:left="1260" w:right="759" w:firstLine="360"/>
        <w:spacing w:after="0" w:line="289" w:lineRule="auto"/>
        <w:rPr>
          <w:sz w:val="20"/>
          <w:szCs w:val="20"/>
          <w:color w:val="auto"/>
        </w:rPr>
      </w:pPr>
      <w:r>
        <w:rPr>
          <w:rFonts w:ascii="Times New Roman" w:cs="Times New Roman" w:eastAsia="Times New Roman" w:hAnsi="Times New Roman"/>
          <w:sz w:val="17"/>
          <w:szCs w:val="17"/>
          <w:color w:val="auto"/>
        </w:rPr>
        <w:t>The Asset Manager Affiliates may also make investments in the CLO Funds they manage in order to comply with the risk retention requirements of Dodd-Frank. As of December 31, 2017, the Asset Manager Affiliates have investments in in various classes of debt securities and residual interests of the following managed CLO Funds:</w:t>
      </w:r>
    </w:p>
    <w:p>
      <w:pPr>
        <w:spacing w:after="0" w:line="71"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4"/>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r>
      <w:tr>
        <w:trPr>
          <w:trHeight w:val="183"/>
        </w:trPr>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(in millions)</w:t>
            </w:r>
          </w:p>
        </w:tc>
      </w:tr>
      <w:tr>
        <w:trPr>
          <w:trHeight w:val="25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Catamaran 2013-1</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22"/>
                <w:szCs w:val="22"/>
                <w:color w:val="auto"/>
              </w:rPr>
            </w:pPr>
          </w:p>
        </w:tc>
      </w:tr>
      <w:tr>
        <w:trPr>
          <w:trHeight w:val="25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Catamaran 2014-1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22"/>
                <w:szCs w:val="22"/>
                <w:color w:val="auto"/>
              </w:rPr>
            </w:pPr>
          </w:p>
        </w:tc>
      </w:tr>
      <w:tr>
        <w:trPr>
          <w:trHeight w:val="264"/>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Catamaran 2015-1</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57"/>
        </w:trPr>
        <w:tc>
          <w:tcPr>
            <w:tcW w:w="65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79.9</w:t>
            </w:r>
          </w:p>
        </w:tc>
        <w:tc>
          <w:tcPr>
            <w:tcW w:w="180" w:type="dxa"/>
            <w:vAlign w:val="bottom"/>
          </w:tcPr>
          <w:p>
            <w:pPr>
              <w:spacing w:after="0"/>
              <w:rPr>
                <w:sz w:val="22"/>
                <w:szCs w:val="22"/>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2"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In addition, their sole direct or indirect shareholder, KCAP Financial, has invested in certain of the CLO Funds, generally taking a portion of the unrated, junior subordinated position (generally subordinated to other interests) in the entities and entitle KCAP Financial and other subordinated tranche investors to receive the residual cash flows, if any, from the CLO Funds.</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shows the investments owned by the Asset Manager Affiliates by security type at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2017:</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5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75,735,482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75,960,178</w:t>
            </w:r>
          </w:p>
        </w:tc>
      </w:tr>
      <w:tr>
        <w:trPr>
          <w:trHeight w:val="264"/>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interests in CLO Fund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6,840,613</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3,941,031</w:t>
            </w: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82,576,095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79,901,209</w:t>
            </w:r>
          </w:p>
        </w:tc>
      </w:tr>
      <w:tr>
        <w:trPr>
          <w:trHeight w:val="20"/>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-702310</wp:posOffset>
            </wp:positionV>
            <wp:extent cx="13716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-702310</wp:posOffset>
            </wp:positionV>
            <wp:extent cx="13716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INVESTMENTS – (continued)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08" w:lineRule="exact"/>
        <w:rPr>
          <w:sz w:val="20"/>
          <w:szCs w:val="20"/>
          <w:color w:val="auto"/>
        </w:rPr>
      </w:pPr>
    </w:p>
    <w:p>
      <w:pPr>
        <w:ind w:left="1260" w:right="14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investments by the above ASC 820: Fair Value hierarchy levels as of December 31, 2017 and 2016, respectively:</w:t>
      </w:r>
    </w:p>
    <w:p>
      <w:pPr>
        <w:spacing w:after="0" w:line="7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900" w:type="dxa"/>
            <w:vAlign w:val="bottom"/>
          </w:tcPr>
          <w:p>
            <w:pPr>
              <w:spacing w:after="0"/>
              <w:rPr>
                <w:sz w:val="16"/>
                <w:szCs w:val="16"/>
                <w:color w:val="auto"/>
              </w:rPr>
            </w:pPr>
          </w:p>
        </w:tc>
      </w:tr>
      <w:tr>
        <w:trPr>
          <w:trHeight w:val="24"/>
        </w:trPr>
        <w:tc>
          <w:tcPr>
            <w:tcW w:w="4780" w:type="dxa"/>
            <w:vAlign w:val="bottom"/>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4780" w:type="dxa"/>
            <w:vAlign w:val="bottom"/>
          </w:tcPr>
          <w:p>
            <w:pPr>
              <w:spacing w:after="0"/>
              <w:rPr>
                <w:sz w:val="17"/>
                <w:szCs w:val="17"/>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7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$75,960,178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$75,960,178</w:t>
            </w:r>
          </w:p>
        </w:tc>
      </w:tr>
      <w:tr>
        <w:trPr>
          <w:trHeight w:val="26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interests in CLO Fund Securities</w:t>
            </w:r>
          </w:p>
        </w:tc>
        <w:tc>
          <w:tcPr>
            <w:tcW w:w="80" w:type="dxa"/>
            <w:vAlign w:val="bottom"/>
          </w:tcPr>
          <w:p>
            <w:pPr>
              <w:spacing w:after="0"/>
              <w:rPr>
                <w:sz w:val="22"/>
                <w:szCs w:val="22"/>
                <w:color w:val="auto"/>
              </w:rPr>
            </w:pP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3,941,031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3,941,031</w:t>
            </w:r>
          </w:p>
        </w:tc>
      </w:tr>
      <w:tr>
        <w:trPr>
          <w:trHeight w:val="20"/>
        </w:trPr>
        <w:tc>
          <w:tcPr>
            <w:tcW w:w="4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5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79,901,209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79,901,209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-196850</wp:posOffset>
            </wp:positionV>
            <wp:extent cx="14605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9192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-539750</wp:posOffset>
            </wp:positionV>
            <wp:extent cx="13716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391033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5" w:lineRule="exact"/>
        <w:rPr>
          <w:sz w:val="20"/>
          <w:szCs w:val="20"/>
          <w:color w:val="auto"/>
        </w:rPr>
      </w:pPr>
    </w:p>
    <w:p>
      <w:pPr>
        <w:ind w:left="1260" w:right="1300" w:firstLine="360"/>
        <w:spacing w:after="0" w:line="261" w:lineRule="auto"/>
        <w:rPr>
          <w:sz w:val="20"/>
          <w:szCs w:val="20"/>
          <w:color w:val="auto"/>
        </w:rPr>
      </w:pPr>
      <w:r>
        <w:rPr>
          <w:rFonts w:ascii="Times New Roman" w:cs="Times New Roman" w:eastAsia="Times New Roman" w:hAnsi="Times New Roman"/>
          <w:sz w:val="18"/>
          <w:szCs w:val="18"/>
          <w:color w:val="auto"/>
        </w:rPr>
        <w:t>The Asset Manager Affiliates invest primarily in the debt and residual interests in CLO Fund Securities which are non-public companies for which there is little, if any, market-observable information. As a result, a significant portion of The Asset Manager Affiliates investments at any given time will likely be deemed Level III investments.</w:t>
      </w:r>
    </w:p>
    <w:p>
      <w:pPr>
        <w:spacing w:after="0" w:line="72" w:lineRule="exact"/>
        <w:rPr>
          <w:sz w:val="20"/>
          <w:szCs w:val="20"/>
          <w:color w:val="auto"/>
        </w:rPr>
      </w:pPr>
    </w:p>
    <w:p>
      <w:pPr>
        <w:ind w:left="1260" w:right="1460" w:firstLine="360"/>
        <w:spacing w:after="0" w:line="266" w:lineRule="auto"/>
        <w:rPr>
          <w:sz w:val="20"/>
          <w:szCs w:val="20"/>
          <w:color w:val="auto"/>
        </w:rPr>
      </w:pPr>
      <w:r>
        <w:rPr>
          <w:rFonts w:ascii="Times New Roman" w:cs="Times New Roman" w:eastAsia="Times New Roman" w:hAnsi="Times New Roman"/>
          <w:sz w:val="18"/>
          <w:szCs w:val="18"/>
          <w:color w:val="auto"/>
        </w:rPr>
        <w:t>Investment values derived by a third party pricing service are generally deemed to be Level III values. For those that have observable trades, the Company considers them to be Level II.</w:t>
      </w:r>
    </w:p>
    <w:p>
      <w:pPr>
        <w:spacing w:after="0" w:line="54" w:lineRule="exact"/>
        <w:rPr>
          <w:sz w:val="20"/>
          <w:szCs w:val="20"/>
          <w:color w:val="auto"/>
        </w:rPr>
      </w:pPr>
    </w:p>
    <w:p>
      <w:pPr>
        <w:ind w:left="1260" w:right="1280" w:firstLine="360"/>
        <w:spacing w:after="0" w:line="258" w:lineRule="auto"/>
        <w:rPr>
          <w:sz w:val="20"/>
          <w:szCs w:val="20"/>
          <w:color w:val="auto"/>
        </w:rPr>
      </w:pPr>
      <w:r>
        <w:rPr>
          <w:rFonts w:ascii="Times New Roman" w:cs="Times New Roman" w:eastAsia="Times New Roman" w:hAnsi="Times New Roman"/>
          <w:sz w:val="18"/>
          <w:szCs w:val="18"/>
          <w:color w:val="auto"/>
        </w:rPr>
        <w:t>The Asset Manager Affiliates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Asset Manager Affiliates has used unobservable inputs to determine fair value is as follows:</w:t>
      </w:r>
    </w:p>
    <w:p>
      <w:pPr>
        <w:spacing w:after="0" w:line="9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residual interests</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CLO Fund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4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4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75,735,481</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26,837,926</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102,573,407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sales/redemptions/maturities</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accretion (amortization)</w:t>
            </w:r>
          </w:p>
        </w:tc>
        <w:tc>
          <w:tcPr>
            <w:tcW w:w="3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gain (loss) included in earnings</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224,697</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(2,899,582)</w:t>
            </w: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(2,674,885)</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75,960,178</w:t>
            </w:r>
          </w:p>
        </w:tc>
        <w:tc>
          <w:tcPr>
            <w:tcW w:w="2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3,941,031</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79,901,209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(losses) included in</w:t>
            </w: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related to investments still held at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reporting date</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224,697</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(2,899,582)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(2,674,885)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-650875</wp:posOffset>
            </wp:positionV>
            <wp:extent cx="16319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-650875</wp:posOffset>
            </wp:positionV>
            <wp:extent cx="33020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-1320165</wp:posOffset>
            </wp:positionV>
            <wp:extent cx="12890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-1320165</wp:posOffset>
            </wp:positionV>
            <wp:extent cx="32848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5" w:lineRule="exact"/>
        <w:rPr>
          <w:sz w:val="20"/>
          <w:szCs w:val="20"/>
          <w:color w:val="auto"/>
        </w:rPr>
      </w:pPr>
    </w:p>
    <w:p>
      <w:pPr>
        <w:ind w:left="1260" w:right="1840"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2017 the Company’s Level III portfolio investments had the following valuation techniques and significant inputs: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280" w:type="dxa"/>
            <w:vAlign w:val="bottom"/>
            <w:tcBorders>
              <w:right w:val="single" w:sz="8" w:color="auto"/>
            </w:tcBorders>
          </w:tcPr>
          <w:p>
            <w:pPr>
              <w:spacing w:after="0"/>
              <w:rPr>
                <w:sz w:val="13"/>
                <w:szCs w:val="13"/>
                <w:color w:val="auto"/>
              </w:rPr>
            </w:pPr>
          </w:p>
        </w:tc>
        <w:tc>
          <w:tcPr>
            <w:tcW w:w="19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540" w:type="dxa"/>
            <w:vAlign w:val="bottom"/>
            <w:tcBorders>
              <w:top w:val="single" w:sz="8" w:color="auto"/>
              <w:right w:val="single" w:sz="8" w:color="auto"/>
            </w:tcBorders>
          </w:tcPr>
          <w:p>
            <w:pPr>
              <w:spacing w:after="0"/>
              <w:rPr>
                <w:sz w:val="13"/>
                <w:szCs w:val="13"/>
                <w:color w:val="auto"/>
              </w:rPr>
            </w:pPr>
          </w:p>
        </w:tc>
        <w:tc>
          <w:tcPr>
            <w:tcW w:w="150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Significant Inputs or Range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Valuation</w:t>
            </w:r>
          </w:p>
        </w:tc>
        <w:tc>
          <w:tcPr>
            <w:tcW w:w="150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Inputs and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8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4"/>
                <w:szCs w:val="14"/>
                <w:b w:val="1"/>
                <w:bCs w:val="1"/>
                <w:color w:val="auto"/>
              </w:rPr>
              <w:t>Type</w:t>
            </w:r>
          </w:p>
        </w:tc>
        <w:tc>
          <w:tcPr>
            <w:tcW w:w="100" w:type="dxa"/>
            <w:vAlign w:val="bottom"/>
          </w:tcPr>
          <w:p>
            <w:pPr>
              <w:spacing w:after="0"/>
              <w:rPr>
                <w:sz w:val="12"/>
                <w:szCs w:val="12"/>
                <w:color w:val="auto"/>
              </w:rPr>
            </w:pPr>
          </w:p>
        </w:tc>
        <w:tc>
          <w:tcPr>
            <w:tcW w:w="1000" w:type="dxa"/>
            <w:vAlign w:val="bottom"/>
            <w:tcBorders>
              <w:right w:val="single" w:sz="8" w:color="auto"/>
            </w:tcBorders>
            <w:gridSpan w:val="2"/>
          </w:tcPr>
          <w:p>
            <w:pP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Methodology</w:t>
            </w:r>
          </w:p>
        </w:tc>
        <w:tc>
          <w:tcPr>
            <w:tcW w:w="15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1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1280" w:type="dxa"/>
            <w:vAlign w:val="bottom"/>
            <w:tcBorders>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$75,960,178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50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3</w:t>
            </w:r>
            <w:r>
              <w:rPr>
                <w:rFonts w:ascii="Times New Roman" w:cs="Times New Roman" w:eastAsia="Times New Roman" w:hAnsi="Times New Roman"/>
                <w:sz w:val="27"/>
                <w:szCs w:val="27"/>
                <w:color w:val="auto"/>
                <w:w w:val="96"/>
                <w:vertAlign w:val="superscript"/>
              </w:rPr>
              <w:t>rd</w:t>
            </w:r>
            <w:r>
              <w:rPr>
                <w:rFonts w:ascii="Times New Roman" w:cs="Times New Roman" w:eastAsia="Times New Roman" w:hAnsi="Times New Roman"/>
                <w:sz w:val="18"/>
                <w:szCs w:val="18"/>
                <w:color w:val="auto"/>
                <w:w w:val="96"/>
              </w:rPr>
              <w:t xml:space="preserve"> party quote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93.1% – 100.5% (100.0%)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28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Residual interests in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w:t>
            </w:r>
            <w:r>
              <w:rPr>
                <w:rFonts w:ascii="Times New Roman" w:cs="Times New Roman" w:eastAsia="Times New Roman" w:hAnsi="Times New Roman"/>
                <w:sz w:val="27"/>
                <w:szCs w:val="27"/>
                <w:color w:val="auto"/>
                <w:w w:val="96"/>
                <w:vertAlign w:val="superscript"/>
              </w:rPr>
              <w:t>rd</w:t>
            </w:r>
            <w:r>
              <w:rPr>
                <w:rFonts w:ascii="Times New Roman" w:cs="Times New Roman" w:eastAsia="Times New Roman" w:hAnsi="Times New Roman"/>
                <w:sz w:val="18"/>
                <w:szCs w:val="18"/>
                <w:color w:val="auto"/>
                <w:w w:val="96"/>
              </w:rPr>
              <w:t xml:space="preserve"> party quote</w:t>
            </w:r>
          </w:p>
        </w:tc>
        <w:tc>
          <w:tcPr>
            <w:tcW w:w="210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CLO Fund Securities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3,941,031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5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59.9% – 75.3%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8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Total Level III</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540" w:type="dxa"/>
            <w:vAlign w:val="bottom"/>
            <w:tcBorders>
              <w:right w:val="single" w:sz="8" w:color="auto"/>
            </w:tcBorders>
            <w:shd w:val="clear" w:color="auto" w:fill="CCEEFF"/>
          </w:tcPr>
          <w:p>
            <w:pPr>
              <w:spacing w:after="0"/>
              <w:rPr>
                <w:sz w:val="16"/>
                <w:szCs w:val="16"/>
                <w:color w:val="auto"/>
              </w:rPr>
            </w:pPr>
          </w:p>
        </w:tc>
        <w:tc>
          <w:tcPr>
            <w:tcW w:w="1500" w:type="dxa"/>
            <w:vAlign w:val="bottom"/>
            <w:tcBorders>
              <w:right w:val="single" w:sz="8" w:color="auto"/>
            </w:tcBorders>
            <w:shd w:val="clear" w:color="auto" w:fill="CCEEFF"/>
          </w:tcPr>
          <w:p>
            <w:pPr>
              <w:spacing w:after="0"/>
              <w:rPr>
                <w:sz w:val="16"/>
                <w:szCs w:val="16"/>
                <w:color w:val="auto"/>
              </w:rPr>
            </w:pPr>
          </w:p>
        </w:tc>
        <w:tc>
          <w:tcPr>
            <w:tcW w:w="2100" w:type="dxa"/>
            <w:vAlign w:val="bottom"/>
            <w:tcBorders>
              <w:right w:val="single" w:sz="8" w:color="auto"/>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28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shd w:val="clear" w:color="auto" w:fill="CCEEFF"/>
          </w:tcPr>
          <w:p>
            <w:pPr>
              <w:spacing w:after="0"/>
              <w:rPr>
                <w:sz w:val="21"/>
                <w:szCs w:val="21"/>
                <w:color w:val="auto"/>
              </w:rPr>
            </w:pPr>
          </w:p>
        </w:tc>
        <w:tc>
          <w:tcPr>
            <w:tcW w:w="100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79,901,209</w:t>
            </w:r>
          </w:p>
        </w:tc>
        <w:tc>
          <w:tcPr>
            <w:tcW w:w="1540" w:type="dxa"/>
            <w:vAlign w:val="bottom"/>
            <w:tcBorders>
              <w:right w:val="single" w:sz="8" w:color="auto"/>
            </w:tcBorders>
            <w:shd w:val="clear" w:color="auto" w:fill="CCEEFF"/>
          </w:tcPr>
          <w:p>
            <w:pPr>
              <w:spacing w:after="0"/>
              <w:rPr>
                <w:sz w:val="21"/>
                <w:szCs w:val="21"/>
                <w:color w:val="auto"/>
              </w:rPr>
            </w:pPr>
          </w:p>
        </w:tc>
        <w:tc>
          <w:tcPr>
            <w:tcW w:w="1500" w:type="dxa"/>
            <w:vAlign w:val="bottom"/>
            <w:tcBorders>
              <w:right w:val="single" w:sz="8" w:color="auto"/>
            </w:tcBorders>
            <w:shd w:val="clear" w:color="auto" w:fill="CCEEFF"/>
          </w:tcPr>
          <w:p>
            <w:pPr>
              <w:spacing w:after="0"/>
              <w:rPr>
                <w:sz w:val="21"/>
                <w:szCs w:val="21"/>
                <w:color w:val="auto"/>
              </w:rPr>
            </w:pPr>
          </w:p>
        </w:tc>
        <w:tc>
          <w:tcPr>
            <w:tcW w:w="2100" w:type="dxa"/>
            <w:vAlign w:val="bottom"/>
            <w:tcBorders>
              <w:right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280" w:type="dxa"/>
            <w:vAlign w:val="bottom"/>
            <w:tcBorders>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2100" w:type="dxa"/>
            <w:vAlign w:val="bottom"/>
            <w:tcBorders>
              <w:bottom w:val="single" w:sz="8" w:color="auto"/>
              <w:righ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S-12</w:t>
            </w:r>
          </w:p>
        </w:tc>
        <w:tc>
          <w:tcPr>
            <w:tcW w:w="1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-1405890</wp:posOffset>
            </wp:positionV>
            <wp:extent cx="5213985" cy="1371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14" w:right="919" w:bottom="1440" w:gutter="0" w:footer="0" w:header="0"/>
        </w:sectPr>
      </w:pPr>
    </w:p>
    <w:bookmarkStart w:id="159" w:name="page160"/>
    <w:bookmarkEnd w:id="15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BORROWINGS</w:t>
      </w:r>
    </w:p>
    <w:p>
      <w:pPr>
        <w:spacing w:after="0" w:line="108" w:lineRule="exact"/>
        <w:rPr>
          <w:sz w:val="20"/>
          <w:szCs w:val="20"/>
          <w:color w:val="auto"/>
        </w:rPr>
      </w:pPr>
    </w:p>
    <w:p>
      <w:pPr>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The Asset Management Affiliates’ debt obligations outstanding as of December 31, 2017 consist of the following:</w:t>
      </w:r>
    </w:p>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5"/>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KCAP Term Loan 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$ 8,359,051</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KCAP Term Loan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4,433,167</w:t>
            </w: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Borrowing 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50,117,500</w:t>
            </w:r>
          </w:p>
        </w:tc>
      </w:tr>
      <w:tr>
        <w:trPr>
          <w:trHeight w:val="243"/>
        </w:trPr>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Third Party Borrowing II</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19,685,000</w:t>
            </w:r>
          </w:p>
        </w:tc>
      </w:tr>
      <w:tr>
        <w:trPr>
          <w:trHeight w:val="237"/>
        </w:trPr>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82,594,718</w:t>
            </w:r>
          </w:p>
        </w:tc>
      </w:tr>
      <w:tr>
        <w:trPr>
          <w:trHeight w:val="20"/>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-187960</wp:posOffset>
            </wp:positionV>
            <wp:extent cx="417639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176395"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-762635</wp:posOffset>
            </wp:positionV>
            <wp:extent cx="13716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5"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During 2017, Trimaran borrowed funds from KCAP under two term loan agreements. The KCAP Term Loan I bears interest at a fixed rate of 10.5% and matures on April 30, 2030. The KCAP Term Loan II also bears interest at a fixed rate of 10.5%., and matures on January 27, 2028. All amounts under these loans shall become due and payable in the event of default, as defined in the borrowing agreements, and Trimaran has the right to prepay these loans, in whole or in part, at any time or from time-to-time without penalty or premium.</w:t>
      </w:r>
    </w:p>
    <w:p>
      <w:pPr>
        <w:spacing w:after="0" w:line="76"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In addition, during 2017, Trimaran Risk Retention I, LLC and Trimaran Risk Retention II, LLC borrowed funds from third parties under two facility agreements. Interest accrues on amounts outstanding under these third party borrowings at variable (floating) rates, generally based upon 3 month LIBOR plus a margin. The margins for the Third Party borrowings range from between 1.70% to 3.90%, with a weighted average all-in rate as of December 31, 2017 of 3.72%.</w:t>
      </w:r>
    </w:p>
    <w:p>
      <w:pPr>
        <w:spacing w:after="0" w:line="76"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Third Party borrowings are subject to various non-call provisions, and become immediately due and payable in the event of default, as defined in the underlying agreements.</w:t>
      </w:r>
    </w:p>
    <w:p>
      <w:pPr>
        <w:spacing w:after="0" w:line="54" w:lineRule="exact"/>
        <w:rPr>
          <w:sz w:val="20"/>
          <w:szCs w:val="20"/>
          <w:color w:val="auto"/>
        </w:rPr>
      </w:pPr>
    </w:p>
    <w:p>
      <w:pPr>
        <w:ind w:left="1260" w:right="1439" w:firstLine="360"/>
        <w:spacing w:after="0" w:line="282" w:lineRule="auto"/>
        <w:rPr>
          <w:sz w:val="20"/>
          <w:szCs w:val="20"/>
          <w:color w:val="auto"/>
        </w:rPr>
      </w:pPr>
      <w:r>
        <w:rPr>
          <w:rFonts w:ascii="Times New Roman" w:cs="Times New Roman" w:eastAsia="Times New Roman" w:hAnsi="Times New Roman"/>
          <w:sz w:val="18"/>
          <w:szCs w:val="18"/>
          <w:color w:val="auto"/>
        </w:rPr>
        <w:t>The repayment of the third party borrowings of Trimaran Risk Retention I, LLC and Trimaran Risk Retention II, LLC, have been guaranteed by Trimaran Advisors.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08"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On February 29, 2012, KCAP Financial and Commodore Holdings, L.L.C. (“Commodore”), a newly-formed, wholly-owned subsidiary of KCAP Financial, acquired all of the outstanding equity interests in Trimaran Advisors for $13.0 million in cash and 3,600,000 shares of KCAP Financial’s common stock, which were valued at the opening price on the closing date of the acquisition. Contemporaneously with the acquisition, KCAP Financial acquired the equity interests in four CLO Funds managed by Trimaran Advisors, at fair value, for $12.0 million in cash. The aggregate purchase price was $50.6 million.</w:t>
      </w:r>
    </w:p>
    <w:p>
      <w:pPr>
        <w:spacing w:after="0" w:line="80"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the purchase agreement, Commodore was deemed the acquirer of Trimaran Advisors and accounted for the acquisition as a business combination. The assets acquired (no liabilities were assumed) by Commodore through this acquisition were “pushed-down” to Trimaran. The purchase price allocation included the fair value of the identifiable intangible assets acquired, which consisted of four CLO management contracts, of approximately $15.7 million and goodwill of $22.8 million. The CLO management contracts were amortized over the estimated lives of the contracts (3 – 5 years). For the years ended December 31, 2017, 2016 and 2015, the Company recognized amortization expense of approximately $328,000, $1.3 million and $2.3 million, respectively, relating to the management contracts. The unamortized balance as of December 31, 2016 approximately $328,000 relating to Trimaran VII CLO Ltd., was amortized in 2017 in connection with its full liquidation.</w:t>
      </w:r>
    </w:p>
    <w:p>
      <w:pPr>
        <w:spacing w:after="0" w:line="7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Commodore, a taxable entity, has recognized the acquisition as an asset acquisition for tax purposes. The book and tax basis of the intangible assets and goodwill were identical; accordingly, Trimaran did not provide for any deferred taxes at the closing date of the acquisition. The tax basis of the intangible assets and goodwill are being amortized over 15 years, which gives rise to deferred taxes.</w:t>
      </w:r>
    </w:p>
    <w:p>
      <w:pPr>
        <w:spacing w:after="0" w:line="2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Asset Manager Affiliates are taxed at normal corporate rates.</w:t>
      </w:r>
    </w:p>
    <w:p>
      <w:pPr>
        <w:spacing w:after="0" w:line="117"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For tax purposes, the Asset Manager Affiliates taxable net income will differ from GAAP net income because of deferred tax timing adjustments and permanent tax adjustments. Deferred tax timing adjustments may include differences for the recognition and timing of depreciation, bonuses to employees and restricted stock expense. Permanent differences may include adjustments, limitations or disallowances for meals and entertainment expenses, penalties, and tax goodwill amortization.</w:t>
      </w:r>
    </w:p>
    <w:p>
      <w:pPr>
        <w:spacing w:after="0" w:line="76"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Goodwill amortization for tax purposes was created upon the purchase of 100% of the equity interests in Katonah Debt Advisors by its sole member, KCAP Financial, in exchange for shares of the KCAP Financial’s stock valued at $33 million. Although this transaction was a stock transaction rather than an asset purchase and thus no goodwill was recognized for GAAP purposes, such exchange was considered an asset purchase under Section 351(a) of the Internal Revenue Code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GAAP income and taxable income by approximately $2 million per year over such period. As of December 31, 2017 and 2016, there was approximately $8.8 million and $10.8 million of remaining unamortized tax-basis goodwill from the KDA acquisition.</w:t>
      </w:r>
    </w:p>
    <w:p>
      <w:pPr>
        <w:spacing w:after="0" w:line="78"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As discussed in Note 6, additional goodwill amortization for tax purposes was created upon the purchase of Trimaran Advisors. The transaction was considered an asset purchase and resulted in tax goodwill of approximately $22.8 million which is being amortized for tax purposes on a straight-line basis over 15 years, which accounts for an annual difference between GAAP income and taxable income by approximately</w:t>
      </w:r>
    </w:p>
    <w:p>
      <w:pPr>
        <w:spacing w:after="0" w:line="3" w:lineRule="exact"/>
        <w:rPr>
          <w:sz w:val="20"/>
          <w:szCs w:val="20"/>
          <w:color w:val="auto"/>
        </w:rPr>
      </w:pPr>
    </w:p>
    <w:p>
      <w:pPr>
        <w:ind w:left="1260" w:right="759"/>
        <w:spacing w:after="0" w:line="261" w:lineRule="auto"/>
        <w:rPr>
          <w:sz w:val="20"/>
          <w:szCs w:val="20"/>
          <w:color w:val="auto"/>
        </w:rPr>
      </w:pPr>
      <w:r>
        <w:rPr>
          <w:rFonts w:ascii="Times New Roman" w:cs="Times New Roman" w:eastAsia="Times New Roman" w:hAnsi="Times New Roman"/>
          <w:sz w:val="18"/>
          <w:szCs w:val="18"/>
          <w:color w:val="auto"/>
        </w:rPr>
        <w:t>$1.5 million per year over such period. As of December 31, 2017 and 2016, there was approximately $6.0 million and $7.5 million of remaining unamortized tax-basis goodwill from the Trimaran Advisors acquisition.</w:t>
      </w:r>
    </w:p>
    <w:p>
      <w:pPr>
        <w:spacing w:after="0" w:line="72" w:lineRule="exact"/>
        <w:rPr>
          <w:sz w:val="20"/>
          <w:szCs w:val="20"/>
          <w:color w:val="auto"/>
        </w:rPr>
      </w:pPr>
    </w:p>
    <w:p>
      <w:pPr>
        <w:ind w:left="1260" w:right="799" w:firstLine="360"/>
        <w:spacing w:after="0" w:line="281" w:lineRule="auto"/>
        <w:rPr>
          <w:sz w:val="20"/>
          <w:szCs w:val="20"/>
          <w:color w:val="auto"/>
        </w:rPr>
      </w:pPr>
      <w:r>
        <w:rPr>
          <w:rFonts w:ascii="Times New Roman" w:cs="Times New Roman" w:eastAsia="Times New Roman" w:hAnsi="Times New Roman"/>
          <w:sz w:val="17"/>
          <w:szCs w:val="17"/>
          <w:color w:val="auto"/>
        </w:rPr>
        <w:t>During the second quarter of 2016, KCAP contributed 100% of its ownership interests in Katonah Debt Advisors and Trimaran Advisors Management to Commodore Holdings. These transactions simplify the tax structure of the Asset Manager Affiliates and facilitate the consolidation of tax basis goodwill deductions for the Asset Manager Affiliates, which may impact the tax character of distributions from the Asset Manager Affiliates.</w:t>
      </w:r>
    </w:p>
    <w:p>
      <w:pPr>
        <w:spacing w:after="0" w:line="57"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KCAP Management, LLC is a disregarded entity for U.S. federal income tax purposes. Its taxable results are included in the tax returns of KCAP Financial. Trimaran Risk Retention Holdings, LLC, Trimaran RR I, LLC and Trimaran RR II, LLC are disregarded entities for U.S. federal income tax purposes. Their taxable results are included in the tax returns of Commodore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INCOME TAXES – (continued)</w:t>
      </w:r>
    </w:p>
    <w:p>
      <w:pPr>
        <w:spacing w:after="0" w:line="202" w:lineRule="exact"/>
        <w:rPr>
          <w:sz w:val="20"/>
          <w:szCs w:val="20"/>
          <w:color w:val="auto"/>
        </w:rPr>
      </w:pPr>
    </w:p>
    <w:p>
      <w:pPr>
        <w:ind w:left="1260" w:right="1500" w:firstLine="360"/>
        <w:spacing w:after="0" w:line="282" w:lineRule="auto"/>
        <w:rPr>
          <w:sz w:val="20"/>
          <w:szCs w:val="20"/>
          <w:color w:val="auto"/>
        </w:rPr>
      </w:pPr>
      <w:r>
        <w:rPr>
          <w:rFonts w:ascii="Times New Roman" w:cs="Times New Roman" w:eastAsia="Times New Roman" w:hAnsi="Times New Roman"/>
          <w:sz w:val="18"/>
          <w:szCs w:val="18"/>
          <w:color w:val="auto"/>
        </w:rPr>
        <w:t>The components of income tax expense (benefit) for the years ended December 31, 2017, 2016, and 2015 are as follows:</w:t>
      </w:r>
    </w:p>
    <w:p>
      <w:pPr>
        <w:spacing w:after="0" w:line="74" w:lineRule="exact"/>
        <w:rPr>
          <w:sz w:val="20"/>
          <w:szCs w:val="20"/>
          <w:color w:val="auto"/>
        </w:rPr>
      </w:pPr>
    </w:p>
    <w:tbl>
      <w:tblPr>
        <w:tblLayout w:type="fixed"/>
        <w:tblInd w:w="16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income tax (benefit) expense:</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$ 518,921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(1,957,900)</w:t>
            </w: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$1,290,664</w:t>
            </w: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&amp; local</w:t>
            </w:r>
          </w:p>
        </w:tc>
        <w:tc>
          <w:tcPr>
            <w:tcW w:w="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(48,292)</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125,443</w:t>
            </w: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Total net current income tax (benefit) expense</w:t>
            </w:r>
          </w:p>
        </w:tc>
        <w:tc>
          <w:tcPr>
            <w:tcW w:w="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518,792</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0"/>
              </w:rPr>
              <w:t>(2,006,192)</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1,416,107</w:t>
            </w:r>
          </w:p>
        </w:tc>
      </w:tr>
      <w:tr>
        <w:trPr>
          <w:trHeight w:val="324"/>
        </w:trPr>
        <w:tc>
          <w:tcPr>
            <w:tcW w:w="20" w:type="dxa"/>
            <w:vAlign w:val="bottom"/>
          </w:tcPr>
          <w:p>
            <w:pPr>
              <w:spacing w:after="0"/>
              <w:rPr>
                <w:sz w:val="24"/>
                <w:szCs w:val="24"/>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(661,770)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3,250,138</w:t>
            </w: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&amp; local</w:t>
            </w:r>
          </w:p>
        </w:tc>
        <w:tc>
          <w:tcPr>
            <w:tcW w:w="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(85,898)</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975,980</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deferred income tax expense (benefit)</w:t>
            </w:r>
          </w:p>
        </w:tc>
        <w:tc>
          <w:tcPr>
            <w:tcW w:w="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(684,241)</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1,925,170</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4,226,118</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(165,449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5,642,225</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-179705</wp:posOffset>
            </wp:positionV>
            <wp:extent cx="14605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-179705</wp:posOffset>
            </wp:positionV>
            <wp:extent cx="352488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524885"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-1371600</wp:posOffset>
            </wp:positionV>
            <wp:extent cx="13716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-1371600</wp:posOffset>
            </wp:positionV>
            <wp:extent cx="351599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72" w:lineRule="exact"/>
        <w:rPr>
          <w:sz w:val="20"/>
          <w:szCs w:val="20"/>
          <w:color w:val="auto"/>
        </w:rPr>
      </w:pPr>
    </w:p>
    <w:p>
      <w:pPr>
        <w:ind w:left="1260" w:right="1300" w:firstLine="360"/>
        <w:spacing w:after="0" w:line="253" w:lineRule="auto"/>
        <w:rPr>
          <w:sz w:val="20"/>
          <w:szCs w:val="20"/>
          <w:color w:val="auto"/>
        </w:rPr>
      </w:pPr>
      <w:r>
        <w:rPr>
          <w:rFonts w:ascii="Times New Roman" w:cs="Times New Roman" w:eastAsia="Times New Roman" w:hAnsi="Times New Roman"/>
          <w:sz w:val="18"/>
          <w:szCs w:val="18"/>
          <w:color w:val="auto"/>
        </w:rPr>
        <w:t>The Asset Manager Affiliates’ effective income tax rate was (31.2)%, (11.3)%, and 68.9% for tax years 2017, 2016 and 2015, respectively. For the year ended December 31, 2017 difference between the Company’s reported provision for income taxes and the U.S. federal statutory rate of 35% was significantly impacted by the Tax Cuts and Jobs Act (the “Tax Act”) signed into law on December 22, 2017. The Tax Act makes significant modifications to the federal tax code including, among other changes, a decrease in the current federal corporate income tax rate from a maximum of 35% to a flat 21%, effective January 1, 2018. As a result of this rate change, the Company’s 2017 results include a $931 thousand increase to the income tax provision resulting from the revaluation of its net deferred tax asset, before valuation allowance. This represents a provisional estimate based on management’s initial analysis and interpretation of the legislation. Given the complexity of the legislation, anticipated guidance from the Treasury Department and the potential for additional guidance from the FASB, this estimate may be adjusted during 2018.</w:t>
      </w:r>
    </w:p>
    <w:p>
      <w:pPr>
        <w:spacing w:after="0" w:line="85" w:lineRule="exact"/>
        <w:rPr>
          <w:sz w:val="20"/>
          <w:szCs w:val="20"/>
          <w:color w:val="auto"/>
        </w:rPr>
      </w:pPr>
    </w:p>
    <w:p>
      <w:pPr>
        <w:ind w:left="1260" w:right="1280" w:firstLine="360"/>
        <w:spacing w:after="0" w:line="266" w:lineRule="auto"/>
        <w:rPr>
          <w:sz w:val="20"/>
          <w:szCs w:val="20"/>
          <w:color w:val="auto"/>
        </w:rPr>
      </w:pPr>
      <w:r>
        <w:rPr>
          <w:rFonts w:ascii="Times New Roman" w:cs="Times New Roman" w:eastAsia="Times New Roman" w:hAnsi="Times New Roman"/>
          <w:sz w:val="18"/>
          <w:szCs w:val="18"/>
          <w:color w:val="auto"/>
        </w:rPr>
        <w:t>Deferred income taxes are provided for the effects of temporary differences between the tax basis of an asset or liability and its reported amount in the combined financial statements. These temporary differences result in taxable or deductible amounts in future years.</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components of deferred income tax assets and liabilities are shown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income tax assets:</w:t>
            </w:r>
          </w:p>
        </w:tc>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and tax credit carryforward</w:t>
            </w:r>
          </w:p>
        </w:tc>
        <w:tc>
          <w:tcPr>
            <w:tcW w:w="25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213,152</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44,125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80,705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depreciation/amortization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2,005,236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3,522,391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464,736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564,219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75,450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(3,403,497)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w w:val="99"/>
              </w:rPr>
              <w:t>(4,677,152)</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deferred tax assets</w:t>
            </w:r>
          </w:p>
        </w:tc>
        <w:tc>
          <w:tcPr>
            <w:tcW w:w="2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amortization</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(1,899,477)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(2,575,140)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(1,890,899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(2,575,140)</w:t>
            </w:r>
          </w:p>
        </w:tc>
        <w:tc>
          <w:tcPr>
            <w:tcW w:w="1260" w:type="dxa"/>
            <w:vAlign w:val="bottom"/>
            <w:vMerge w:val="restart"/>
          </w:tcPr>
          <w:p>
            <w:pPr>
              <w:jc w:val="right"/>
              <w:ind w:right="11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46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(1,890,899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(2,575,140</w:t>
            </w: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S-15</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-934085</wp:posOffset>
            </wp:positionV>
            <wp:extent cx="463931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-1491615</wp:posOffset>
            </wp:positionV>
            <wp:extent cx="463931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-2597785</wp:posOffset>
            </wp:positionV>
            <wp:extent cx="46310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63105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14" w:right="919" w:bottom="1440" w:gutter="0" w:footer="0" w:header="0"/>
        </w:sectPr>
      </w:pPr>
    </w:p>
    <w:bookmarkStart w:id="162" w:name="page163"/>
    <w:bookmarkEnd w:id="16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INCOME TAXES – (continued)</w:t>
      </w:r>
    </w:p>
    <w:p>
      <w:pPr>
        <w:spacing w:after="0" w:line="202"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The ultimate realization of deferred income tax assets is dependent upon the generation of future taxable income during the periods in which the temporary differences become deductible. If it is not more likely than not that some portion or all of the gross deferred income tax assets will be realized in future years, a valuation allowance is recorded.</w:t>
      </w:r>
    </w:p>
    <w:p>
      <w:pPr>
        <w:spacing w:after="0" w:line="7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At December 31, 2017, the Asset Manager Affiliates had net operating loss carryforwards available of $981,022 available to offset future Federal taxable income. In addition, the Asset Manager Affiliates had net operating loss carryforwards of $42,578 and $65,446 available to offset future state and local taxable income, respectively. The following table sets forth a schedule of the years in which the net operating loss carry-forwards would expire if not previously utilized:</w:t>
      </w:r>
    </w:p>
    <w:p>
      <w:pPr>
        <w:spacing w:after="0" w:line="9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Federal</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0" w:type="dxa"/>
            <w:vAlign w:val="bottom"/>
          </w:tcPr>
          <w:p>
            <w:pPr>
              <w:spacing w:after="0"/>
              <w:rPr>
                <w:sz w:val="16"/>
                <w:szCs w:val="16"/>
                <w:color w:val="auto"/>
              </w:rPr>
            </w:pP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Local</w:t>
            </w:r>
          </w:p>
        </w:tc>
      </w:tr>
      <w:tr>
        <w:trPr>
          <w:trHeight w:val="24"/>
        </w:trPr>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7"/>
        </w:trPr>
        <w:tc>
          <w:tcPr>
            <w:tcW w:w="5140" w:type="dxa"/>
            <w:vAlign w:val="bottom"/>
          </w:tcPr>
          <w:p>
            <w:pPr>
              <w:jc w:val="right"/>
              <w:ind w:right="4510"/>
              <w:spacing w:after="0"/>
              <w:rPr>
                <w:sz w:val="20"/>
                <w:szCs w:val="20"/>
                <w:color w:val="auto"/>
              </w:rPr>
            </w:pPr>
            <w:r>
              <w:rPr>
                <w:rFonts w:ascii="Times New Roman" w:cs="Times New Roman" w:eastAsia="Times New Roman" w:hAnsi="Times New Roman"/>
                <w:sz w:val="18"/>
                <w:szCs w:val="18"/>
                <w:color w:val="auto"/>
              </w:rPr>
              <w:t>2036</w:t>
            </w: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$36,699</w:t>
            </w: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140" w:type="dxa"/>
            <w:vAlign w:val="bottom"/>
            <w:tcBorders>
              <w:bottom w:val="single" w:sz="8" w:color="CCEEFF"/>
            </w:tcBorders>
            <w:shd w:val="clear" w:color="auto" w:fill="CCEEFF"/>
          </w:tcPr>
          <w:p>
            <w:pPr>
              <w:jc w:val="right"/>
              <w:ind w:right="4510"/>
              <w:spacing w:after="0"/>
              <w:rPr>
                <w:sz w:val="20"/>
                <w:szCs w:val="20"/>
                <w:color w:val="auto"/>
              </w:rPr>
            </w:pPr>
            <w:r>
              <w:rPr>
                <w:rFonts w:ascii="Times New Roman" w:cs="Times New Roman" w:eastAsia="Times New Roman" w:hAnsi="Times New Roman"/>
                <w:sz w:val="18"/>
                <w:szCs w:val="18"/>
                <w:color w:val="auto"/>
              </w:rPr>
              <w:t>2037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981,022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65,446</w:t>
            </w:r>
          </w:p>
        </w:tc>
      </w:tr>
      <w:tr>
        <w:trPr>
          <w:trHeight w:val="257"/>
        </w:trPr>
        <w:tc>
          <w:tcPr>
            <w:tcW w:w="5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981,022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42,578</w:t>
            </w: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65,446</w:t>
            </w: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-702310</wp:posOffset>
            </wp:positionV>
            <wp:extent cx="43649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32"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ASC 740 provides guidance for how uncertain tax positions should be recognized, measured, presented, and disclosed in the financial statements. ASC 740 requires the evaluation of tax positions taken or expected to be taken in the course of preparing the tax returns to determine whether the tax positions are “more-likely-than-not” of being sustained by the applicable tax authority. Tax positions not deemed to meet the more-likely-than-not threshold are recorded as a tax benefit or expense in the current year. The Asset Manager Affiliates has not recorded a liability for any unrecognized tax benefits nor are they aware of any tax positions for which it is reasonably possible that the total amounts of unrecognized tax benefits will change materially in the next 12 months.</w:t>
      </w:r>
    </w:p>
    <w:p>
      <w:pPr>
        <w:spacing w:after="0" w:line="77" w:lineRule="exact"/>
        <w:rPr>
          <w:sz w:val="20"/>
          <w:szCs w:val="20"/>
          <w:color w:val="auto"/>
        </w:rPr>
      </w:pPr>
    </w:p>
    <w:p>
      <w:pPr>
        <w:jc w:val="both"/>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Management’s determinations regarding ASC 740 may be subject to review and adjustment at a later date based upon factors including, but not limited to, an ongoing analysis of tax laws, regulations and interpretations thereof. With a few exceptions, the Asset Manager Affiliates are no longer subject to U.S. federal, state and local tax examinations by tax authorities for years prior to 2014.</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0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Asset Manager Affiliates have commitments under lease obligations and have entered into Overhead Allocation agreement with KCAP Financial and Trimaran Advisors.</w:t>
      </w:r>
    </w:p>
    <w:p>
      <w:pPr>
        <w:spacing w:after="0" w:line="54" w:lineRule="exact"/>
        <w:rPr>
          <w:sz w:val="20"/>
          <w:szCs w:val="20"/>
          <w:color w:val="auto"/>
        </w:rPr>
      </w:pPr>
    </w:p>
    <w:p>
      <w:pPr>
        <w:ind w:left="1260" w:right="1439" w:firstLine="360"/>
        <w:spacing w:after="0" w:line="282" w:lineRule="auto"/>
        <w:rPr>
          <w:sz w:val="20"/>
          <w:szCs w:val="20"/>
          <w:color w:val="auto"/>
        </w:rPr>
      </w:pPr>
      <w:r>
        <w:rPr>
          <w:rFonts w:ascii="Times New Roman" w:cs="Times New Roman" w:eastAsia="Times New Roman" w:hAnsi="Times New Roman"/>
          <w:sz w:val="18"/>
          <w:szCs w:val="18"/>
          <w:color w:val="auto"/>
        </w:rPr>
        <w:t>The repayment of the third party borrowings of Trimaran Risk Retention I, LLC and Trimaran Risk Retention II, LLC, have been guaranteed by Trimaran Advisors.</w:t>
      </w:r>
    </w:p>
    <w:p>
      <w:pPr>
        <w:spacing w:after="0" w:line="54"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Rent expense, net of expense allocated to affiliates, was approximately $379,000, $361,000, and $360,000 for the years ended December 31, 2017, 2016 and 2015, respectively.</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minimum future lease payments as of December 31, 2017:</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90"/>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4"/>
        </w:trPr>
        <w:tc>
          <w:tcPr>
            <w:tcW w:w="2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$738,864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$774,7811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$800,436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$800,436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$800,436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-170815</wp:posOffset>
            </wp:positionV>
            <wp:extent cx="13716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-170815</wp:posOffset>
            </wp:positionV>
            <wp:extent cx="13716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-170815</wp:posOffset>
            </wp:positionV>
            <wp:extent cx="13716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-170815</wp:posOffset>
            </wp:positionV>
            <wp:extent cx="13716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-170815</wp:posOffset>
            </wp:positionV>
            <wp:extent cx="12890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-170815</wp:posOffset>
            </wp:positionV>
            <wp:extent cx="12001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MEMBER’S EQUITY</w:t>
      </w:r>
    </w:p>
    <w:p>
      <w:pPr>
        <w:spacing w:after="0" w:line="108" w:lineRule="exact"/>
        <w:rPr>
          <w:sz w:val="20"/>
          <w:szCs w:val="20"/>
          <w:color w:val="auto"/>
        </w:rPr>
      </w:pPr>
    </w:p>
    <w:p>
      <w:pPr>
        <w:jc w:val="both"/>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2017, the membership interests of the Asset Manager Affiliates are held solely by KCAP Financial. KCAP Financial owns 100% of Commodore Holdings, which wholly owns Katonah Debt Advisors, Trimaran Advisors and its subsidiaries, and Trimaran Advisors Management. KCAP Management, LLC, Katonah 2007-1 Management, LLC, and Katonah X Management, LLC are wholly-owned by Katonah Management Holdings, LLC, which is wholly-owned by KCAP Financial.</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OTHER EMPLOYEE COMPENSATION</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The Asset Manager Affiliates adopted a 401(k) plan (“401K Plan”) effective January 1, 2007 that it shares with its sole shareholder, KCAP Financial. The 401K Plan is open to all full time employees. The 401K Plan permits an employee to defer a portion of his or her total annual compensation up to the Internal Revenue Service annual maximum based on age and eligibility. The Asset Manager Affiliates make contributions to the 401K Plan of up to 2.67% of the employee’s first 74.9% of maximum eligible compensation, which vests 20% per year over five years. For the year ended December 31, 2017, 2016 and 2015, Asset Manager Affiliates made contributions to the 401K Plan of approximately $67,000, $36,000 and $38,000 respectively.</w:t>
      </w:r>
    </w:p>
    <w:p>
      <w:pPr>
        <w:spacing w:after="0" w:line="81"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The Asset Manager Affiliates also adopted a deferred compensation plan (“Profit-Sharing Plan”) effective January 1, 2007. Employees are eligible for the Profit-Sharing Plan provided that they are employed and working with the Asset Manager Affiliates for at least 100 days during the year and remain employed as of the last day of the year. Employees do not make contributions to the Profit-Sharing Plan. The Asset Manager Affiliates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years ended December 31, 2017, 2016 and 2015, the Asset Manager Affiliates made contributions of approximately $342,000, $371,000 and $394,000 to the Profit-Sharing Plan, respectively.</w:t>
      </w:r>
    </w:p>
    <w:p>
      <w:pPr>
        <w:spacing w:after="0" w:line="78"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Certain employees of Asset Manager Affiliates may receive restricted stock grants in the stock of Asset Manager Affiliates’ sole member, KCAP Financial. For the years ended December 31, 2017, 2016 and 2015, compensation expense of approximately $703,000, $909,000 and $897,000, respectively, was recorded as expense in the Combined Statement of Operations related to an allocated expense for a grant of restricted stock of KCAP Financial.</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08"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All of the management and incentive fee revenues earned by the Asset Manager Affiliates is derived from the CLO funds which are considered affiliates.</w:t>
      </w:r>
    </w:p>
    <w:p>
      <w:pPr>
        <w:spacing w:after="0" w:line="54"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On February 26, 2013, the KCAP Financial entered into a senior credit agreement (the “Trimaran Credit Facility”) with Trimaran Advisors, pursuant to which Trimaran Advisors may borrow from time to time up to $20 million from KCAP Financial in order to provide capital necessary to support one or more of Trimaran Advisors’ warehouse lines of credit and/or working capital in connection with Trimaran Advisors’ warehouse activities. The Trimaran Credit Facility was extended in November 2017 and now matures in November 2022 and bears interest at an annual rate of 9.0%. On April 15, 2013, the Trimaran Credit Facility was amended and increased from $20 million to $23 million. At December 31, 2017 and 2016, there was no loan outstanding under the Trimaran Credit Facility. Interest expense on this facility was $918,100, $1.8 million and $1.7 million for the years ending December 31, 2017,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RELATED PARTY TRANSACTIONS – (continued)</w:t>
      </w:r>
    </w:p>
    <w:p>
      <w:pPr>
        <w:spacing w:after="0" w:line="202" w:lineRule="exact"/>
        <w:rPr>
          <w:sz w:val="20"/>
          <w:szCs w:val="20"/>
          <w:color w:val="auto"/>
        </w:rPr>
      </w:pPr>
    </w:p>
    <w:p>
      <w:pPr>
        <w:ind w:left="1260" w:right="739"/>
        <w:spacing w:after="0" w:line="258" w:lineRule="auto"/>
        <w:rPr>
          <w:sz w:val="20"/>
          <w:szCs w:val="20"/>
          <w:color w:val="auto"/>
        </w:rPr>
      </w:pPr>
      <w:r>
        <w:rPr>
          <w:rFonts w:ascii="Times New Roman" w:cs="Times New Roman" w:eastAsia="Times New Roman" w:hAnsi="Times New Roman"/>
          <w:sz w:val="18"/>
          <w:szCs w:val="18"/>
          <w:color w:val="auto"/>
        </w:rPr>
        <w:t>October 30, 2017, the Trimaran Advisors and KCAP Financial executed a Promissory Note under which Trimaran Advisors borrowed $8.4 million from KCAP Financial Borrowings under this agreement bear interest at a rate of 10.5% per annum, payable quarterly. The maturity date for this borrowing is April 30, 2030, unless there is an occurrence of an event in default, as defined in the Promissory Note, in which case KCAP Financial has the option to declare all of the amounts outstanding to be immediately due and payable.</w:t>
      </w:r>
    </w:p>
    <w:p>
      <w:pPr>
        <w:spacing w:after="0" w:line="76" w:lineRule="exact"/>
        <w:rPr>
          <w:sz w:val="20"/>
          <w:szCs w:val="20"/>
          <w:color w:val="auto"/>
        </w:rPr>
      </w:pPr>
    </w:p>
    <w:p>
      <w:pPr>
        <w:ind w:left="1260" w:right="739"/>
        <w:spacing w:after="0" w:line="258" w:lineRule="auto"/>
        <w:rPr>
          <w:sz w:val="20"/>
          <w:szCs w:val="20"/>
          <w:color w:val="auto"/>
        </w:rPr>
      </w:pPr>
      <w:r>
        <w:rPr>
          <w:rFonts w:ascii="Times New Roman" w:cs="Times New Roman" w:eastAsia="Times New Roman" w:hAnsi="Times New Roman"/>
          <w:sz w:val="18"/>
          <w:szCs w:val="18"/>
          <w:color w:val="auto"/>
        </w:rPr>
        <w:t>December 19, 2017, the Trimaran Advisors and KCAP Financial executed a Promissory Note under which Trimaran Advisors borrowed $4.5 million from KCAP Financial Borrowings under this agreement bear interest at a rate of 10.5% per annum, payable quarterly. The maturity date for this borrowing is January 27, 2028, unless there is an occurrence of an event in default, as defined in the Promissory Note, in which case KCAP Financial has the option to declare all of the amounts outstanding to be immediately due and payable.</w:t>
      </w:r>
    </w:p>
    <w:p>
      <w:pPr>
        <w:spacing w:after="0" w:line="76" w:lineRule="exact"/>
        <w:rPr>
          <w:sz w:val="20"/>
          <w:szCs w:val="20"/>
          <w:color w:val="auto"/>
        </w:rPr>
      </w:pPr>
    </w:p>
    <w:p>
      <w:pPr>
        <w:jc w:val="both"/>
        <w:ind w:left="1260" w:right="1259"/>
        <w:spacing w:after="0" w:line="266" w:lineRule="auto"/>
        <w:rPr>
          <w:sz w:val="20"/>
          <w:szCs w:val="20"/>
          <w:color w:val="auto"/>
        </w:rPr>
      </w:pPr>
      <w:r>
        <w:rPr>
          <w:rFonts w:ascii="Times New Roman" w:cs="Times New Roman" w:eastAsia="Times New Roman" w:hAnsi="Times New Roman"/>
          <w:sz w:val="18"/>
          <w:szCs w:val="18"/>
          <w:color w:val="auto"/>
        </w:rPr>
        <w:t>All of these borrowings were contributed as equity capital to Trimaran Advisor’s wholly-owned subsidiary Trimaran Risk Retention Holdings, LLC, which contributed the proceeds to its wholly-owned subsidiaries Trimaran RR I, LLC and Trimaran RR II, LLC.</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08" w:lineRule="exact"/>
        <w:rPr>
          <w:sz w:val="20"/>
          <w:szCs w:val="20"/>
          <w:color w:val="auto"/>
        </w:rPr>
      </w:pPr>
    </w:p>
    <w:p>
      <w:pPr>
        <w:ind w:left="1260" w:right="939"/>
        <w:spacing w:after="0" w:line="266" w:lineRule="auto"/>
        <w:rPr>
          <w:sz w:val="20"/>
          <w:szCs w:val="20"/>
          <w:color w:val="auto"/>
        </w:rPr>
      </w:pPr>
      <w:r>
        <w:rPr>
          <w:rFonts w:ascii="Times New Roman" w:cs="Times New Roman" w:eastAsia="Times New Roman" w:hAnsi="Times New Roman"/>
          <w:sz w:val="18"/>
          <w:szCs w:val="18"/>
          <w:color w:val="auto"/>
        </w:rPr>
        <w:t>In January 2018, the trustee of Catamaran 2012-1 CLO received notice that the holders of a majority of the Subordinated Securities had exercised their right of optional redemption. It is expected the optional redemption will be effective on the March 2018 payment.</w:t>
      </w:r>
    </w:p>
    <w:p>
      <w:pPr>
        <w:spacing w:after="0" w:line="68" w:lineRule="exact"/>
        <w:rPr>
          <w:sz w:val="20"/>
          <w:szCs w:val="20"/>
          <w:color w:val="auto"/>
        </w:rPr>
      </w:pPr>
    </w:p>
    <w:p>
      <w:pPr>
        <w:ind w:left="1260" w:right="739"/>
        <w:spacing w:after="0" w:line="255" w:lineRule="auto"/>
        <w:rPr>
          <w:sz w:val="20"/>
          <w:szCs w:val="20"/>
          <w:color w:val="auto"/>
        </w:rPr>
      </w:pPr>
      <w:r>
        <w:rPr>
          <w:rFonts w:ascii="Times New Roman" w:cs="Times New Roman" w:eastAsia="Times New Roman" w:hAnsi="Times New Roman"/>
          <w:sz w:val="18"/>
          <w:szCs w:val="18"/>
          <w:color w:val="auto"/>
        </w:rPr>
        <w:t>On February 9, 2018, the United States Court of Appeals for the District of Columbia (the “DC Circuit Court”) ruled in favor of an appeal brought by the Loan Syndications and Trading Association (the “LSTA”) on whether application of the risk retention rules to CLO managers is valid under Section 941 of the Dodd-Frank Act. If the decision stands, CLO managers of “open-market CLOs” (described in the ruling as CLOs where assets are acquired from “arms-length negotiations and trading on an open market”) will no longer be required to comply with the risk retention rules, and no party to such “open-market CLOs” would be required to acquire and retain an economic interest in the credit risk of the securitized assets. However, the DC Circuit Court’s decision remains subject to further appeal for a period of time.</w:t>
      </w:r>
    </w:p>
    <w:p>
      <w:pPr>
        <w:spacing w:after="0" w:line="77" w:lineRule="exact"/>
        <w:rPr>
          <w:sz w:val="20"/>
          <w:szCs w:val="20"/>
          <w:color w:val="auto"/>
        </w:rPr>
      </w:pPr>
    </w:p>
    <w:p>
      <w:pPr>
        <w:ind w:left="1260" w:right="819"/>
        <w:spacing w:after="0" w:line="261" w:lineRule="auto"/>
        <w:rPr>
          <w:sz w:val="20"/>
          <w:szCs w:val="20"/>
          <w:color w:val="auto"/>
        </w:rPr>
      </w:pPr>
      <w:r>
        <w:rPr>
          <w:rFonts w:ascii="Times New Roman" w:cs="Times New Roman" w:eastAsia="Times New Roman" w:hAnsi="Times New Roman"/>
          <w:sz w:val="18"/>
          <w:szCs w:val="18"/>
          <w:color w:val="auto"/>
        </w:rPr>
        <w:t>The Company has evaluated events and transactions occurring subsequent to the balance sheet date of December 31, 2017 for items that should potentially be recognized or disclosed in these financial statements. Other than described above, management has determined that there are no material subsequent events that would require adjustment to, or disclosure in,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Katonah 2007-I CLO Ltd.</w:t>
      </w:r>
    </w:p>
    <w:p>
      <w:pPr>
        <w:spacing w:after="0" w:line="99" w:lineRule="exact"/>
        <w:rPr>
          <w:sz w:val="20"/>
          <w:szCs w:val="20"/>
          <w:color w:val="auto"/>
        </w:rPr>
      </w:pPr>
    </w:p>
    <w:p>
      <w:pPr>
        <w:ind w:left="1260" w:right="759"/>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financial statements of Katonah 2007-I CLO Ltd. (the “Fund”), which comprise the statements of net assets, including the schedules of investments, as of December 31, 2016 and 2015, and the related statements of operations, changes in net assets, and cash flows for each of the three years in the period ended December 31, 2016, and the related notes to the financial statements.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08" w:lineRule="exact"/>
        <w:rPr>
          <w:sz w:val="20"/>
          <w:szCs w:val="20"/>
          <w:color w:val="auto"/>
        </w:rPr>
      </w:pPr>
    </w:p>
    <w:p>
      <w:pPr>
        <w:ind w:left="1260" w:right="839"/>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08" w:lineRule="exact"/>
        <w:rPr>
          <w:sz w:val="20"/>
          <w:szCs w:val="20"/>
          <w:color w:val="auto"/>
        </w:rPr>
      </w:pPr>
    </w:p>
    <w:p>
      <w:pPr>
        <w:ind w:left="1260" w:right="779"/>
        <w:spacing w:after="0" w:line="261"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72" w:lineRule="exact"/>
        <w:rPr>
          <w:sz w:val="20"/>
          <w:szCs w:val="20"/>
          <w:color w:val="auto"/>
        </w:rPr>
      </w:pPr>
    </w:p>
    <w:p>
      <w:pPr>
        <w:ind w:left="1260" w:right="819"/>
        <w:spacing w:after="0" w:line="254"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1"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08" w:lineRule="exact"/>
        <w:rPr>
          <w:sz w:val="20"/>
          <w:szCs w:val="20"/>
          <w:color w:val="auto"/>
        </w:rPr>
      </w:pPr>
    </w:p>
    <w:p>
      <w:pPr>
        <w:ind w:left="1260" w:right="859"/>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Katonah 2007-I CLO Ltd. at December 31, 2016 and 2015, and the results of its operations and its cash flows for each of the three years in the period ended December 31, 2016, in conformity with U.S. generally accepted accounting principles.</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STATEMENTS OF NET ASSETS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2"/>
        </w:trPr>
        <w:tc>
          <w:tcPr>
            <w:tcW w:w="5740" w:type="dxa"/>
            <w:vAlign w:val="bottom"/>
          </w:tcPr>
          <w:p>
            <w:pPr>
              <w:spacing w:after="0"/>
              <w:rPr>
                <w:sz w:val="14"/>
                <w:szCs w:val="14"/>
                <w:color w:val="auto"/>
              </w:rPr>
            </w:pPr>
          </w:p>
        </w:tc>
        <w:tc>
          <w:tcPr>
            <w:tcW w:w="13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r>
      <w:tr>
        <w:trPr>
          <w:trHeight w:val="24"/>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5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7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170,702,652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234,403,150</w:t>
            </w:r>
          </w:p>
        </w:tc>
        <w:tc>
          <w:tcPr>
            <w:tcW w:w="100" w:type="dxa"/>
            <w:vAlign w:val="bottom"/>
            <w:shd w:val="clear" w:color="auto" w:fill="CCEEFF"/>
          </w:tcPr>
          <w:p>
            <w:pPr>
              <w:spacing w:after="0"/>
              <w:rPr>
                <w:sz w:val="22"/>
                <w:szCs w:val="22"/>
                <w:color w:val="auto"/>
              </w:rPr>
            </w:pPr>
          </w:p>
        </w:tc>
      </w:tr>
      <w:tr>
        <w:trPr>
          <w:trHeight w:val="257"/>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2"/>
                <w:szCs w:val="22"/>
                <w:color w:val="auto"/>
              </w:rPr>
            </w:pPr>
          </w:p>
        </w:tc>
      </w:tr>
      <w:tr>
        <w:trPr>
          <w:trHeight w:val="263"/>
        </w:trPr>
        <w:tc>
          <w:tcPr>
            <w:tcW w:w="57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 rated notes</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5,831,800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12,360,525</w:t>
            </w:r>
          </w:p>
        </w:tc>
      </w:tr>
      <w:tr>
        <w:trPr>
          <w:trHeight w:val="20"/>
        </w:trPr>
        <w:tc>
          <w:tcPr>
            <w:tcW w:w="57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7"/>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176,684,976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246,766,505</w:t>
            </w:r>
          </w:p>
        </w:tc>
        <w:tc>
          <w:tcPr>
            <w:tcW w:w="100" w:type="dxa"/>
            <w:vAlign w:val="bottom"/>
          </w:tcPr>
          <w:p>
            <w:pPr>
              <w:spacing w:after="0"/>
              <w:rPr>
                <w:sz w:val="22"/>
                <w:szCs w:val="22"/>
                <w:color w:val="auto"/>
              </w:rPr>
            </w:pPr>
          </w:p>
        </w:tc>
      </w:tr>
      <w:tr>
        <w:trPr>
          <w:trHeight w:val="257"/>
        </w:trPr>
        <w:tc>
          <w:tcPr>
            <w:tcW w:w="5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34,982,770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17,301,178</w:t>
            </w:r>
          </w:p>
        </w:tc>
      </w:tr>
      <w:tr>
        <w:trPr>
          <w:trHeight w:val="25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492,417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501,574</w:t>
            </w:r>
          </w:p>
        </w:tc>
        <w:tc>
          <w:tcPr>
            <w:tcW w:w="100" w:type="dxa"/>
            <w:vAlign w:val="bottom"/>
          </w:tcPr>
          <w:p>
            <w:pPr>
              <w:spacing w:after="0"/>
              <w:rPr>
                <w:sz w:val="22"/>
                <w:szCs w:val="22"/>
                <w:color w:val="auto"/>
              </w:rPr>
            </w:pPr>
          </w:p>
        </w:tc>
      </w:tr>
      <w:tr>
        <w:trPr>
          <w:trHeight w:val="263"/>
        </w:trPr>
        <w:tc>
          <w:tcPr>
            <w:tcW w:w="5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for open trades</w:t>
            </w:r>
          </w:p>
        </w:tc>
        <w:tc>
          <w:tcPr>
            <w:tcW w:w="10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820,593</w:t>
            </w:r>
          </w:p>
        </w:tc>
        <w:tc>
          <w:tcPr>
            <w:tcW w:w="100" w:type="dxa"/>
            <w:vAlign w:val="bottom"/>
            <w:shd w:val="clear" w:color="auto" w:fill="CCEEFF"/>
          </w:tcPr>
          <w:p>
            <w:pPr>
              <w:spacing w:after="0"/>
              <w:rPr>
                <w:sz w:val="22"/>
                <w:szCs w:val="22"/>
                <w:color w:val="auto"/>
              </w:rPr>
            </w:pPr>
          </w:p>
        </w:tc>
      </w:tr>
      <w:tr>
        <w:trPr>
          <w:trHeight w:val="20"/>
        </w:trPr>
        <w:tc>
          <w:tcPr>
            <w:tcW w:w="57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30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212,160,163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265,389,850</w:t>
            </w:r>
          </w:p>
        </w:tc>
        <w:tc>
          <w:tcPr>
            <w:tcW w:w="100" w:type="dxa"/>
            <w:vAlign w:val="bottom"/>
          </w:tcPr>
          <w:p>
            <w:pPr>
              <w:spacing w:after="0"/>
              <w:rPr>
                <w:sz w:val="24"/>
                <w:szCs w:val="24"/>
                <w:color w:val="auto"/>
              </w:rPr>
            </w:pPr>
          </w:p>
        </w:tc>
      </w:tr>
      <w:tr>
        <w:trPr>
          <w:trHeight w:val="311"/>
        </w:trPr>
        <w:tc>
          <w:tcPr>
            <w:tcW w:w="57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right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r>
      <w:tr>
        <w:trPr>
          <w:trHeight w:val="25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CLO Fund liabilities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208,812,164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261,433,473</w:t>
            </w:r>
          </w:p>
        </w:tc>
        <w:tc>
          <w:tcPr>
            <w:tcW w:w="100" w:type="dxa"/>
            <w:vAlign w:val="bottom"/>
          </w:tcPr>
          <w:p>
            <w:pPr>
              <w:spacing w:after="0"/>
              <w:rPr>
                <w:sz w:val="22"/>
                <w:szCs w:val="22"/>
                <w:color w:val="auto"/>
              </w:rPr>
            </w:pPr>
          </w:p>
        </w:tc>
      </w:tr>
      <w:tr>
        <w:trPr>
          <w:trHeight w:val="257"/>
        </w:trPr>
        <w:tc>
          <w:tcPr>
            <w:tcW w:w="5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1,518,793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1,565,632</w:t>
            </w:r>
          </w:p>
        </w:tc>
        <w:tc>
          <w:tcPr>
            <w:tcW w:w="100" w:type="dxa"/>
            <w:vAlign w:val="bottom"/>
            <w:shd w:val="clear" w:color="auto" w:fill="CCEEFF"/>
          </w:tcPr>
          <w:p>
            <w:pPr>
              <w:spacing w:after="0"/>
              <w:rPr>
                <w:sz w:val="22"/>
                <w:szCs w:val="22"/>
                <w:color w:val="auto"/>
              </w:rPr>
            </w:pPr>
          </w:p>
        </w:tc>
      </w:tr>
      <w:tr>
        <w:trPr>
          <w:trHeight w:val="25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Payable for open trades</w:t>
            </w:r>
          </w:p>
        </w:tc>
        <w:tc>
          <w:tcPr>
            <w:tcW w:w="100" w:type="dxa"/>
            <w:vAlign w:val="bottom"/>
          </w:tcPr>
          <w:p>
            <w:pPr>
              <w:spacing w:after="0"/>
              <w:rPr>
                <w:sz w:val="22"/>
                <w:szCs w:val="22"/>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6,006,038</w:t>
            </w:r>
          </w:p>
        </w:tc>
        <w:tc>
          <w:tcPr>
            <w:tcW w:w="100" w:type="dxa"/>
            <w:vAlign w:val="bottom"/>
          </w:tcPr>
          <w:p>
            <w:pPr>
              <w:spacing w:after="0"/>
              <w:rPr>
                <w:sz w:val="22"/>
                <w:szCs w:val="22"/>
                <w:color w:val="auto"/>
              </w:rPr>
            </w:pPr>
          </w:p>
        </w:tc>
      </w:tr>
      <w:tr>
        <w:trPr>
          <w:trHeight w:val="270"/>
        </w:trPr>
        <w:tc>
          <w:tcPr>
            <w:tcW w:w="5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132,967</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154,079</w:t>
            </w:r>
          </w:p>
        </w:tc>
        <w:tc>
          <w:tcPr>
            <w:tcW w:w="100" w:type="dxa"/>
            <w:vAlign w:val="bottom"/>
            <w:shd w:val="clear" w:color="auto" w:fill="CCEEFF"/>
          </w:tcPr>
          <w:p>
            <w:pPr>
              <w:spacing w:after="0"/>
              <w:rPr>
                <w:sz w:val="23"/>
                <w:szCs w:val="23"/>
                <w:color w:val="auto"/>
              </w:rPr>
            </w:pPr>
          </w:p>
        </w:tc>
      </w:tr>
      <w:tr>
        <w:trPr>
          <w:trHeight w:val="27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4"/>
                <w:szCs w:val="24"/>
                <w:color w:val="auto"/>
              </w:rPr>
            </w:pPr>
          </w:p>
        </w:tc>
      </w:tr>
      <w:tr>
        <w:trPr>
          <w:trHeight w:val="20"/>
        </w:trPr>
        <w:tc>
          <w:tcPr>
            <w:tcW w:w="57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70"/>
        </w:trPr>
        <w:tc>
          <w:tcPr>
            <w:tcW w:w="5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210,463,954</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269,163,111</w:t>
            </w:r>
          </w:p>
        </w:tc>
      </w:tr>
      <w:tr>
        <w:trPr>
          <w:trHeight w:val="27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24"/>
                <w:szCs w:val="24"/>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57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right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1,696,209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(3,773,261)</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-445135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-445135</wp:posOffset>
            </wp:positionV>
            <wp:extent cx="451104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51104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-805180</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-805180</wp:posOffset>
            </wp:positionV>
            <wp:extent cx="451104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5110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-3558540</wp:posOffset>
            </wp:positionV>
            <wp:extent cx="444246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16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4"/>
        </w:trPr>
        <w:tc>
          <w:tcPr>
            <w:tcW w:w="5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7"/>
                <w:szCs w:val="17"/>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$9,381,680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10,178,631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$11,690,586</w:t>
            </w:r>
          </w:p>
        </w:tc>
        <w:tc>
          <w:tcPr>
            <w:tcW w:w="0" w:type="dxa"/>
            <w:vAlign w:val="bottom"/>
          </w:tcPr>
          <w:p>
            <w:pPr>
              <w:spacing w:after="0"/>
              <w:rPr>
                <w:sz w:val="1"/>
                <w:szCs w:val="1"/>
                <w:color w:val="auto"/>
              </w:rPr>
            </w:pPr>
          </w:p>
        </w:tc>
      </w:tr>
      <w:tr>
        <w:trPr>
          <w:trHeight w:val="257"/>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cash and time deposits</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18,324</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367,266</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425,490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32,346</w:t>
            </w:r>
          </w:p>
        </w:tc>
        <w:tc>
          <w:tcPr>
            <w:tcW w:w="0" w:type="dxa"/>
            <w:vAlign w:val="bottom"/>
          </w:tcPr>
          <w:p>
            <w:pPr>
              <w:spacing w:after="0"/>
              <w:rPr>
                <w:sz w:val="1"/>
                <w:szCs w:val="1"/>
                <w:color w:val="auto"/>
              </w:rPr>
            </w:pPr>
          </w:p>
        </w:tc>
      </w:tr>
      <w:tr>
        <w:trPr>
          <w:trHeight w:val="20"/>
        </w:trPr>
        <w:tc>
          <w:tcPr>
            <w:tcW w:w="5120" w:type="dxa"/>
            <w:vAlign w:val="bottom"/>
            <w:tcBorders>
              <w:right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20" w:type="dxa"/>
            <w:vAlign w:val="bottom"/>
            <w:tcBorders>
              <w:right w:val="single" w:sz="8" w:color="CCEEFF"/>
            </w:tcBorders>
            <w:vMerge w:val="continue"/>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9,767,270</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10,605,409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11,724,854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8,798,483</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9,146,858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10,736,878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659,347</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714,061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805,526</w:t>
            </w:r>
          </w:p>
        </w:tc>
        <w:tc>
          <w:tcPr>
            <w:tcW w:w="0" w:type="dxa"/>
            <w:vAlign w:val="bottom"/>
          </w:tcPr>
          <w:p>
            <w:pPr>
              <w:spacing w:after="0"/>
              <w:rPr>
                <w:sz w:val="1"/>
                <w:szCs w:val="1"/>
                <w:color w:val="auto"/>
              </w:rPr>
            </w:pPr>
          </w:p>
        </w:tc>
      </w:tr>
      <w:tr>
        <w:trPr>
          <w:trHeight w:val="257"/>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75,663</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77,443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166,488</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180,463</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178,954</w:t>
            </w:r>
          </w:p>
        </w:tc>
        <w:tc>
          <w:tcPr>
            <w:tcW w:w="0" w:type="dxa"/>
            <w:vAlign w:val="bottom"/>
          </w:tcPr>
          <w:p>
            <w:pPr>
              <w:spacing w:after="0"/>
              <w:rPr>
                <w:sz w:val="1"/>
                <w:szCs w:val="1"/>
                <w:color w:val="auto"/>
              </w:rPr>
            </w:pPr>
          </w:p>
        </w:tc>
      </w:tr>
      <w:tr>
        <w:trPr>
          <w:trHeight w:val="263"/>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and other</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80,425</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9,780,406</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10,205,353</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11,955,746</w:t>
            </w:r>
          </w:p>
        </w:tc>
        <w:tc>
          <w:tcPr>
            <w:tcW w:w="0" w:type="dxa"/>
            <w:vAlign w:val="bottom"/>
          </w:tcPr>
          <w:p>
            <w:pPr>
              <w:spacing w:after="0"/>
              <w:rPr>
                <w:sz w:val="1"/>
                <w:szCs w:val="1"/>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5,482,606</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(387,924)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(9,089,440)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 (Decrease) in net assets resulting from operations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5,469,470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12,132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 (9,320,332)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-376555</wp:posOffset>
            </wp:positionV>
            <wp:extent cx="14605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-376555</wp:posOffset>
            </wp:positionV>
            <wp:extent cx="391922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-1783080</wp:posOffset>
            </wp:positionV>
            <wp:extent cx="14605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-1783080</wp:posOffset>
            </wp:positionV>
            <wp:extent cx="39192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-2451735</wp:posOffset>
            </wp:positionV>
            <wp:extent cx="13716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-2451735</wp:posOffset>
            </wp:positionV>
            <wp:extent cx="391033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115"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33655</wp:posOffset>
            </wp:positionV>
            <wp:extent cx="5213985" cy="1714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January 1, 2014</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5213985" cy="1714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December 31, 2014</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5213985" cy="1714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5213985" cy="1803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48" w:hanging="148"/>
        <w:spacing w:after="0"/>
        <w:tabs>
          <w:tab w:leader="none" w:pos="14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5,534,939</w:t>
      </w:r>
    </w:p>
    <w:p>
      <w:pPr>
        <w:spacing w:after="0" w:line="53" w:lineRule="exact"/>
        <w:rPr>
          <w:rFonts w:ascii="Times New Roman" w:cs="Times New Roman" w:eastAsia="Times New Roman" w:hAnsi="Times New Roman"/>
          <w:sz w:val="18"/>
          <w:szCs w:val="18"/>
          <w:b w:val="1"/>
          <w:bCs w:val="1"/>
          <w:color w:val="auto"/>
        </w:rPr>
      </w:pPr>
    </w:p>
    <w:p>
      <w:pPr>
        <w:ind w:left="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(9,320,332)</w:t>
      </w:r>
    </w:p>
    <w:p>
      <w:pPr>
        <w:spacing w:after="0" w:line="72" w:lineRule="exact"/>
        <w:rPr>
          <w:rFonts w:ascii="Times New Roman" w:cs="Times New Roman" w:eastAsia="Times New Roman" w:hAnsi="Times New Roman"/>
          <w:sz w:val="18"/>
          <w:szCs w:val="18"/>
          <w:b w:val="1"/>
          <w:bCs w:val="1"/>
          <w:color w:val="auto"/>
        </w:rPr>
      </w:pPr>
    </w:p>
    <w:p>
      <w:pPr>
        <w:ind w:left="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(3,785,393)</w:t>
      </w:r>
    </w:p>
    <w:p>
      <w:pPr>
        <w:spacing w:after="0" w:line="53" w:lineRule="exact"/>
        <w:rPr>
          <w:rFonts w:ascii="Times New Roman" w:cs="Times New Roman" w:eastAsia="Times New Roman" w:hAnsi="Times New Roman"/>
          <w:sz w:val="18"/>
          <w:szCs w:val="18"/>
          <w:b w:val="1"/>
          <w:bCs w:val="1"/>
          <w:color w:val="auto"/>
        </w:rPr>
      </w:pPr>
    </w:p>
    <w:p>
      <w:pPr>
        <w:ind w:left="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12,132</w:t>
      </w:r>
    </w:p>
    <w:p>
      <w:pPr>
        <w:spacing w:after="0" w:line="73" w:lineRule="exact"/>
        <w:rPr>
          <w:sz w:val="20"/>
          <w:szCs w:val="20"/>
          <w:color w:val="auto"/>
        </w:rPr>
      </w:pPr>
    </w:p>
    <w:p>
      <w:pPr>
        <w:ind w:left="88"/>
        <w:spacing w:after="0"/>
        <w:rPr>
          <w:sz w:val="20"/>
          <w:szCs w:val="20"/>
          <w:color w:val="auto"/>
        </w:rPr>
      </w:pPr>
      <w:r>
        <w:rPr>
          <w:rFonts w:ascii="Times New Roman" w:cs="Times New Roman" w:eastAsia="Times New Roman" w:hAnsi="Times New Roman"/>
          <w:sz w:val="18"/>
          <w:szCs w:val="18"/>
          <w:b w:val="1"/>
          <w:bCs w:val="1"/>
          <w:color w:val="auto"/>
        </w:rPr>
        <w:t>(3,773,261)</w:t>
      </w:r>
    </w:p>
    <w:p>
      <w:pPr>
        <w:spacing w:after="0" w:line="54"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8"/>
          <w:szCs w:val="18"/>
          <w:color w:val="auto"/>
        </w:rPr>
        <w:t>5,469,470</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auto"/>
        </w:rPr>
        <w:t>$ 1,696,209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5753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92" w:space="720"/>
            <w:col w:w="1707"/>
          </w:cols>
          <w:pgMar w:left="24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4"/>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7"/>
                <w:szCs w:val="17"/>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7"/>
                <w:szCs w:val="17"/>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5,469,470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(9,320,332)</w:t>
            </w:r>
          </w:p>
        </w:tc>
      </w:tr>
      <w:tr>
        <w:trPr>
          <w:trHeight w:val="221"/>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increase (decrease) in net assets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0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resulting from operations to net cash provided by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50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(7,040,542)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6,651,428</w:t>
            </w:r>
          </w:p>
        </w:tc>
        <w:tc>
          <w:tcPr>
            <w:tcW w:w="1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5,807,622</w:t>
            </w:r>
          </w:p>
        </w:tc>
      </w:tr>
      <w:tr>
        <w:trPr>
          <w:trHeight w:val="257"/>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losses (gains) on debt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1,557,935</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(6,263,504)</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3,281,818</w:t>
            </w:r>
          </w:p>
        </w:tc>
        <w:tc>
          <w:tcPr>
            <w:tcW w:w="60" w:type="dxa"/>
            <w:vAlign w:val="bottom"/>
          </w:tcPr>
          <w:p>
            <w:pPr>
              <w:spacing w:after="0"/>
              <w:rPr>
                <w:sz w:val="22"/>
                <w:szCs w:val="22"/>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(82,554,227)</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(93,243,381)</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(29,960,071)</w:t>
            </w:r>
          </w:p>
        </w:tc>
      </w:tr>
      <w:tr>
        <w:trPr>
          <w:trHeight w:val="257"/>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and redemption of investments</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159,676,298</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113,199,395</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61,206,288</w:t>
            </w:r>
          </w:p>
        </w:tc>
        <w:tc>
          <w:tcPr>
            <w:tcW w:w="60" w:type="dxa"/>
            <w:vAlign w:val="bottom"/>
          </w:tcPr>
          <w:p>
            <w:pPr>
              <w:spacing w:after="0"/>
              <w:rPr>
                <w:sz w:val="22"/>
                <w:szCs w:val="22"/>
                <w:color w:val="auto"/>
              </w:rPr>
            </w:pPr>
          </w:p>
        </w:tc>
      </w:tr>
      <w:tr>
        <w:trPr>
          <w:trHeight w:val="37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accrued interest receivable</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9,157</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129,814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60" w:type="dxa"/>
            <w:vAlign w:val="bottom"/>
          </w:tcPr>
          <w:p>
            <w:pPr>
              <w:spacing w:after="0"/>
              <w:rPr>
                <w:sz w:val="23"/>
                <w:szCs w:val="23"/>
                <w:color w:val="auto"/>
              </w:rPr>
            </w:pPr>
          </w:p>
        </w:tc>
      </w:tr>
      <w:tr>
        <w:trPr>
          <w:trHeight w:val="23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accounts payable and accrued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(21,112)</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(30,556)</w:t>
            </w: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3,621</w:t>
            </w:r>
          </w:p>
        </w:tc>
      </w:tr>
      <w:tr>
        <w:trPr>
          <w:trHeight w:val="277"/>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receivable for open trades</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820,593</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(820,593)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7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due to affiliates</w:t>
            </w:r>
          </w:p>
        </w:tc>
        <w:tc>
          <w:tcPr>
            <w:tcW w:w="10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6,745</w:t>
            </w:r>
          </w:p>
        </w:tc>
      </w:tr>
      <w:tr>
        <w:trPr>
          <w:trHeight w:val="270"/>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due from affiliates</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60" w:type="dxa"/>
            <w:vAlign w:val="bottom"/>
          </w:tcPr>
          <w:p>
            <w:pPr>
              <w:spacing w:after="0"/>
              <w:rPr>
                <w:sz w:val="23"/>
                <w:szCs w:val="23"/>
                <w:color w:val="auto"/>
              </w:rPr>
            </w:pPr>
          </w:p>
        </w:tc>
      </w:tr>
      <w:tr>
        <w:trPr>
          <w:trHeight w:val="27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payable for open trades</w:t>
            </w:r>
          </w:p>
        </w:tc>
        <w:tc>
          <w:tcPr>
            <w:tcW w:w="10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(6,006,038)</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6,006,038</w:t>
            </w:r>
          </w:p>
        </w:tc>
        <w:tc>
          <w:tcPr>
            <w:tcW w:w="1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(4,013,750)</w:t>
            </w:r>
          </w:p>
        </w:tc>
      </w:tr>
      <w:tr>
        <w:trPr>
          <w:trHeight w:val="277"/>
        </w:trPr>
        <w:tc>
          <w:tcPr>
            <w:tcW w:w="50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accrued interest payable</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(46,839)</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(270,176)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(254,559)</w:t>
            </w:r>
          </w:p>
        </w:tc>
        <w:tc>
          <w:tcPr>
            <w:tcW w:w="60" w:type="dxa"/>
            <w:vAlign w:val="bottom"/>
          </w:tcPr>
          <w:p>
            <w:pPr>
              <w:spacing w:after="0"/>
              <w:rPr>
                <w:sz w:val="24"/>
                <w:szCs w:val="24"/>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71,860,836</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25,363,633</w:t>
            </w:r>
          </w:p>
        </w:tc>
        <w:tc>
          <w:tcPr>
            <w:tcW w:w="1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26,811,757</w:t>
            </w:r>
          </w:p>
        </w:tc>
      </w:tr>
      <w:tr>
        <w:trPr>
          <w:trHeight w:val="378"/>
        </w:trPr>
        <w:tc>
          <w:tcPr>
            <w:tcW w:w="504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1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(54,179,244)</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(23,002,449)</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(27,132,006)</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0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(54,179,244)</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(23,002,449)</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(27,132,006)</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w:t>
            </w: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17,681,592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2,361,184</w:t>
            </w:r>
          </w:p>
        </w:tc>
        <w:tc>
          <w:tcPr>
            <w:tcW w:w="1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(320,249)</w:t>
            </w:r>
          </w:p>
        </w:tc>
      </w:tr>
      <w:tr>
        <w:trPr>
          <w:trHeight w:val="277"/>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17,301,178</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14,939,994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15,260,243</w:t>
            </w:r>
          </w:p>
        </w:tc>
        <w:tc>
          <w:tcPr>
            <w:tcW w:w="60" w:type="dxa"/>
            <w:vAlign w:val="bottom"/>
          </w:tcPr>
          <w:p>
            <w:pPr>
              <w:spacing w:after="0"/>
              <w:rPr>
                <w:sz w:val="24"/>
                <w:szCs w:val="24"/>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34,982,770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17,301,178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14,939,994</w:t>
            </w:r>
          </w:p>
        </w:tc>
      </w:tr>
      <w:tr>
        <w:trPr>
          <w:trHeight w:val="217"/>
        </w:trPr>
        <w:tc>
          <w:tcPr>
            <w:tcW w:w="504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Supplemental Information:</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7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8,751,644</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9,417,035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10,991,437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-1062990</wp:posOffset>
            </wp:positionV>
            <wp:extent cx="9461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-1062990</wp:posOffset>
            </wp:positionV>
            <wp:extent cx="392747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92747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-1491615</wp:posOffset>
            </wp:positionV>
            <wp:extent cx="9461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-1491615</wp:posOffset>
            </wp:positionV>
            <wp:extent cx="392747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92747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-4690110</wp:posOffset>
            </wp:positionV>
            <wp:extent cx="8572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-4690110</wp:posOffset>
            </wp:positionV>
            <wp:extent cx="39192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 of December 31, 2016</w:t>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Securities Portfolio</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21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Interest Rate/Maturity</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Advantage Sales &amp; Marketing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Term Loan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shd w:val="clear" w:color="auto" w:fill="CCEEFF"/>
          </w:tcPr>
          <w:p>
            <w:pPr>
              <w:spacing w:after="0"/>
              <w:rPr>
                <w:sz w:val="14"/>
                <w:szCs w:val="14"/>
                <w:color w:val="auto"/>
              </w:rPr>
            </w:pP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(First Lien)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1,478,170</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1,465,743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1,485,930</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Services: Business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7/21</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Aramark Corporation</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U.S. Term F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2,500,766</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2,434,568</w:t>
            </w: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2,527,775</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Diversified/Conglomerate Service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2/21</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Ascena Retail Group, Inc.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B Term Loan —</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(Anntaylor Retail, Inc.)</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1,847,840</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1,727,053</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1,807,880</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Retail Stores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8/22</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Aspect Software,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Term Loan (First Lien)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1,987,421</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1,982,675</w:t>
            </w: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1,990,730</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Electronics</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11.3% Cash, Due 5/20</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Asurion, LLC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Replacement B-2</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Asurion Corporation)</w:t>
            </w: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434,119</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417,800</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438,528</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Insurance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7/20</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Avis Budget Car Rental,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Tranche B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4,747,663</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4,764,002</w:t>
            </w: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4,761,527</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Personal Transportation</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3/19</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Berry Plastics Corporation</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G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2,591,612</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2,487,866</w:t>
            </w: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2,612,138</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Containers, Packaging and Glass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1/21</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Burlington Coat Factory Warehouse</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Term B-4 Loan —</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Corporation</w:t>
            </w:r>
          </w:p>
        </w:tc>
        <w:tc>
          <w:tcPr>
            <w:tcW w:w="2160" w:type="dxa"/>
            <w:vAlign w:val="bottom"/>
            <w:gridSpan w:val="3"/>
            <w:vMerge w:val="continue"/>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2,321,888</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2,286,350</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2,342,611</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Retail Stores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8/21</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Automotive L.P.</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B-1</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shd w:val="clear" w:color="auto" w:fill="CCEEFF"/>
          </w:tcPr>
          <w:p>
            <w:pPr>
              <w:spacing w:after="0"/>
              <w:rPr>
                <w:sz w:val="14"/>
                <w:szCs w:val="14"/>
                <w:color w:val="auto"/>
              </w:rPr>
            </w:pP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Loan Facility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1,447,883</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1,444,407</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1,464,852</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Finance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4/19</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Capsugel Holdings US,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New Dollar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713,586</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712,640</w:t>
            </w: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716,783</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7/21</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Cedar Fair, L.P.</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Term Facility —</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Leisure, Amusement, Motion Pictures,</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956,905</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955,817</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964,383</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Entertainment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3/20</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Healthcare Holdings, Inc.</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Term B-2 Loan —</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Emdeon Inc.)</w:t>
            </w:r>
          </w:p>
        </w:tc>
        <w:tc>
          <w:tcPr>
            <w:tcW w:w="2160" w:type="dxa"/>
            <w:vAlign w:val="bottom"/>
            <w:gridSpan w:val="3"/>
            <w:vMerge w:val="continue"/>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173,151</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173,481</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173,692</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Electronics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11/18</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Charter Communications Operating, LLC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F Loan —</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(aka CCO Safari LLC)</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1,468,488</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1,462,213</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1,477,461</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Broadcasting and Entertainment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1/21</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CHS/Community Health Systems,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Incremental 2018</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F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1,034,498</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493,113</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1,020,057</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12/18</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CHS/Community Health Systems,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2019</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shd w:val="clear" w:color="auto" w:fill="CCEEFF"/>
          </w:tcPr>
          <w:p>
            <w:pPr>
              <w:spacing w:after="0"/>
              <w:rPr>
                <w:sz w:val="14"/>
                <w:szCs w:val="14"/>
                <w:color w:val="auto"/>
              </w:rPr>
            </w:pP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G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1,019,212</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1,017,557</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991,505</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12/19</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CHS/Community Health Systems,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Incremental 2021</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H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2,073,288</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2,055,059</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2,014,117</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1/21</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Ciena Corporation</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2,947,236</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2,958,279</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2,965,656</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Electronics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7/19</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Commscope,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Tranche 4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111,875</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111,920</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112,679</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Telecommunications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1/18</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Container Store, Inc., The</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Facility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1,660,005</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1,662,549</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1,524,441</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Retail Stores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4/19</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CSM Bakery Solutions Limited (fka CSM</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Term Loan (First Lien) —</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Bakery Supplies Limited)</w:t>
            </w:r>
          </w:p>
        </w:tc>
        <w:tc>
          <w:tcPr>
            <w:tcW w:w="2160" w:type="dxa"/>
            <w:vAlign w:val="bottom"/>
            <w:gridSpan w:val="3"/>
            <w:vMerge w:val="continue"/>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3,000,000</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2,914,353</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2,725,500</w:t>
            </w:r>
          </w:p>
        </w:tc>
        <w:tc>
          <w:tcPr>
            <w:tcW w:w="0" w:type="dxa"/>
            <w:vAlign w:val="bottom"/>
          </w:tcPr>
          <w:p>
            <w:pPr>
              <w:spacing w:after="0"/>
              <w:rPr>
                <w:sz w:val="1"/>
                <w:szCs w:val="1"/>
                <w:color w:val="auto"/>
              </w:rPr>
            </w:pPr>
          </w:p>
        </w:tc>
      </w:tr>
      <w:tr>
        <w:trPr>
          <w:trHeight w:val="212"/>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Beverage, Food and Tobacco</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7/20</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-6463030</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-6463030</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-6463030</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-6463030</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21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Interest Rate/Maturity</w:t>
            </w:r>
          </w:p>
        </w:tc>
        <w:tc>
          <w:tcPr>
            <w:tcW w:w="14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Cyanco Intermediate Corp.</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621,075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627,103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624,569</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Chemicals, Plastics and Rubber</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5.5%</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5/20</w:t>
            </w:r>
          </w:p>
        </w:tc>
        <w:tc>
          <w:tcPr>
            <w:tcW w:w="14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David’s Bridal,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Initial Term Loan —</w:t>
            </w:r>
          </w:p>
        </w:tc>
        <w:tc>
          <w:tcPr>
            <w:tcW w:w="140" w:type="dxa"/>
            <w:vAlign w:val="bottom"/>
          </w:tcPr>
          <w:p>
            <w:pPr>
              <w:spacing w:after="0"/>
              <w:rPr>
                <w:sz w:val="19"/>
                <w:szCs w:val="19"/>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473,111</w:t>
            </w:r>
          </w:p>
        </w:tc>
        <w:tc>
          <w:tcPr>
            <w:tcW w:w="180" w:type="dxa"/>
            <w:vAlign w:val="bottom"/>
          </w:tcPr>
          <w:p>
            <w:pPr>
              <w:spacing w:after="0"/>
              <w:rPr>
                <w:sz w:val="19"/>
                <w:szCs w:val="1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471,233</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419,690</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Retail Stores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10/19</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Delta 2 (Lux) S.a r.l (aka Formula One)</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B3 (USD) —</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Leisure, Amusement, Motion Pictures,</w:t>
            </w:r>
          </w:p>
        </w:tc>
        <w:tc>
          <w:tcPr>
            <w:tcW w:w="21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3,421,774</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3,404,142</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3,461,603</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Entertainment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5.1%</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7/21</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Dex Media,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 —</w:t>
            </w:r>
          </w:p>
        </w:tc>
        <w:tc>
          <w:tcPr>
            <w:tcW w:w="140" w:type="dxa"/>
            <w:vAlign w:val="bottom"/>
          </w:tcPr>
          <w:p>
            <w:pPr>
              <w:spacing w:after="0"/>
              <w:rPr>
                <w:sz w:val="19"/>
                <w:szCs w:val="19"/>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217,160</w:t>
            </w:r>
          </w:p>
        </w:tc>
        <w:tc>
          <w:tcPr>
            <w:tcW w:w="180" w:type="dxa"/>
            <w:vAlign w:val="bottom"/>
          </w:tcPr>
          <w:p>
            <w:pPr>
              <w:spacing w:after="0"/>
              <w:rPr>
                <w:sz w:val="19"/>
                <w:szCs w:val="1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212,886</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217,974</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Printing and Publishing</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11.0% Cash, Due 7/21</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E.W. Scripps Company, The</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B Term Loan —</w:t>
            </w:r>
          </w:p>
        </w:tc>
        <w:tc>
          <w:tcPr>
            <w:tcW w:w="14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2,575,710</w:t>
            </w:r>
          </w:p>
        </w:tc>
        <w:tc>
          <w:tcPr>
            <w:tcW w:w="18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2,553,469</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2,588,048</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Broadcasting and Entertainment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11/20</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Education Management II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Tranche A Term Loan —</w:t>
            </w:r>
          </w:p>
        </w:tc>
        <w:tc>
          <w:tcPr>
            <w:tcW w:w="140" w:type="dxa"/>
            <w:vAlign w:val="bottom"/>
          </w:tcPr>
          <w:p>
            <w:pPr>
              <w:spacing w:after="0"/>
              <w:rPr>
                <w:sz w:val="19"/>
                <w:szCs w:val="19"/>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200,289</w:t>
            </w:r>
          </w:p>
        </w:tc>
        <w:tc>
          <w:tcPr>
            <w:tcW w:w="180" w:type="dxa"/>
            <w:vAlign w:val="bottom"/>
          </w:tcPr>
          <w:p>
            <w:pPr>
              <w:spacing w:after="0"/>
              <w:rPr>
                <w:sz w:val="19"/>
                <w:szCs w:val="1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201,078</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50,386</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7/20</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Education Management II LLC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B Term Loan —</w:t>
            </w:r>
          </w:p>
        </w:tc>
        <w:tc>
          <w:tcPr>
            <w:tcW w:w="14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374,420</w:t>
            </w:r>
          </w:p>
        </w:tc>
        <w:tc>
          <w:tcPr>
            <w:tcW w:w="18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375,734</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18,347</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7/20</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Electric Lightwave Holdings, Inc.</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Term B-1 Loan —</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Integra Telecom Holdings, Inc.)</w:t>
            </w:r>
          </w:p>
        </w:tc>
        <w:tc>
          <w:tcPr>
            <w:tcW w:w="2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2,392,107</w:t>
            </w: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2,325,632</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2,402,872</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Telecommunications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8/20</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EnergySolutions, LLC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Advance —</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(aka Envirocare of Utah, LLC)</w:t>
            </w:r>
          </w:p>
        </w:tc>
        <w:tc>
          <w:tcPr>
            <w:tcW w:w="21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918,742</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920,945</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927,930</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Ecological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6.8%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5/20</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Envigo Laboratories, Inc.</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Term Loan (First Lien) —</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BPA Laboratories Inc.)</w:t>
            </w:r>
          </w:p>
        </w:tc>
        <w:tc>
          <w:tcPr>
            <w:tcW w:w="2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1,743,896</w:t>
            </w: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1,649,728</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1,534,628</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4/20</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Envigo Laboratories, Inc.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(Second Lien) —</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BPA Laboratories Inc.)</w:t>
            </w:r>
          </w:p>
        </w:tc>
        <w:tc>
          <w:tcPr>
            <w:tcW w:w="21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1,516,318</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1,493,015</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1,048,784</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3.4%</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7/17</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Essential Power,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Term Loan —</w:t>
            </w:r>
          </w:p>
        </w:tc>
        <w:tc>
          <w:tcPr>
            <w:tcW w:w="140" w:type="dxa"/>
            <w:vAlign w:val="bottom"/>
          </w:tcPr>
          <w:p>
            <w:pPr>
              <w:spacing w:after="0"/>
              <w:rPr>
                <w:sz w:val="19"/>
                <w:szCs w:val="19"/>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856,721</w:t>
            </w:r>
          </w:p>
        </w:tc>
        <w:tc>
          <w:tcPr>
            <w:tcW w:w="180" w:type="dxa"/>
            <w:vAlign w:val="bottom"/>
          </w:tcPr>
          <w:p>
            <w:pPr>
              <w:spacing w:after="0"/>
              <w:rPr>
                <w:sz w:val="19"/>
                <w:szCs w:val="1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851,938</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869,572</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Utilities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8/19</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Evertec Group, LLC (fka Evertec, LLC)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A Loan —</w:t>
            </w:r>
          </w:p>
        </w:tc>
        <w:tc>
          <w:tcPr>
            <w:tcW w:w="14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1,380,234</w:t>
            </w:r>
          </w:p>
        </w:tc>
        <w:tc>
          <w:tcPr>
            <w:tcW w:w="18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1,366,553</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1,373,767</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Banking, Finance, Insurance &amp; Real Estate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2.9%</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4/18</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EWT Holdings III Corp.</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Incremental 2016</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First Lien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WTG Holdings III Corp.)</w:t>
            </w: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2,274,670</w:t>
            </w: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2,285,613</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2,301,693</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Ecological</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1/21</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EWT Holdings III Corp.</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(First Lien) —</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WTG Holdings III Corp.)</w:t>
            </w:r>
          </w:p>
        </w:tc>
        <w:tc>
          <w:tcPr>
            <w:tcW w:w="21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970,000</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972,349</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978,492</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Ecological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1/21</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FCA US LLC (fka Chrysler Group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Term Loan B —</w:t>
            </w:r>
          </w:p>
        </w:tc>
        <w:tc>
          <w:tcPr>
            <w:tcW w:w="140" w:type="dxa"/>
            <w:vAlign w:val="bottom"/>
          </w:tcPr>
          <w:p>
            <w:pPr>
              <w:spacing w:after="0"/>
              <w:rPr>
                <w:sz w:val="19"/>
                <w:szCs w:val="19"/>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4,172,621</w:t>
            </w:r>
          </w:p>
        </w:tc>
        <w:tc>
          <w:tcPr>
            <w:tcW w:w="180" w:type="dxa"/>
            <w:vAlign w:val="bottom"/>
          </w:tcPr>
          <w:p>
            <w:pPr>
              <w:spacing w:after="0"/>
              <w:rPr>
                <w:sz w:val="19"/>
                <w:szCs w:val="1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4,156,392</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4,189,562</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Automobile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5/17</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Federal-Mogul Corporation</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B</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shd w:val="clear" w:color="auto" w:fill="CCEEFF"/>
          </w:tcPr>
          <w:p>
            <w:pPr>
              <w:spacing w:after="0"/>
              <w:rPr>
                <w:sz w:val="14"/>
                <w:szCs w:val="14"/>
                <w:color w:val="auto"/>
              </w:rPr>
            </w:pP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Loan (2014) —</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1,550,593</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1,529,850</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1,550,981</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Automobile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4/18</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Fender Musical Instruments Corporation</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Initial Loan —</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Personal and Non Durable Consumer</w:t>
            </w:r>
          </w:p>
        </w:tc>
        <w:tc>
          <w:tcPr>
            <w:tcW w:w="2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1,759,725</w:t>
            </w: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1,753,723</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1,737,025</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Products (Mfg. Only)</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5.8%</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4/19</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Filtration Group Corporation</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(First Lien) —</w:t>
            </w:r>
          </w:p>
        </w:tc>
        <w:tc>
          <w:tcPr>
            <w:tcW w:w="14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624,502</w:t>
            </w:r>
          </w:p>
        </w:tc>
        <w:tc>
          <w:tcPr>
            <w:tcW w:w="18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626,008</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630,160</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Ecological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11/20</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First Data Corporation</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2021C New Dollar</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2,095,106</w:t>
            </w: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2,092,615</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2,122,018</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Banking, Finance, Insurance &amp; Real Estate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3/21</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Gardner Denver, Inc.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Dollar Term Loan —</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Machinery (Non-Agriculture, Non-</w:t>
            </w:r>
          </w:p>
        </w:tc>
        <w:tc>
          <w:tcPr>
            <w:tcW w:w="21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2,210,025</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2,172,541</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2,191,439</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Construction, Non-Electronic)</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4.6%</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7/20</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General Nutrition Centers,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Amended Tranche B</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4,364,001</w:t>
            </w: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4,365,677</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4,113,071</w:t>
            </w:r>
          </w:p>
        </w:tc>
        <w:tc>
          <w:tcPr>
            <w:tcW w:w="0" w:type="dxa"/>
            <w:vAlign w:val="bottom"/>
          </w:tcPr>
          <w:p>
            <w:pPr>
              <w:spacing w:after="0"/>
              <w:rPr>
                <w:sz w:val="1"/>
                <w:szCs w:val="1"/>
                <w:color w:val="auto"/>
              </w:rPr>
            </w:pPr>
          </w:p>
        </w:tc>
      </w:tr>
      <w:tr>
        <w:trPr>
          <w:trHeight w:val="212"/>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Retail Stores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3/19</w:t>
            </w: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-7200900</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-7200900</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-7200900</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-7200900</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21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Interest Rate/Maturity</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Getty Images, Inc.</w:t>
            </w:r>
          </w:p>
        </w:tc>
        <w:tc>
          <w:tcPr>
            <w:tcW w:w="216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Initial 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2,601,451</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2,591,053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2,278,429</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Printing and Publishing</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10/19</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Harland Clarke Holdings Corp.</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Tranche B-3 Term Loan —</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Clarke American Corp.)</w:t>
            </w:r>
          </w:p>
        </w:tc>
        <w:tc>
          <w:tcPr>
            <w:tcW w:w="2160" w:type="dxa"/>
            <w:vAlign w:val="bottom"/>
            <w:gridSpan w:val="3"/>
            <w:vMerge w:val="continue"/>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487,985</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487,985</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489,815</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Printing and Publishing</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7.0%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5/18</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Harland Clarke Holdings Corp.</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B-5 Term Loan —</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Clarke American Corp.)</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4,450,523</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4,451,323</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4,484,458</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Printing and Publishing</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12/19</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HCR Healthcare,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Initial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471,250</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470,402</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413,647</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4/18</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Hercules Achievement, Inc.</w:t>
            </w:r>
          </w:p>
        </w:tc>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(aka Varsity Brands, Inc.)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Term Loan</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Home and Office Furnishings,</w:t>
            </w:r>
          </w:p>
        </w:tc>
        <w:tc>
          <w:tcPr>
            <w:tcW w:w="2160" w:type="dxa"/>
            <w:vAlign w:val="bottom"/>
            <w:gridSpan w:val="3"/>
            <w:vMerge w:val="continue"/>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Housewares, and Durable Consumer</w:t>
            </w: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(First Lien)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997,455</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1,007,140</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1,013,913</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Products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12/21</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Huntsman International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2015 Extended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B Dollar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1,075,034</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1,045,099</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1,081,081</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Chemicals, Plastics and Rubber</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3.7%</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4/19</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Ineos US Finance LLC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Dollar 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3,944,682</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3,955,292</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3,969,751</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Chemicals, Plastics and Rubber</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12/20</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Infor (US), Inc. (fka Lawson Software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Tranche B-5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2,287,677</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2,296,269</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2,294,586</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Electronics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6/20</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 Crew Group,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3,841,375</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3,843,639</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2,203,989</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Retail Stores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3/21</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JBS USA Lux S.A. (fka JBS USA,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Initial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4,711,566</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4,720,855</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4,729,235</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Beverage, Food and Tobacco</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5/18</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KAR Auction Services,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B-2 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243,611</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246,267</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246,048</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Automobile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4.2%</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3/21</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Key Safety Systems,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Initial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1,283,781</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1,265,173</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1,300,150</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Automobile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8/21</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Kronos Worldwide,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 Refinancing</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shd w:val="clear" w:color="auto" w:fill="CCEEFF"/>
          </w:tcPr>
          <w:p>
            <w:pPr>
              <w:spacing w:after="0"/>
              <w:rPr>
                <w:sz w:val="14"/>
                <w:szCs w:val="14"/>
                <w:color w:val="auto"/>
              </w:rPr>
            </w:pP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778,000</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766,847</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787,725</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Diversified/Conglomerate Service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2/20</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Las Vegas Sands,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Refinancing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3,168,926</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3,128,432</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3,189,968</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Hotels, Motels, Inns, and Gaming</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12/20</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LPL Holdings,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 Tranche B</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shd w:val="clear" w:color="auto" w:fill="CCEEFF"/>
          </w:tcPr>
          <w:p>
            <w:pPr>
              <w:spacing w:after="0"/>
              <w:rPr>
                <w:sz w:val="14"/>
                <w:szCs w:val="14"/>
                <w:color w:val="auto"/>
              </w:rPr>
            </w:pP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Loan — 4.3% Cash,</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1,911,195</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1,903,632</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1,933,900</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Finance</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3/21</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MCC Iowa LLC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Tranche J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683,429</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675,784</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689,836</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Broadcasting and Entertainment</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6/21</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Mediacom Illinois, LLC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F Term Loan —</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Mediacom Communications, LLC)</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5,835,000</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5,830,528</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5,860,557</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Broadcasting and Entertainment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3.2%</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3/18</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Mitchell International,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Initial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1,979,675</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1,836,869</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1,986,069</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Electronics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10/20</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National CineMedia, LLC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(2013) —</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Leisure, Amusement, Motion Pictures,</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996,689</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1,009,065</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Entertainment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11/19</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Amendment No. 4</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NEP/NCP Holdco, Inc.</w:t>
            </w: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Incremental</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Loan (First Lien)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4,211,244</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4,190,414</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4,237,564</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Broadcasting and Entertainment</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1/20</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Beaumont LLC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B-3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2,393,807</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2,407,888</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2,441,684</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Chemicals, Plastics and Rubber</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8.0%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8/19</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Onex Carestream Finance LP</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Term Loan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(First Lien 2013)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2,290,548</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2,301,501</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2,231,372</w:t>
            </w:r>
          </w:p>
        </w:tc>
        <w:tc>
          <w:tcPr>
            <w:tcW w:w="0" w:type="dxa"/>
            <w:vAlign w:val="bottom"/>
          </w:tcPr>
          <w:p>
            <w:pPr>
              <w:spacing w:after="0"/>
              <w:rPr>
                <w:sz w:val="1"/>
                <w:szCs w:val="1"/>
                <w:color w:val="auto"/>
              </w:rPr>
            </w:pPr>
          </w:p>
        </w:tc>
      </w:tr>
      <w:tr>
        <w:trPr>
          <w:trHeight w:val="212"/>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6/19</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-6643370</wp:posOffset>
            </wp:positionV>
            <wp:extent cx="685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-6643370</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-6643370</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-6643370</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21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Interest Rate/Maturity</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Otter Products, LLC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B Loan —</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(OtterBox Holdings, Inc.)</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2,125,900</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1,914,366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2,050,218</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Consumer goods: Durable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6/20</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Pacific Drilling S.A</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2,163,350</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2,165,248</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784,214</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Oil and Gas1</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6/18</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Petroleum GEO-Services ASA</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Extended Term Loan —</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(PGS Finance, Inc)</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4,862,500</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4,862,500</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3,954,841</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Oil and Gas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3/21</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140" w:type="dxa"/>
            <w:vAlign w:val="bottom"/>
            <w:gridSpan w:val="2"/>
          </w:tcPr>
          <w:p>
            <w:pPr>
              <w:spacing w:after="0" w:line="200" w:lineRule="exact"/>
              <w:rPr>
                <w:sz w:val="20"/>
                <w:szCs w:val="20"/>
                <w:color w:val="auto"/>
              </w:rPr>
            </w:pPr>
            <w:r>
              <w:rPr>
                <w:rFonts w:ascii="Times New Roman" w:cs="Times New Roman" w:eastAsia="Times New Roman" w:hAnsi="Times New Roman"/>
                <w:sz w:val="15"/>
                <w:szCs w:val="15"/>
                <w:color w:val="auto"/>
              </w:rPr>
              <w:t>QCE, LLC (Quiznos)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14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6"/>
                <w:szCs w:val="16"/>
                <w:i w:val="1"/>
                <w:iCs w:val="1"/>
                <w:color w:val="auto"/>
              </w:rPr>
              <w:t>Personal, Food and Miscellaneous</w:t>
            </w:r>
          </w:p>
        </w:tc>
        <w:tc>
          <w:tcPr>
            <w:tcW w:w="2160" w:type="dxa"/>
            <w:vAlign w:val="bottom"/>
            <w:gridSpan w:val="3"/>
          </w:tcPr>
          <w:p>
            <w:pPr>
              <w:spacing w:after="0" w:line="165" w:lineRule="exact"/>
              <w:rPr>
                <w:sz w:val="20"/>
                <w:szCs w:val="20"/>
                <w:color w:val="auto"/>
              </w:rPr>
            </w:pPr>
            <w:r>
              <w:rPr>
                <w:rFonts w:ascii="Times New Roman" w:cs="Times New Roman" w:eastAsia="Times New Roman" w:hAnsi="Times New Roman"/>
                <w:sz w:val="16"/>
                <w:szCs w:val="16"/>
                <w:color w:val="auto"/>
              </w:rPr>
              <w:t>Existing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449,499</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449,486</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36,522</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Services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0.0%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6/19</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Quad/Graphics,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B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1,484,772</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1,383,304</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1,495,907</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Printing and Publishing</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4/21</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Regal Cinemas Corporation</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Refinancing Term Loan —</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Leisure, Amusement, Motion Pictures,</w:t>
            </w:r>
          </w:p>
        </w:tc>
        <w:tc>
          <w:tcPr>
            <w:tcW w:w="2160" w:type="dxa"/>
            <w:vAlign w:val="bottom"/>
            <w:gridSpan w:val="3"/>
            <w:vMerge w:val="continue"/>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958,853</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965,417</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967,756</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Entertainment</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4/22</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RGIS Services, LLC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Tranche C 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2,559,107</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2,546,630</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2,367,174</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Diversified/Conglomerate Service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5.5%</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10/17</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Select Medical Corporation</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Series E Tranche B</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2,075,986</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2,069,075</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2,110,582</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6.0%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6/18</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Semiconductor Components Industries, LLC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(On Semiconductor)</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3,718,750</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3,695,931</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3,718,750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Electronics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2.6%</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1/18</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Sensata Technologies B.V.</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Sixth Amendment</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(Sensata Technologies Finance Company,</w:t>
            </w:r>
          </w:p>
        </w:tc>
        <w:tc>
          <w:tcPr>
            <w:tcW w:w="216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LLC)</w:t>
            </w: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534,542</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531,559</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538,885</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Electronics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10/21</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SGS Cayman, L.P.</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Cayman</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shd w:val="clear" w:color="auto" w:fill="CCEEFF"/>
          </w:tcPr>
          <w:p>
            <w:pPr>
              <w:spacing w:after="0"/>
              <w:rPr>
                <w:sz w:val="14"/>
                <w:szCs w:val="14"/>
                <w:color w:val="auto"/>
              </w:rPr>
            </w:pP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132,834</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131,878</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131,090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Diversified/Conglomerate Service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6.0%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4/21</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Sinclair Television Group,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New Tranche B</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66,296</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66,296</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66,379</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Broadcasting and Entertainment</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4/20</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Steinway Musical Instruments, Inc.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 (First Lien)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Personal and Non Durable Consumer</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1,991,985</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1,981,249</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1,922,265</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Products (Mfg. Only)</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9/19</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Sutherland Global Services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Initial U.S.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570,647</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566,540</w:t>
            </w: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563,157</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Diversified/Conglomerate Service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6.0%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4/21</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Toys ‘R’ US-Delaware,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B-2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1,488,194</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1,428,809</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1,406,716</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Retail Stores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5/18</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Transdigm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Tranche C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3,752,368</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3,715,669</w:t>
            </w: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3,785,782</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Aerospace and Defense</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2/20</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Tribune Media Company</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B Loan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Tribune Company)</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2,078,894</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2,066,155</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2,099,943</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Broadcasting and Entertainment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12/20</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Tronox Pigments (Netherlands) B. V.</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New Term Loan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2,473,836</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2,467,847</w:t>
            </w: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2,487,058</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Chemicals, Plastics and Rubber</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3/20</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Air Lines, Inc.</w:t>
            </w:r>
          </w:p>
        </w:tc>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Term Loan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Continental Airlines, Inc.)</w:t>
            </w:r>
          </w:p>
        </w:tc>
        <w:tc>
          <w:tcPr>
            <w:tcW w:w="2160" w:type="dxa"/>
            <w:vAlign w:val="bottom"/>
            <w:gridSpan w:val="3"/>
            <w:vMerge w:val="continue"/>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2,034,432</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2,036,638</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2,049,374</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Personal Transportation</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4/19</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Univision Communications Inc.</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Replacement First-Lien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tcPr>
          <w:p>
            <w:pPr>
              <w:spacing w:after="0"/>
              <w:rPr>
                <w:sz w:val="14"/>
                <w:szCs w:val="14"/>
                <w:color w:val="auto"/>
              </w:rPr>
            </w:pPr>
          </w:p>
        </w:tc>
        <w:tc>
          <w:tcPr>
            <w:tcW w:w="216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Term Loan (C-4) —</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3,204,971</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3,189,172</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3,226,716</w:t>
            </w:r>
          </w:p>
        </w:tc>
        <w:tc>
          <w:tcPr>
            <w:tcW w:w="0" w:type="dxa"/>
            <w:vAlign w:val="bottom"/>
          </w:tcPr>
          <w:p>
            <w:pPr>
              <w:spacing w:after="0"/>
              <w:rPr>
                <w:sz w:val="1"/>
                <w:szCs w:val="1"/>
                <w:color w:val="auto"/>
              </w:rPr>
            </w:pPr>
          </w:p>
        </w:tc>
      </w:tr>
      <w:tr>
        <w:trPr>
          <w:trHeight w:val="21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Broadcasting and Entertainment</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Due 3/20</w:t>
            </w:r>
          </w:p>
        </w:tc>
        <w:tc>
          <w:tcPr>
            <w:tcW w:w="10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Valeant Pharmaceuticals International, Inc.</w:t>
            </w: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C-2 Tranche B</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gridSpan w:val="2"/>
            <w:vMerge w:val="continue"/>
            <w:shd w:val="clear" w:color="auto" w:fill="CCEEFF"/>
          </w:tcPr>
          <w:p>
            <w:pPr>
              <w:spacing w:after="0"/>
              <w:rPr>
                <w:sz w:val="14"/>
                <w:szCs w:val="14"/>
                <w:color w:val="auto"/>
              </w:rPr>
            </w:pPr>
          </w:p>
        </w:tc>
        <w:tc>
          <w:tcPr>
            <w:tcW w:w="216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Loan —</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1,339,121</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1,306,042</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1,339,241</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Due 12/19</w:t>
            </w:r>
          </w:p>
        </w:tc>
        <w:tc>
          <w:tcPr>
            <w:tcW w:w="10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-7040245</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-7040245</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-7040245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-7040245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100" w:type="dxa"/>
            <w:vAlign w:val="bottom"/>
          </w:tcPr>
          <w:p>
            <w:pPr>
              <w:spacing w:after="0"/>
              <w:rPr>
                <w:sz w:val="16"/>
                <w:szCs w:val="16"/>
                <w:color w:val="auto"/>
              </w:rPr>
            </w:pP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Interest Rate/Maturity</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6"/>
                <w:szCs w:val="16"/>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0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Walter Investment Management Corp.</w:t>
            </w:r>
          </w:p>
        </w:tc>
        <w:tc>
          <w:tcPr>
            <w:tcW w:w="100" w:type="dxa"/>
            <w:vAlign w:val="bottom"/>
            <w:shd w:val="clear" w:color="auto" w:fill="CCEEFF"/>
          </w:tcPr>
          <w:p>
            <w:pPr>
              <w:spacing w:after="0"/>
              <w:rPr>
                <w:sz w:val="15"/>
                <w:szCs w:val="15"/>
                <w:color w:val="auto"/>
              </w:rPr>
            </w:pPr>
          </w:p>
        </w:tc>
        <w:tc>
          <w:tcPr>
            <w:tcW w:w="2180" w:type="dxa"/>
            <w:vAlign w:val="bottom"/>
            <w:tcBorders>
              <w:righ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Tranche B Term Loan —</w:t>
            </w:r>
          </w:p>
        </w:tc>
        <w:tc>
          <w:tcPr>
            <w:tcW w:w="10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2,454,158</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2,447,189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2,349,243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Finance</w:t>
            </w:r>
          </w:p>
        </w:tc>
        <w:tc>
          <w:tcPr>
            <w:tcW w:w="100" w:type="dxa"/>
            <w:vAlign w:val="bottom"/>
            <w:shd w:val="clear" w:color="auto" w:fill="CCEEFF"/>
          </w:tcPr>
          <w:p>
            <w:pPr>
              <w:spacing w:after="0"/>
              <w:rPr>
                <w:sz w:val="18"/>
                <w:szCs w:val="18"/>
                <w:color w:val="auto"/>
              </w:rPr>
            </w:pPr>
          </w:p>
        </w:tc>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4.8% Cash, Due 12/20</w:t>
            </w: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WESCO Distribution, Inc.</w:t>
            </w:r>
          </w:p>
        </w:tc>
        <w:tc>
          <w:tcPr>
            <w:tcW w:w="100" w:type="dxa"/>
            <w:vAlign w:val="bottom"/>
          </w:tcPr>
          <w:p>
            <w:pPr>
              <w:spacing w:after="0"/>
              <w:rPr>
                <w:sz w:val="16"/>
                <w:szCs w:val="16"/>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Tranche B-1 Loan —</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Machinery (Non-Agriculture, Non-</w:t>
            </w:r>
          </w:p>
        </w:tc>
        <w:tc>
          <w:tcPr>
            <w:tcW w:w="10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206,786</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205,914</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207,497</w:t>
            </w:r>
          </w:p>
        </w:tc>
        <w:tc>
          <w:tcPr>
            <w:tcW w:w="0" w:type="dxa"/>
            <w:vAlign w:val="bottom"/>
          </w:tcPr>
          <w:p>
            <w:pPr>
              <w:spacing w:after="0"/>
              <w:rPr>
                <w:sz w:val="1"/>
                <w:szCs w:val="1"/>
                <w:color w:val="auto"/>
              </w:rPr>
            </w:pPr>
          </w:p>
        </w:tc>
      </w:tr>
      <w:tr>
        <w:trPr>
          <w:trHeight w:val="214"/>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Construction, Non-Electronic)</w:t>
            </w:r>
          </w:p>
        </w:tc>
        <w:tc>
          <w:tcPr>
            <w:tcW w:w="10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4.0% Cash, Due 12/19</w:t>
            </w:r>
          </w:p>
        </w:tc>
        <w:tc>
          <w:tcPr>
            <w:tcW w:w="10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 Corporation</w:t>
            </w:r>
          </w:p>
        </w:tc>
        <w:tc>
          <w:tcPr>
            <w:tcW w:w="100" w:type="dxa"/>
            <w:vAlign w:val="bottom"/>
            <w:shd w:val="clear" w:color="auto" w:fill="CCEEFF"/>
          </w:tcPr>
          <w:p>
            <w:pPr>
              <w:spacing w:after="0"/>
              <w:rPr>
                <w:sz w:val="16"/>
                <w:szCs w:val="16"/>
                <w:color w:val="auto"/>
              </w:rPr>
            </w:pPr>
          </w:p>
        </w:tc>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Refinanced</w:t>
            </w:r>
          </w:p>
        </w:tc>
        <w:tc>
          <w:tcPr>
            <w:tcW w:w="8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80" w:type="dxa"/>
            <w:vAlign w:val="bottom"/>
            <w:tcBorders>
              <w:right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Term B-14 Loan —</w:t>
            </w:r>
          </w:p>
        </w:tc>
        <w:tc>
          <w:tcPr>
            <w:tcW w:w="10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5,472,534</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5,451,789</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5,489,663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Diversified/Conglomerate Service</w:t>
            </w:r>
          </w:p>
        </w:tc>
        <w:tc>
          <w:tcPr>
            <w:tcW w:w="100" w:type="dxa"/>
            <w:vAlign w:val="bottom"/>
            <w:shd w:val="clear" w:color="auto" w:fill="CCEEFF"/>
          </w:tcPr>
          <w:p>
            <w:pPr>
              <w:spacing w:after="0"/>
              <w:rPr>
                <w:sz w:val="18"/>
                <w:szCs w:val="18"/>
                <w:color w:val="auto"/>
              </w:rPr>
            </w:pPr>
          </w:p>
        </w:tc>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3.3% Cash, Due 6/21</w:t>
            </w: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Windstream Services, LLC</w:t>
            </w:r>
          </w:p>
        </w:tc>
        <w:tc>
          <w:tcPr>
            <w:tcW w:w="100" w:type="dxa"/>
            <w:vAlign w:val="bottom"/>
          </w:tcPr>
          <w:p>
            <w:pPr>
              <w:spacing w:after="0"/>
              <w:rPr>
                <w:sz w:val="16"/>
                <w:szCs w:val="16"/>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Tranche B-5 Term Loan —</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Windstream Corporation)</w:t>
            </w:r>
          </w:p>
        </w:tc>
        <w:tc>
          <w:tcPr>
            <w:tcW w:w="10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5,893,671</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5,893,671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5,908,405</w:t>
            </w:r>
          </w:p>
        </w:tc>
        <w:tc>
          <w:tcPr>
            <w:tcW w:w="0" w:type="dxa"/>
            <w:vAlign w:val="bottom"/>
          </w:tcPr>
          <w:p>
            <w:pPr>
              <w:spacing w:after="0"/>
              <w:rPr>
                <w:sz w:val="1"/>
                <w:szCs w:val="1"/>
                <w:color w:val="auto"/>
              </w:rPr>
            </w:pPr>
          </w:p>
        </w:tc>
      </w:tr>
      <w:tr>
        <w:trPr>
          <w:trHeight w:val="214"/>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Telecommunications</w:t>
            </w:r>
          </w:p>
        </w:tc>
        <w:tc>
          <w:tcPr>
            <w:tcW w:w="10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3.5% Cash, Due 8/19</w:t>
            </w:r>
          </w:p>
        </w:tc>
        <w:tc>
          <w:tcPr>
            <w:tcW w:w="10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Zekelman Industries, Inc.</w:t>
            </w: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(fka JMC Steel Group, Inc.)</w:t>
            </w:r>
          </w:p>
        </w:tc>
        <w:tc>
          <w:tcPr>
            <w:tcW w:w="100" w:type="dxa"/>
            <w:vAlign w:val="bottom"/>
            <w:shd w:val="clear" w:color="auto" w:fill="CCEEFF"/>
          </w:tcPr>
          <w:p>
            <w:pPr>
              <w:spacing w:after="0"/>
              <w:rPr>
                <w:sz w:val="14"/>
                <w:szCs w:val="14"/>
                <w:color w:val="auto"/>
              </w:rPr>
            </w:pPr>
          </w:p>
        </w:tc>
        <w:tc>
          <w:tcPr>
            <w:tcW w:w="218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w:t>
            </w:r>
          </w:p>
        </w:tc>
        <w:tc>
          <w:tcPr>
            <w:tcW w:w="8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Mining, Steel, Iron and Non-Precious</w:t>
            </w:r>
          </w:p>
        </w:tc>
        <w:tc>
          <w:tcPr>
            <w:tcW w:w="100" w:type="dxa"/>
            <w:vAlign w:val="bottom"/>
            <w:shd w:val="clear" w:color="auto" w:fill="CCEEFF"/>
          </w:tcPr>
          <w:p>
            <w:pPr>
              <w:spacing w:after="0"/>
              <w:rPr>
                <w:sz w:val="14"/>
                <w:szCs w:val="14"/>
                <w:color w:val="auto"/>
              </w:rPr>
            </w:pPr>
          </w:p>
        </w:tc>
        <w:tc>
          <w:tcPr>
            <w:tcW w:w="2180" w:type="dxa"/>
            <w:vAlign w:val="bottom"/>
            <w:tcBorders>
              <w:right w:val="single" w:sz="8" w:color="CCEEFF"/>
            </w:tcBorders>
            <w:gridSpan w:val="2"/>
            <w:vMerge w:val="continue"/>
            <w:shd w:val="clear" w:color="auto" w:fill="CCEEFF"/>
          </w:tcPr>
          <w:p>
            <w:pPr>
              <w:spacing w:after="0"/>
              <w:rPr>
                <w:sz w:val="14"/>
                <w:szCs w:val="14"/>
                <w:color w:val="auto"/>
              </w:rPr>
            </w:pPr>
          </w:p>
        </w:tc>
        <w:tc>
          <w:tcPr>
            <w:tcW w:w="10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1,287,097</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1,281,369</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1,301,576</w:t>
            </w: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Metals</w:t>
            </w:r>
          </w:p>
        </w:tc>
        <w:tc>
          <w:tcPr>
            <w:tcW w:w="100" w:type="dxa"/>
            <w:vAlign w:val="bottom"/>
            <w:shd w:val="clear" w:color="auto" w:fill="CCEEFF"/>
          </w:tcPr>
          <w:p>
            <w:pPr>
              <w:spacing w:after="0"/>
              <w:rPr>
                <w:sz w:val="19"/>
                <w:szCs w:val="19"/>
                <w:color w:val="auto"/>
              </w:rPr>
            </w:pPr>
          </w:p>
        </w:tc>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6.0% Cash, Due 6/21</w:t>
            </w: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 in Debt Securities</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177,257,703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175,174,493</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170,702,652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-1980565</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-1980565</wp:posOffset>
            </wp:positionV>
            <wp:extent cx="685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-1980565</wp:posOffset>
            </wp:positionV>
            <wp:extent cx="685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-1980565</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Securities Portfolio</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Company/Principal Business</w:t>
            </w:r>
          </w:p>
        </w:tc>
        <w:tc>
          <w:tcPr>
            <w:tcW w:w="120" w:type="dxa"/>
            <w:vAlign w:val="bottom"/>
          </w:tcPr>
          <w:p>
            <w:pPr>
              <w:spacing w:after="0"/>
              <w:rPr>
                <w:sz w:val="16"/>
                <w:szCs w:val="16"/>
                <w:color w:val="auto"/>
              </w:rPr>
            </w:pPr>
          </w:p>
        </w:tc>
        <w:tc>
          <w:tcPr>
            <w:tcW w:w="21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Equity Investment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Education Management Corporation</w:t>
            </w:r>
          </w:p>
        </w:tc>
        <w:tc>
          <w:tcPr>
            <w:tcW w:w="120" w:type="dxa"/>
            <w:vAlign w:val="bottom"/>
            <w:shd w:val="clear" w:color="auto" w:fill="CCEEFF"/>
          </w:tcPr>
          <w:p>
            <w:pPr>
              <w:spacing w:after="0"/>
              <w:rPr>
                <w:sz w:val="15"/>
                <w:szCs w:val="15"/>
                <w:color w:val="auto"/>
              </w:rPr>
            </w:pPr>
          </w:p>
        </w:tc>
        <w:tc>
          <w:tcPr>
            <w:tcW w:w="2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A-1 Preferred Shares</w:t>
            </w:r>
          </w:p>
        </w:tc>
        <w:tc>
          <w:tcPr>
            <w:tcW w:w="9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2,670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Healthcare, Education and Childcare</w:t>
            </w:r>
          </w:p>
        </w:tc>
        <w:tc>
          <w:tcPr>
            <w:tcW w:w="120" w:type="dxa"/>
            <w:vAlign w:val="bottom"/>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Dex Media, Inc.</w:t>
            </w:r>
          </w:p>
        </w:tc>
        <w:tc>
          <w:tcPr>
            <w:tcW w:w="120" w:type="dxa"/>
            <w:vAlign w:val="bottom"/>
          </w:tcPr>
          <w:p>
            <w:pPr>
              <w:spacing w:after="0"/>
              <w:rPr>
                <w:sz w:val="16"/>
                <w:szCs w:val="16"/>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rPr>
              <w:t>59,785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149,462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Printing and Publishing</w:t>
            </w:r>
          </w:p>
        </w:tc>
        <w:tc>
          <w:tcPr>
            <w:tcW w:w="12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QCE, LLC (Quiznos) –</w:t>
            </w:r>
          </w:p>
        </w:tc>
        <w:tc>
          <w:tcPr>
            <w:tcW w:w="120" w:type="dxa"/>
            <w:vAlign w:val="bottom"/>
            <w:shd w:val="clear" w:color="auto" w:fill="CCEEFF"/>
          </w:tcPr>
          <w:p>
            <w:pPr>
              <w:spacing w:after="0"/>
              <w:rPr>
                <w:sz w:val="16"/>
                <w:szCs w:val="16"/>
                <w:color w:val="auto"/>
              </w:rPr>
            </w:pPr>
          </w:p>
        </w:tc>
        <w:tc>
          <w:tcPr>
            <w:tcW w:w="2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Common Stock</w:t>
            </w:r>
          </w:p>
        </w:tc>
        <w:tc>
          <w:tcPr>
            <w:tcW w:w="9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Retail Stores</w:t>
            </w:r>
          </w:p>
        </w:tc>
        <w:tc>
          <w:tcPr>
            <w:tcW w:w="1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gridSpan w:val="2"/>
            <w:vMerge w:val="continue"/>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 in Equity Securities</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150,524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-951230</wp:posOffset>
            </wp:positionV>
            <wp:extent cx="6858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-951230</wp:posOffset>
            </wp:positionV>
            <wp:extent cx="685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-951230</wp:posOffset>
            </wp:positionV>
            <wp:extent cx="685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-951230</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Securities Portfolio</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6"/>
                <w:szCs w:val="16"/>
                <w:color w:val="auto"/>
              </w:rPr>
            </w:pPr>
          </w:p>
        </w:tc>
        <w:tc>
          <w:tcPr>
            <w:tcW w:w="29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CLO Investment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2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MDPK 2007-4A</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CLO Rated Notes</w:t>
            </w:r>
          </w:p>
        </w:tc>
        <w:tc>
          <w:tcPr>
            <w:tcW w:w="12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Floating – 03/2021 – D – 55817UAF7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$2,000,000</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1,931,600</w:t>
            </w:r>
          </w:p>
        </w:tc>
        <w:tc>
          <w:tcPr>
            <w:tcW w:w="0" w:type="dxa"/>
            <w:vAlign w:val="bottom"/>
          </w:tcPr>
          <w:p>
            <w:pPr>
              <w:spacing w:after="0"/>
              <w:rPr>
                <w:sz w:val="1"/>
                <w:szCs w:val="1"/>
                <w:color w:val="auto"/>
              </w:rPr>
            </w:pPr>
          </w:p>
        </w:tc>
      </w:tr>
      <w:tr>
        <w:trPr>
          <w:trHeight w:val="200"/>
        </w:trPr>
        <w:tc>
          <w:tcPr>
            <w:tcW w:w="2280" w:type="dxa"/>
            <w:vAlign w:val="bottom"/>
            <w:gridSpan w:val="2"/>
          </w:tcPr>
          <w:p>
            <w:pPr>
              <w:spacing w:after="0" w:line="200" w:lineRule="exact"/>
              <w:rPr>
                <w:sz w:val="20"/>
                <w:szCs w:val="20"/>
                <w:color w:val="auto"/>
              </w:rPr>
            </w:pPr>
            <w:r>
              <w:rPr>
                <w:rFonts w:ascii="Times New Roman" w:cs="Times New Roman" w:eastAsia="Times New Roman" w:hAnsi="Times New Roman"/>
                <w:sz w:val="15"/>
                <w:szCs w:val="15"/>
                <w:color w:val="auto"/>
              </w:rPr>
              <w:t>TRAL 2007-1A</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CLO Rated Notes</w:t>
            </w:r>
          </w:p>
        </w:tc>
        <w:tc>
          <w:tcPr>
            <w:tcW w:w="1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Floating – 04/2022 – C – 89288BAG6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3,000,000</w:t>
            </w: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2,924,700</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5"/>
                <w:szCs w:val="15"/>
                <w:color w:val="auto"/>
              </w:rPr>
              <w:t>TRAL 2007-1A</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CLO Rated Notes</w:t>
            </w:r>
          </w:p>
        </w:tc>
        <w:tc>
          <w:tcPr>
            <w:tcW w:w="120" w:type="dxa"/>
            <w:vAlign w:val="bottom"/>
            <w:shd w:val="clear" w:color="auto" w:fill="CCEEFF"/>
          </w:tcPr>
          <w:p>
            <w:pPr>
              <w:spacing w:after="0"/>
              <w:rPr>
                <w:sz w:val="19"/>
                <w:szCs w:val="19"/>
                <w:color w:val="auto"/>
              </w:rPr>
            </w:pPr>
          </w:p>
        </w:tc>
        <w:tc>
          <w:tcPr>
            <w:tcW w:w="2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Floating – 04/2022 – D – 89288AAA1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975,500</w:t>
            </w:r>
          </w:p>
        </w:tc>
        <w:tc>
          <w:tcPr>
            <w:tcW w:w="0" w:type="dxa"/>
            <w:vAlign w:val="bottom"/>
          </w:tcPr>
          <w:p>
            <w:pPr>
              <w:spacing w:after="0"/>
              <w:rPr>
                <w:sz w:val="1"/>
                <w:szCs w:val="1"/>
                <w:color w:val="auto"/>
              </w:rPr>
            </w:pPr>
          </w:p>
        </w:tc>
      </w:tr>
      <w:tr>
        <w:trPr>
          <w:trHeight w:val="23"/>
        </w:trPr>
        <w:tc>
          <w:tcPr>
            <w:tcW w:w="1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Investment in CLO</w:t>
            </w: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6,000,000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6,000,000</w:t>
            </w:r>
          </w:p>
        </w:tc>
        <w:tc>
          <w:tcPr>
            <w:tcW w:w="80" w:type="dxa"/>
            <w:vAlign w:val="bottom"/>
          </w:tcPr>
          <w:p>
            <w:pPr>
              <w:spacing w:after="0"/>
              <w:rPr>
                <w:sz w:val="16"/>
                <w:szCs w:val="16"/>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5,831,800</w:t>
            </w:r>
          </w:p>
        </w:tc>
        <w:tc>
          <w:tcPr>
            <w:tcW w:w="0" w:type="dxa"/>
            <w:vAlign w:val="bottom"/>
          </w:tcPr>
          <w:p>
            <w:pPr>
              <w:spacing w:after="0"/>
              <w:rPr>
                <w:sz w:val="1"/>
                <w:szCs w:val="1"/>
                <w:color w:val="auto"/>
              </w:rPr>
            </w:pPr>
          </w:p>
        </w:tc>
      </w:tr>
      <w:tr>
        <w:trPr>
          <w:trHeight w:val="223"/>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Rated Notes</w:t>
            </w: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181,174,493</w:t>
            </w: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176,684,976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-351155</wp:posOffset>
            </wp:positionV>
            <wp:extent cx="2603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-351155</wp:posOffset>
            </wp:positionV>
            <wp:extent cx="462216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622165"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-625475</wp:posOffset>
            </wp:positionV>
            <wp:extent cx="2603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-1440180</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-1440180</wp:posOffset>
            </wp:positionV>
            <wp:extent cx="6858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-1440180</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-1440180</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620" w:hanging="352"/>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 Collateralized Loan Obligation Fund</w:t>
      </w:r>
    </w:p>
    <w:p>
      <w:pPr>
        <w:spacing w:after="0" w:line="18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on non-accrual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 of December 31, 2015</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Securities Portfolio</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Portfolio Company/Principal Business</w:t>
            </w:r>
          </w:p>
        </w:tc>
        <w:tc>
          <w:tcPr>
            <w:tcW w:w="100" w:type="dxa"/>
            <w:vAlign w:val="bottom"/>
            <w:vMerge w:val="restart"/>
          </w:tcPr>
          <w:p>
            <w:pPr>
              <w:spacing w:after="0"/>
              <w:rPr>
                <w:sz w:val="12"/>
                <w:szCs w:val="12"/>
                <w:color w:val="auto"/>
              </w:rPr>
            </w:pPr>
          </w:p>
        </w:tc>
        <w:tc>
          <w:tcPr>
            <w:tcW w:w="2380" w:type="dxa"/>
            <w:vAlign w:val="bottom"/>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vMerge w:val="restart"/>
          </w:tcPr>
          <w:p>
            <w:pPr>
              <w:spacing w:after="0"/>
              <w:rPr>
                <w:sz w:val="12"/>
                <w:szCs w:val="12"/>
                <w:color w:val="auto"/>
              </w:rPr>
            </w:pPr>
          </w:p>
        </w:tc>
        <w:tc>
          <w:tcPr>
            <w:tcW w:w="940" w:type="dxa"/>
            <w:vAlign w:val="bottom"/>
            <w:vMerge w:val="restart"/>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vMerge w:val="restart"/>
          </w:tcPr>
          <w:p>
            <w:pPr>
              <w:spacing w:after="0"/>
              <w:rPr>
                <w:sz w:val="12"/>
                <w:szCs w:val="12"/>
                <w:color w:val="auto"/>
              </w:rPr>
            </w:pPr>
          </w:p>
        </w:tc>
        <w:tc>
          <w:tcPr>
            <w:tcW w:w="1040" w:type="dxa"/>
            <w:vAlign w:val="bottom"/>
            <w:vMerge w:val="restart"/>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ind w:left="460"/>
              <w:spacing w:after="0" w:line="189" w:lineRule="exact"/>
              <w:rPr>
                <w:sz w:val="20"/>
                <w:szCs w:val="20"/>
                <w:color w:val="auto"/>
              </w:rPr>
            </w:pPr>
            <w:r>
              <w:rPr>
                <w:rFonts w:ascii="Times New Roman" w:cs="Times New Roman" w:eastAsia="Times New Roman" w:hAnsi="Times New Roman"/>
                <w:sz w:val="13"/>
                <w:szCs w:val="13"/>
                <w:b w:val="1"/>
                <w:bCs w:val="1"/>
                <w:color w:val="auto"/>
              </w:rPr>
              <w:t>Interest Rate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/Maturity</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AdvancePierre Foods,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(First Lien) — 5.8%</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$ 2,469,655</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2,484,379</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2,465,790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Beverage, Food and Tobacco</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7/17</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Allison Transmission,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B-3 Loan — 3.5%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4,720,274</w:t>
            </w:r>
          </w:p>
        </w:tc>
        <w:tc>
          <w:tcPr>
            <w:tcW w:w="10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4,688,227</w:t>
            </w:r>
          </w:p>
        </w:tc>
        <w:tc>
          <w:tcPr>
            <w:tcW w:w="100" w:type="dxa"/>
            <w:vAlign w:val="bottom"/>
          </w:tcPr>
          <w:p>
            <w:pPr>
              <w:spacing w:after="0"/>
              <w:rPr>
                <w:sz w:val="16"/>
                <w:szCs w:val="16"/>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4,698,160</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Automobile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8/19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Aramark Corporation</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Term F Loan — 3.3%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2,526,481</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2,443,445</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2,506,484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Diversified/Conglomerate Service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2/21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line="216" w:lineRule="exact"/>
              <w:rPr>
                <w:sz w:val="20"/>
                <w:szCs w:val="20"/>
                <w:color w:val="auto"/>
              </w:rPr>
            </w:pPr>
            <w:r>
              <w:rPr>
                <w:rFonts w:ascii="Times New Roman" w:cs="Times New Roman" w:eastAsia="Times New Roman" w:hAnsi="Times New Roman"/>
                <w:sz w:val="14"/>
                <w:szCs w:val="14"/>
                <w:color w:val="auto"/>
              </w:rPr>
              <w:t>Armstrong World Industries, Inc.</w:t>
            </w:r>
            <w:r>
              <w:rPr>
                <w:rFonts w:ascii="Times New Roman" w:cs="Times New Roman" w:eastAsia="Times New Roman" w:hAnsi="Times New Roman"/>
                <w:sz w:val="21"/>
                <w:szCs w:val="21"/>
                <w:color w:val="auto"/>
                <w:vertAlign w:val="superscript"/>
              </w:rPr>
              <w:t>(3)</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 B — 3.5%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972,500</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972,500</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967,638</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3"/>
                <w:szCs w:val="13"/>
                <w:i w:val="1"/>
                <w:iCs w:val="1"/>
                <w:color w:val="auto"/>
              </w:rPr>
              <w:t>Buildings and Real Estate</w:t>
            </w:r>
            <w:r>
              <w:rPr>
                <w:rFonts w:ascii="Times New Roman" w:cs="Times New Roman" w:eastAsia="Times New Roman" w:hAnsi="Times New Roman"/>
                <w:sz w:val="18"/>
                <w:szCs w:val="18"/>
                <w:i w:val="1"/>
                <w:iCs w:val="1"/>
                <w:color w:val="auto"/>
                <w:vertAlign w:val="superscript"/>
              </w:rPr>
              <w:t>(3)</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3/20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Ascena Retail Group, Inc. (Anntaylor Retail,</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 Term Loan — 5.3%</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Inc.)</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1,846,016</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1,880,000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Retail Stores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8/22</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Asurion, LLC (fka Asurion Corporation)</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Tranche B-1 Term</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1,121,067</w:t>
            </w:r>
          </w:p>
        </w:tc>
        <w:tc>
          <w:tcPr>
            <w:tcW w:w="10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1,095,258</w:t>
            </w:r>
          </w:p>
        </w:tc>
        <w:tc>
          <w:tcPr>
            <w:tcW w:w="100" w:type="dxa"/>
            <w:vAlign w:val="bottom"/>
          </w:tcPr>
          <w:p>
            <w:pPr>
              <w:spacing w:after="0"/>
              <w:rPr>
                <w:sz w:val="16"/>
                <w:szCs w:val="16"/>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1,053,456</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Insurance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 5.0% Cash, Due 5/19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Avis Budget Car Rental,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 Term Loan — 3.0%</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1,544,939</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1,534,683</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1,543,324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Personal Transportation</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3/19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Belfor USA Group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Tranche B Term Loan — 3.8%</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1,611,699</w:t>
            </w:r>
          </w:p>
        </w:tc>
        <w:tc>
          <w:tcPr>
            <w:tcW w:w="10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1,615,203</w:t>
            </w:r>
          </w:p>
        </w:tc>
        <w:tc>
          <w:tcPr>
            <w:tcW w:w="100" w:type="dxa"/>
            <w:vAlign w:val="bottom"/>
          </w:tcPr>
          <w:p>
            <w:pPr>
              <w:spacing w:after="0"/>
              <w:rPr>
                <w:sz w:val="16"/>
                <w:szCs w:val="16"/>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1,601,626</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Ecological</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4/19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Berry Plastics Corporation</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E Loan — 3.8%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2,591,612</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2,507,141</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2,559,386</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Containers, Packaging and Glass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Burlington Coat Factory Warehouse</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 B-3 Loan — 4.3%</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Corporation</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2,321,888</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2,290,743</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2,298,669</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Retail Stores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8/21</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Automotive L.P.</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B-1 Term Loan</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1,267,378</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1,260,465</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1,268,170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Finance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Facility — 4.0% Cash, Due 4/19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Capsugel Holdings US,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Initial Term Loan — 3.5%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721,164</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719,601</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710,123</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8/18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Cedar Fair, L.P.</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Term Facility — 3.3% Cash,</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Leisure, Amusement, Motion Pictures,</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966,429</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964,983</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969,449</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3/20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Celanese US Holdings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 Term C-3 Loan — 2.5%</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1,251,599</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1,214,068</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1,254,509</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Chemicals, Plastics and Rubber</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10/18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Cequel Communications,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3.8%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1,879,918</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1,871,491</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1,854,070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2/19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Charter Communications Operating, LLC</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 F Loan — 3.0% Cash,</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(aka CCO Safari LLC)</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1,483,706</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1,475,779</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1,457,370</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1/21</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CHS/Community Health Systems,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Incremental 2018 Term F</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1,209,226</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258,686</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1,195,368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 3.7% Cash, Due 12/18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CHS/Community Health Systems,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2019 Term G</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1,062,209</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1,059,907</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1,038,145</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&amp; Pharmaceuticals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 3.8% Cash, Due 12/19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CHS/Community Health Systems,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Incremental 2021 Term 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2,160,738</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2,137,064</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2,131,415</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 4.0% Cash, Due 1/21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Ciena Corporation</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 — 3.8%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2,977,387</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2,992,956</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2,953,195</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Electronics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7/19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Commscope,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4 Term Loan — 3.3%</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261,875</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262,083</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261,057</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Telecommunications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1/18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Consolidated Communications,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Initial Term Loan — 4.3%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2,917,802</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2,898,785</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2,903,227</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Telecommunications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12/20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Container Store, Inc., The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Facility — 4.3%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1,678,935</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1,682,649</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1,553,015</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Retail Stores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4/19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ConvaTec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 Term Loan — 4.3%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1,162,658</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1,165,259</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1,145,223</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6/20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3"/>
                <w:szCs w:val="13"/>
                <w:color w:val="auto"/>
              </w:rPr>
              <w:t>Crown Castle Operating Company</w:t>
            </w:r>
            <w:r>
              <w:rPr>
                <w:rFonts w:ascii="Times New Roman" w:cs="Times New Roman" w:eastAsia="Times New Roman" w:hAnsi="Times New Roman"/>
                <w:sz w:val="18"/>
                <w:szCs w:val="18"/>
                <w:color w:val="auto"/>
                <w:vertAlign w:val="superscript"/>
              </w:rPr>
              <w:t>(3)</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Extended Incremental Tranche B-2</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2"/>
                <w:szCs w:val="12"/>
                <w:i w:val="1"/>
                <w:iCs w:val="1"/>
                <w:color w:val="auto"/>
              </w:rPr>
              <w:t>Buildings and Real Estate</w:t>
            </w:r>
            <w:r>
              <w:rPr>
                <w:rFonts w:ascii="Times New Roman" w:cs="Times New Roman" w:eastAsia="Times New Roman" w:hAnsi="Times New Roman"/>
                <w:sz w:val="17"/>
                <w:szCs w:val="17"/>
                <w:i w:val="1"/>
                <w:iCs w:val="1"/>
                <w:color w:val="auto"/>
                <w:vertAlign w:val="superscript"/>
              </w:rPr>
              <w:t>(3)</w:t>
            </w:r>
          </w:p>
        </w:tc>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 3.0%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2,888,746</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2,878,350</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2,881,235</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David’s Bridal,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Initial Term Loan — 5.3% Cash, Due</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477,723</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475,142</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397,942</w:t>
            </w:r>
          </w:p>
        </w:tc>
        <w:tc>
          <w:tcPr>
            <w:tcW w:w="0" w:type="dxa"/>
            <w:vAlign w:val="bottom"/>
          </w:tcPr>
          <w:p>
            <w:pPr>
              <w:spacing w:after="0"/>
              <w:rPr>
                <w:sz w:val="1"/>
                <w:szCs w:val="1"/>
                <w:color w:val="auto"/>
              </w:rPr>
            </w:pPr>
          </w:p>
        </w:tc>
      </w:tr>
      <w:tr>
        <w:trPr>
          <w:trHeight w:val="190"/>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Retail Stores</w:t>
            </w:r>
          </w:p>
        </w:tc>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-6389370</wp:posOffset>
            </wp:positionV>
            <wp:extent cx="685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-6389370</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-6389370</wp:posOffset>
            </wp:positionV>
            <wp:extent cx="68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-6389370</wp:posOffset>
            </wp:positionV>
            <wp:extent cx="685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Portfolio Company/Principal Business</w:t>
            </w:r>
          </w:p>
        </w:tc>
        <w:tc>
          <w:tcPr>
            <w:tcW w:w="100" w:type="dxa"/>
            <w:vAlign w:val="bottom"/>
            <w:vMerge w:val="restart"/>
          </w:tcPr>
          <w:p>
            <w:pPr>
              <w:spacing w:after="0"/>
              <w:rPr>
                <w:sz w:val="12"/>
                <w:szCs w:val="12"/>
                <w:color w:val="auto"/>
              </w:rPr>
            </w:pPr>
          </w:p>
        </w:tc>
        <w:tc>
          <w:tcPr>
            <w:tcW w:w="2380" w:type="dxa"/>
            <w:vAlign w:val="bottom"/>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vMerge w:val="restart"/>
          </w:tcPr>
          <w:p>
            <w:pPr>
              <w:spacing w:after="0"/>
              <w:rPr>
                <w:sz w:val="12"/>
                <w:szCs w:val="12"/>
                <w:color w:val="auto"/>
              </w:rPr>
            </w:pPr>
          </w:p>
        </w:tc>
        <w:tc>
          <w:tcPr>
            <w:tcW w:w="940" w:type="dxa"/>
            <w:vAlign w:val="bottom"/>
            <w:vMerge w:val="restart"/>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vMerge w:val="restart"/>
          </w:tcPr>
          <w:p>
            <w:pPr>
              <w:spacing w:after="0"/>
              <w:rPr>
                <w:sz w:val="12"/>
                <w:szCs w:val="12"/>
                <w:color w:val="auto"/>
              </w:rPr>
            </w:pPr>
          </w:p>
        </w:tc>
        <w:tc>
          <w:tcPr>
            <w:tcW w:w="1040" w:type="dxa"/>
            <w:vAlign w:val="bottom"/>
            <w:vMerge w:val="restart"/>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ind w:left="460"/>
              <w:spacing w:after="0" w:line="189" w:lineRule="exact"/>
              <w:rPr>
                <w:sz w:val="20"/>
                <w:szCs w:val="20"/>
                <w:color w:val="auto"/>
              </w:rPr>
            </w:pPr>
            <w:r>
              <w:rPr>
                <w:rFonts w:ascii="Times New Roman" w:cs="Times New Roman" w:eastAsia="Times New Roman" w:hAnsi="Times New Roman"/>
                <w:sz w:val="13"/>
                <w:szCs w:val="13"/>
                <w:b w:val="1"/>
                <w:bCs w:val="1"/>
                <w:color w:val="auto"/>
              </w:rPr>
              <w:t>Interest Rate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/Maturity</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Dealer Computer Services, Inc. (Reynolds</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 Term Loan — 2.4%</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&amp; Reynolds)</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$ 2,242,828</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2,242,828</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2,242,827</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Electronics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4/16</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Delta 2 (Lux) S.a r.l (aka Formula One)</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Facility B3 (USD) — 4.8% Cash,</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Leisure, Amusement, Motion Pictures,</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3,421,774</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3,400,280</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3,319,121</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Entertainment</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7/21</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Delta Air Lines,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2014 Term B-2 Loan — 2.7%</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3,402,908</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3,406,970</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3,397,583</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Personal Transportation</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4/16</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Dex Media West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Term Loan — 8.0%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695,444</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692,438</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379,017</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Printing and Publishing</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12/16</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DJO Finance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Term Loan — 4.3%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1,955,250</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1,980,808</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1,908,813</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6/20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Drumm Investors LLC (aka Golden Living)</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 — 6.8%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3,731,318</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3,718,832</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3,689,341</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5/18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Education Management II LLC</w:t>
            </w:r>
            <w:r>
              <w:rPr>
                <w:rFonts w:ascii="Times New Roman" w:cs="Times New Roman" w:eastAsia="Times New Roman" w:hAnsi="Times New Roman"/>
                <w:sz w:val="21"/>
                <w:szCs w:val="21"/>
                <w:color w:val="auto"/>
                <w:vertAlign w:val="superscript"/>
              </w:rPr>
              <w:t>(2)</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A Term Loan — 5.5%</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200,289</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201,304</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50,071</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7/20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line="216" w:lineRule="exact"/>
              <w:rPr>
                <w:sz w:val="20"/>
                <w:szCs w:val="20"/>
                <w:color w:val="auto"/>
              </w:rPr>
            </w:pPr>
            <w:r>
              <w:rPr>
                <w:rFonts w:ascii="Times New Roman" w:cs="Times New Roman" w:eastAsia="Times New Roman" w:hAnsi="Times New Roman"/>
                <w:sz w:val="14"/>
                <w:szCs w:val="14"/>
                <w:color w:val="auto"/>
              </w:rPr>
              <w:t>Education Management II LLC</w:t>
            </w:r>
            <w:r>
              <w:rPr>
                <w:rFonts w:ascii="Times New Roman" w:cs="Times New Roman" w:eastAsia="Times New Roman" w:hAnsi="Times New Roman"/>
                <w:sz w:val="21"/>
                <w:szCs w:val="21"/>
                <w:color w:val="auto"/>
                <w:vertAlign w:val="superscript"/>
              </w:rPr>
              <w:t>(2)</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Tranche B Term Loan — 8.5%</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350,666</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352,357</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37,872</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7/20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Envigo Laboratories, Inc. (fka BPA</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(First Lien) — 2.8%</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Laboratories Inc.)</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1,743,896</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1,663,494</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1,409,286</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7/17</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Envigo Laboratories, Inc. (fka BPA</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 Loan (Second Lien) — 2.8%</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Laboratories Inc.)</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1,516,318</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1,446,409</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1,232,009</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7/17</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Essential Power,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4.8%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932,448</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925,235</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921,668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Utilities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8/19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FCA US LLC (fka Chrysler Group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 B — 3.5%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3,067,549</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2,960,527</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3,061,797</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Automobile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5/17</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Federal-Mogul Corporation</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 Term Loan (2014) —</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1,566,456</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1,529,147</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1,415,191</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Automobile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4.0% Cash, Due 4/18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Fender Musical Instruments Corporation</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Initial Loan — 5.8% Cash,</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Personal and Non Durable Consumer</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1,884,150</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1,874,862</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1,867,664</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Products (Mfg. Only)</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4/19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Data Corporation</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2018 New Dollar Term Loan —</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Banking, Finance, Insurance &amp; Real</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2,903,500</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2,900,493</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2,870,632</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Estate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3.9% Cash, Due 3/18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Data Corporation</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New 2022B Dollar Term Loan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Banking, Finance, Insurance &amp; Real</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2,546,500</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2,546,500</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2,513,714</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Estate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 Cash, Due 7/22</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Gardner Denver, Inc.</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Dollar Term Loan — 4.3%</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Machinery (Non-Agriculture, Non-</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2,232,868</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2,184,383</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2,016,838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Construction, Non-Electronic)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7/20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Nutrition Centers,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Tranche B Term</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870,762</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873,222</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848,997</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Retail Stores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 3.3% Cash, Due 3/19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Getty Images,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Term Loan — 4.8%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2,910,000</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2,894,196</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1,847,850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Printing and Publishing</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10/19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Harland Clarke Holdings Corp. (fka Clarke</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Tranche B-2 Term Loan — 5.9%</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American Corp.)</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2,414,520</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2,417,333</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2,342,084</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Printing and Publishing</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6/17</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Harland Clarke Holdings Corp. (fka Clarke</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B-3 Term Loan — 7.0%</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American Corp.)</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943,396</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943,396</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940,472</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Printing and Publishing</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5/18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HCA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Tranche B-4 Term Loan — 3.4%</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2,932,500</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2,893,337</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2,932,515</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5/18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HCR Healthcare,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Term Loan — 5.0%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476,250</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474,710</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452,142</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4/18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Hertz Corporation, The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Tranche B-1 Term Loan — 3.8%</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3,894,660</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3,894,343</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3,891,252</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Personal Transportation</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3/18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Hertz Corporation, The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B-2 Term Loan — 3.0%</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953,050</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950,930</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946,198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Personal Transportation</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3/18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Huntsman International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2015 Extended Term B Dollar</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2,719,781</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2,610,970</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2,678,304</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Chemicals, Plastics and Rubber</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 3.3% Cash, Due 4/19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Ineos US Finance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2020 Dollar Term Loan — 3.8%</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6,376,839</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6,398,337</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6,137,707</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Chemicals, Plastics and Rubber</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12/20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-7134225</wp:posOffset>
            </wp:positionV>
            <wp:extent cx="685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-7134225</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-7134225</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-7134225</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Portfolio Company/Principal Business</w:t>
            </w:r>
          </w:p>
        </w:tc>
        <w:tc>
          <w:tcPr>
            <w:tcW w:w="100" w:type="dxa"/>
            <w:vAlign w:val="bottom"/>
            <w:vMerge w:val="restart"/>
          </w:tcPr>
          <w:p>
            <w:pPr>
              <w:spacing w:after="0"/>
              <w:rPr>
                <w:sz w:val="12"/>
                <w:szCs w:val="12"/>
                <w:color w:val="auto"/>
              </w:rPr>
            </w:pPr>
          </w:p>
        </w:tc>
        <w:tc>
          <w:tcPr>
            <w:tcW w:w="2380" w:type="dxa"/>
            <w:vAlign w:val="bottom"/>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vMerge w:val="restart"/>
          </w:tcPr>
          <w:p>
            <w:pPr>
              <w:spacing w:after="0"/>
              <w:rPr>
                <w:sz w:val="12"/>
                <w:szCs w:val="12"/>
                <w:color w:val="auto"/>
              </w:rPr>
            </w:pPr>
          </w:p>
        </w:tc>
        <w:tc>
          <w:tcPr>
            <w:tcW w:w="940" w:type="dxa"/>
            <w:vAlign w:val="bottom"/>
            <w:vMerge w:val="restart"/>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vMerge w:val="restart"/>
          </w:tcPr>
          <w:p>
            <w:pPr>
              <w:spacing w:after="0"/>
              <w:rPr>
                <w:sz w:val="12"/>
                <w:szCs w:val="12"/>
                <w:color w:val="auto"/>
              </w:rPr>
            </w:pPr>
          </w:p>
        </w:tc>
        <w:tc>
          <w:tcPr>
            <w:tcW w:w="1040" w:type="dxa"/>
            <w:vAlign w:val="bottom"/>
            <w:vMerge w:val="restart"/>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ind w:left="460"/>
              <w:spacing w:after="0" w:line="189" w:lineRule="exact"/>
              <w:rPr>
                <w:sz w:val="20"/>
                <w:szCs w:val="20"/>
                <w:color w:val="auto"/>
              </w:rPr>
            </w:pPr>
            <w:r>
              <w:rPr>
                <w:rFonts w:ascii="Times New Roman" w:cs="Times New Roman" w:eastAsia="Times New Roman" w:hAnsi="Times New Roman"/>
                <w:sz w:val="13"/>
                <w:szCs w:val="13"/>
                <w:b w:val="1"/>
                <w:bCs w:val="1"/>
                <w:color w:val="auto"/>
              </w:rPr>
              <w:t>Interest Rate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/Maturity</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Infor (US), Inc. (fka Lawson Software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B-5 Term Loan — 3.8%</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$ 2,352,008</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2,363,429</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2,214,321</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Electronics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6/20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Integra Telecom Holdings,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B-1 Loan — 5.3%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416,454</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417,393</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404,377</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Telecommunications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8/20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76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4"/>
                <w:szCs w:val="14"/>
                <w:color w:val="auto"/>
              </w:rPr>
              <w:t xml:space="preserve">International Architectural Products, Inc. </w:t>
            </w:r>
            <w:r>
              <w:rPr>
                <w:rFonts w:ascii="Times New Roman" w:cs="Times New Roman" w:eastAsia="Times New Roman" w:hAnsi="Times New Roman"/>
                <w:sz w:val="21"/>
                <w:szCs w:val="21"/>
                <w:color w:val="auto"/>
                <w:vertAlign w:val="superscript"/>
              </w:rPr>
              <w:t>(2)</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0.0% Cash,</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76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i w:val="1"/>
                <w:iCs w:val="1"/>
                <w:color w:val="auto"/>
              </w:rPr>
              <w:t>Mining, Steel, Iron and Non-Precious</w:t>
            </w:r>
          </w:p>
        </w:tc>
        <w:tc>
          <w:tcPr>
            <w:tcW w:w="2380" w:type="dxa"/>
            <w:vAlign w:val="bottom"/>
            <w:gridSpan w:val="2"/>
            <w:vMerge w:val="continue"/>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81,467</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81,467</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Metals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5/15</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 Crew Group,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Initial Loan — 4.0%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3,880,774</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3,883,610</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2,528,324</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Retail Stores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3/21</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Jarden Corporation</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Tranche B Term Loan —</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Personal and Non Durable Consumer</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4,769,734</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4,749,934</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4,773,216</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Products (Mfg. Only)</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3.0% Cash, Due 3/18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JBS USA,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Initial Term Loan — 3.8%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861,507</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860,028</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859,353</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Beverage, Food and Tobacco</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5/18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JMC Steel Group, Inc.</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4.8% Cash,</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Mining, Steel, Iron and Non-Precious</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1,293,564</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1,291,965</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1,251,524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Metals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4/17</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Jo-Ann Stores,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B Loan — 4.0%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941,546</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943,733</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885,054</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Retail Stores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3/18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KAR Auction Services,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B-1 Term Loan — 3.1%</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679,145</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680,354</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679,430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Automobile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3/17</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KAR Auction Services,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Tranche B-2 Term Loan — 3.5%</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3,407,047</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3,453,066</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3,402,788</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Automobile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3/21</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Key Safety Systems,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Term Loan — 4.8%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1,364,058</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1,340,031</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1,329,956</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Automobile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8/21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Kronos Incorporated</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Term Loan (First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978,389</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975,600</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964,941</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Diversified/Conglomerate Service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Lien) — 4.5% Cash, Due 10/19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Landry’s Inc. (fka Landry’s Restaurants,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 Term Loan — 4.0%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1,538,848</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1,548,166</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1,533,324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Beverage, Food and Tobacco</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4/18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Sands,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B Loan — 3.3%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3,201,595</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3,172,481</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3,174,782</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Hotels, Motels, Inns, and Gaming</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12/20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Live Nation Entertainment, Inc.</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B-1 Loan — 3.5% Cash,</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Leisure, Amusement, Motion Pictures,</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472,878</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471,316</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472,434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8/20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LPL Holdings,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2021 Tranche B Term Loan —</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1,930,500</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1,921,055</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1,901,543</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Finance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4.3% Cash, Due 3/21</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MCC Iowa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J Term Loan — 3.8%</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690,439</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680,992</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685,046</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6/21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Mediacom Illinois, LLC (fka Mediacom</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Tranche F Term Loan — 2.9%</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Communications, LLC)</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5,895,000</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5,886,840</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5,801,063</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3/18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National CineMedia, LLC</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(2013) — 3.2% Cash,</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Leisure, Amusement, Motion Pictures,</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995,545</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996,250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11/19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NBTY, INC.</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 B-2 Loan — 3.5% Cash,</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Personal and Non Durable Consumer</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3,391,643</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3,392,700</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3,351,791</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Products (Mfg. Only)</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10/17</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NEP/NCP Holdco, Inc. –</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Amendment No. 4 Incremental</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Term Loan (First Lien) — 4.3%</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2,454,312</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2,435,744</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2,313,189</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1/20</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Newsday,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 — 3.9%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3,984,627</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3,989,720</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3,989,608</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Printing and Publishing</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10/16</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Nielsen Finance LLC (VNU,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B-1 Term Loan — 2.5%</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5,402,525</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5,407,617</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5,400,283</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5/17</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NRG Energy,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 (2013) — 2.8%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955,481</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954,306</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932,191</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Utilities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7/18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OCI Beaumont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B-3 Loan — 6.5%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2,486,113</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2,518,346</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2,510,974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Chemicals, Plastics and Rubber</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8/19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Omnova Solutions,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B-1 Loan — 4.3%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359,276</w:t>
            </w:r>
          </w:p>
        </w:tc>
        <w:tc>
          <w:tcPr>
            <w:tcW w:w="100" w:type="dxa"/>
            <w:vAlign w:val="bottom"/>
          </w:tcPr>
          <w:p>
            <w:pPr>
              <w:spacing w:after="0"/>
              <w:rPr>
                <w:sz w:val="18"/>
                <w:szCs w:val="18"/>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358,928</w:t>
            </w:r>
          </w:p>
        </w:tc>
        <w:tc>
          <w:tcPr>
            <w:tcW w:w="100" w:type="dxa"/>
            <w:vAlign w:val="bottom"/>
          </w:tcPr>
          <w:p>
            <w:pPr>
              <w:spacing w:after="0"/>
              <w:rPr>
                <w:sz w:val="18"/>
                <w:szCs w:val="18"/>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358,827</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Chemicals, Plastics and Rubber</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5/18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Onex Carestream Finance LP</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(First Lien 2013) —</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2,429,369</w:t>
            </w: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2,445,779</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2,200,608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5.0% Cash, Due 6/19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-7134225</wp:posOffset>
            </wp:positionV>
            <wp:extent cx="685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-7134225</wp:posOffset>
            </wp:positionV>
            <wp:extent cx="685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-7134225</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-7134225</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Portfolio Company/Principal Business</w:t>
            </w:r>
          </w:p>
        </w:tc>
        <w:tc>
          <w:tcPr>
            <w:tcW w:w="100" w:type="dxa"/>
            <w:vAlign w:val="bottom"/>
            <w:vMerge w:val="restart"/>
          </w:tcPr>
          <w:p>
            <w:pPr>
              <w:spacing w:after="0"/>
              <w:rPr>
                <w:sz w:val="12"/>
                <w:szCs w:val="12"/>
                <w:color w:val="auto"/>
              </w:rPr>
            </w:pPr>
          </w:p>
        </w:tc>
        <w:tc>
          <w:tcPr>
            <w:tcW w:w="2380" w:type="dxa"/>
            <w:vAlign w:val="bottom"/>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vMerge w:val="restart"/>
          </w:tcPr>
          <w:p>
            <w:pPr>
              <w:spacing w:after="0"/>
              <w:rPr>
                <w:sz w:val="12"/>
                <w:szCs w:val="12"/>
                <w:color w:val="auto"/>
              </w:rPr>
            </w:pPr>
          </w:p>
        </w:tc>
        <w:tc>
          <w:tcPr>
            <w:tcW w:w="940" w:type="dxa"/>
            <w:vAlign w:val="bottom"/>
            <w:vMerge w:val="restart"/>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vMerge w:val="restart"/>
          </w:tcPr>
          <w:p>
            <w:pPr>
              <w:spacing w:after="0"/>
              <w:rPr>
                <w:sz w:val="12"/>
                <w:szCs w:val="12"/>
                <w:color w:val="auto"/>
              </w:rPr>
            </w:pPr>
          </w:p>
        </w:tc>
        <w:tc>
          <w:tcPr>
            <w:tcW w:w="1040" w:type="dxa"/>
            <w:vAlign w:val="bottom"/>
            <w:vMerge w:val="restart"/>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ind w:left="460"/>
              <w:spacing w:after="0" w:line="189" w:lineRule="exact"/>
              <w:rPr>
                <w:sz w:val="20"/>
                <w:szCs w:val="20"/>
                <w:color w:val="auto"/>
              </w:rPr>
            </w:pPr>
            <w:r>
              <w:rPr>
                <w:rFonts w:ascii="Times New Roman" w:cs="Times New Roman" w:eastAsia="Times New Roman" w:hAnsi="Times New Roman"/>
                <w:sz w:val="13"/>
                <w:szCs w:val="13"/>
                <w:b w:val="1"/>
                <w:bCs w:val="1"/>
                <w:color w:val="auto"/>
              </w:rPr>
              <w:t>Interest Rate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/Maturity</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Pacific Drilling S.A</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4.5%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$ 2,185,768</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2,189,041</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961,738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Oil and Gas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6/18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PetCo Animal Supplies,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Loan — 4.0%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5,328,526</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5,297,286</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5,321,359</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Retail Stores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11/17</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Petroleum GEO-Services ASA (PGS</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Extended Term Loan — 3.3%</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Finance, Inc)</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4,912,500</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4,912,500</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3,468,225</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Oil and Gas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3/21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PQ Corporation</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2014 Term Loan — 4.0%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4,916,982</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4,915,840</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4,887,013</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Chemicals, Plastics and Rubber</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8/17</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7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4"/>
                <w:szCs w:val="14"/>
                <w:color w:val="auto"/>
              </w:rPr>
              <w:t>QCE, LLC (Quiznos)</w:t>
            </w:r>
            <w:r>
              <w:rPr>
                <w:rFonts w:ascii="Times New Roman" w:cs="Times New Roman" w:eastAsia="Times New Roman" w:hAnsi="Times New Roman"/>
                <w:sz w:val="21"/>
                <w:szCs w:val="21"/>
                <w:color w:val="auto"/>
                <w:vertAlign w:val="superscript"/>
              </w:rPr>
              <w:t>(2)</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Term Loan — 0.0%</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76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i w:val="1"/>
                <w:iCs w:val="1"/>
                <w:color w:val="auto"/>
              </w:rPr>
              <w:t>Personal, Food and Miscellaneous</w:t>
            </w:r>
          </w:p>
        </w:tc>
        <w:tc>
          <w:tcPr>
            <w:tcW w:w="2380" w:type="dxa"/>
            <w:vAlign w:val="bottom"/>
            <w:gridSpan w:val="2"/>
            <w:vMerge w:val="continue"/>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449,499</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449,486</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59,932</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Services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9/20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line="230" w:lineRule="exact"/>
              <w:rPr>
                <w:sz w:val="20"/>
                <w:szCs w:val="20"/>
                <w:color w:val="auto"/>
              </w:rPr>
            </w:pPr>
            <w:r>
              <w:rPr>
                <w:rFonts w:ascii="Times New Roman" w:cs="Times New Roman" w:eastAsia="Times New Roman" w:hAnsi="Times New Roman"/>
                <w:sz w:val="14"/>
                <w:szCs w:val="14"/>
                <w:color w:val="auto"/>
              </w:rPr>
              <w:t>Quikrete Holdings, Inc.</w:t>
            </w:r>
            <w:r>
              <w:rPr>
                <w:rFonts w:ascii="Times New Roman" w:cs="Times New Roman" w:eastAsia="Times New Roman" w:hAnsi="Times New Roman"/>
                <w:sz w:val="21"/>
                <w:szCs w:val="21"/>
                <w:color w:val="auto"/>
                <w:vertAlign w:val="superscript"/>
              </w:rPr>
              <w:t>(3)</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Initial Loan (First Lien) — 3.0%</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2,230,000</w:t>
            </w:r>
          </w:p>
        </w:tc>
        <w:tc>
          <w:tcPr>
            <w:tcW w:w="100" w:type="dxa"/>
            <w:vAlign w:val="bottom"/>
          </w:tcPr>
          <w:p>
            <w:pPr>
              <w:spacing w:after="0"/>
              <w:rPr>
                <w:sz w:val="19"/>
                <w:szCs w:val="19"/>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2,218,850</w:t>
            </w:r>
          </w:p>
        </w:tc>
        <w:tc>
          <w:tcPr>
            <w:tcW w:w="100" w:type="dxa"/>
            <w:vAlign w:val="bottom"/>
          </w:tcPr>
          <w:p>
            <w:pPr>
              <w:spacing w:after="0"/>
              <w:rPr>
                <w:sz w:val="19"/>
                <w:szCs w:val="19"/>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2,208,748</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3"/>
                <w:szCs w:val="13"/>
                <w:i w:val="1"/>
                <w:iCs w:val="1"/>
                <w:color w:val="auto"/>
              </w:rPr>
              <w:t>Buildings and Real Estate</w:t>
            </w:r>
            <w:r>
              <w:rPr>
                <w:rFonts w:ascii="Times New Roman" w:cs="Times New Roman" w:eastAsia="Times New Roman" w:hAnsi="Times New Roman"/>
                <w:sz w:val="18"/>
                <w:szCs w:val="18"/>
                <w:i w:val="1"/>
                <w:iCs w:val="1"/>
                <w:color w:val="auto"/>
                <w:vertAlign w:val="superscript"/>
              </w:rPr>
              <w:t>(3)</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9/20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R.H. Donnelley Inc.</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 9.8% Cash, Due 4/22</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421,935</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420,869</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181,565</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Printing and Publishing</w:t>
            </w:r>
          </w:p>
        </w:tc>
        <w:tc>
          <w:tcPr>
            <w:tcW w:w="238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Regal Cinemas Corporation</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 Loan — 3.8% Cash,</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Leisure, Amusement, Motion Pictures,</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963,677</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969,660</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962,728</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Entertainment</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11/17</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Revlon Consumer Products Corporation</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Replacement Term Loan — 3.3%</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Personal and Non Durable Consumer</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4,480,361</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4,498,987</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4,476,150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Products (Mfg. Only)</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12/18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Reynolds Group Holdings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Incremental U.S. Term Loan —</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2,058,619</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2,058,619</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2,042,109</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Containers, Packaging and Glass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4.5% Cash, Due 10/17</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RGIS Services, LLC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C Term Loan — 5.5%</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2,597,871</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2,569,219</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1,850,983</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Diversified/Conglomerate Service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11/18</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RPI Finance Trust</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B-3 Term Loan — 3.3%</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2,487,277</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2,506,353</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2,483,385</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Due 6/18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Schaeffler AG (formerly named INA</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Beteiligungsgesellschaft mit beschränkter</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Facility B-USD — 4.3% Cash,</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Haftung)</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1,015,385</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1,020,391</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1,018,685</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Automobile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5/20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Select Medical Corporation</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E Tranche B Term Loan —</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2,104,406</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2,092,431</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2,091,254</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5.0% Cash, Due 1/18</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Semiconductor Components Industries, LLC</w:t>
            </w:r>
          </w:p>
        </w:tc>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2.1% Cash,</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(On Semiconductor)</w:t>
            </w:r>
          </w:p>
        </w:tc>
        <w:tc>
          <w:tcPr>
            <w:tcW w:w="2380" w:type="dxa"/>
            <w:vAlign w:val="bottom"/>
            <w:gridSpan w:val="2"/>
            <w:vMerge w:val="continue"/>
            <w:shd w:val="clear" w:color="auto" w:fill="CCEEFF"/>
          </w:tcPr>
          <w:p>
            <w:pPr>
              <w:spacing w:after="0"/>
              <w:rPr>
                <w:sz w:val="11"/>
                <w:szCs w:val="11"/>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4,593,750</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4,537,373</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4,455,938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Electronics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10/21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Sensata Technologies B.V. (Sensata</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Sixth Amendment Term Loan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Technologies Finance Company, LLC)</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560,135</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556,355</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551,851</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Electronics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 Cash, Due 4/20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Sinclair Television Group,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Tranche B Term Loan —</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66,983</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66,865</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65,978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3.0% Cash, Due 9/19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Steinway Musical Instruments, Inc.</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 (First Lien) — 4.8% Cash,</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Personal and Non Durable Consumer</w:t>
            </w:r>
          </w:p>
        </w:tc>
        <w:tc>
          <w:tcPr>
            <w:tcW w:w="2380" w:type="dxa"/>
            <w:vAlign w:val="bottom"/>
            <w:gridSpan w:val="2"/>
            <w:vMerge w:val="continue"/>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1,985,239</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1,972,500</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Products (Mfg. Only)</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3/19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Telesat Canada</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Term B-2 Loan — 3.5%</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2,960,078</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2,937,884</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2,920,605</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Telecommunications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12/17</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TPF Generation Holdings,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 Loan — 4.8%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188,393</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182,268</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168,611</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Utilities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2/20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TransDigm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C Term Loan — 3.8%</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3,791,455</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3,742,603</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3,708,251</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Aerospace and Defense</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3/20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Tronox Pigments (Netherlands) B. V.</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Term Loan — 4.5%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2,499,471</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2,487,925</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2,224,005</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Chemicals, Plastics and Rubber</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2/20</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TWCC Holding Corp.</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B-1 Loan — 5.8%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2,924,754</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2,905,902</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2,926,318</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3/20</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Univision Communications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Replacement First-Lien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60" w:type="dxa"/>
            <w:vAlign w:val="bottom"/>
            <w:gridSpan w:val="2"/>
            <w:vMerge w:val="continue"/>
          </w:tcPr>
          <w:p>
            <w:pPr>
              <w:spacing w:after="0"/>
              <w:rPr>
                <w:sz w:val="11"/>
                <w:szCs w:val="11"/>
                <w:color w:val="auto"/>
              </w:rPr>
            </w:pPr>
          </w:p>
        </w:tc>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Term Loan — 4.0% Cash,</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3,239,279</w:t>
            </w: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3,218,251</w:t>
            </w:r>
          </w:p>
        </w:tc>
        <w:tc>
          <w:tcPr>
            <w:tcW w:w="10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3,176,113</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12/19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UPC Financing Partnership</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Facility AH — 3.3%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704,142</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688,517</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Broadcasting and Entertainment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6/21</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Valeant Pharmaceuticals International,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C-2 Tranche B Term</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1,389,000</w:t>
            </w:r>
          </w:p>
        </w:tc>
        <w:tc>
          <w:tcPr>
            <w:tcW w:w="100" w:type="dxa"/>
            <w:vAlign w:val="bottom"/>
          </w:tcPr>
          <w:p>
            <w:pPr>
              <w:spacing w:after="0"/>
              <w:rPr>
                <w:sz w:val="17"/>
                <w:szCs w:val="1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1,343,190</w:t>
            </w:r>
          </w:p>
        </w:tc>
        <w:tc>
          <w:tcPr>
            <w:tcW w:w="100" w:type="dxa"/>
            <w:vAlign w:val="bottom"/>
          </w:tcPr>
          <w:p>
            <w:pPr>
              <w:spacing w:after="0"/>
              <w:rPr>
                <w:sz w:val="17"/>
                <w:szCs w:val="17"/>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1,344,205</w:t>
            </w: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Healthcare, Education and Childcare</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 3.8% Cash, Due 10/19</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Vertafore, Inc.</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(2013) — 4.3% Cash,</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892,097</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892,097</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885,964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Electronics</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11/19</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-7134225</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-7134225</wp:posOffset>
            </wp:positionV>
            <wp:extent cx="685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-7134225</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-7134225</wp:posOffset>
            </wp:positionV>
            <wp:extent cx="685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Portfolio Company/Principal Business</w:t>
            </w:r>
          </w:p>
        </w:tc>
        <w:tc>
          <w:tcPr>
            <w:tcW w:w="100" w:type="dxa"/>
            <w:vAlign w:val="bottom"/>
            <w:vMerge w:val="restart"/>
          </w:tcPr>
          <w:p>
            <w:pPr>
              <w:spacing w:after="0"/>
              <w:rPr>
                <w:sz w:val="12"/>
                <w:szCs w:val="12"/>
                <w:color w:val="auto"/>
              </w:rPr>
            </w:pPr>
          </w:p>
        </w:tc>
        <w:tc>
          <w:tcPr>
            <w:tcW w:w="2420" w:type="dxa"/>
            <w:vAlign w:val="bottom"/>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ind w:left="460"/>
              <w:spacing w:after="0" w:line="189" w:lineRule="exact"/>
              <w:rPr>
                <w:sz w:val="20"/>
                <w:szCs w:val="20"/>
                <w:color w:val="auto"/>
              </w:rPr>
            </w:pPr>
            <w:r>
              <w:rPr>
                <w:rFonts w:ascii="Times New Roman" w:cs="Times New Roman" w:eastAsia="Times New Roman" w:hAnsi="Times New Roman"/>
                <w:sz w:val="13"/>
                <w:szCs w:val="13"/>
                <w:b w:val="1"/>
                <w:bCs w:val="1"/>
                <w:color w:val="auto"/>
              </w:rPr>
              <w:t>Interest Rate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VFH Parent LLC</w:t>
            </w:r>
          </w:p>
        </w:tc>
        <w:tc>
          <w:tcPr>
            <w:tcW w:w="24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Term Loan (2013) — 5.3% Cash,</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985,103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994,592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980,177</w:t>
            </w: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Finance</w:t>
            </w: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12/20</w:t>
            </w:r>
          </w:p>
        </w:tc>
        <w:tc>
          <w:tcPr>
            <w:tcW w:w="10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Walter Investment Management Corp.</w:t>
            </w: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Tranche B Term Loan — 4.8%</w:t>
            </w:r>
          </w:p>
        </w:tc>
        <w:tc>
          <w:tcPr>
            <w:tcW w:w="1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2,454,158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2,445,426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2,124,393</w:t>
            </w:r>
          </w:p>
        </w:tc>
        <w:tc>
          <w:tcPr>
            <w:tcW w:w="0" w:type="dxa"/>
            <w:vAlign w:val="bottom"/>
          </w:tcPr>
          <w:p>
            <w:pPr>
              <w:spacing w:after="0"/>
              <w:rPr>
                <w:sz w:val="1"/>
                <w:szCs w:val="1"/>
                <w:color w:val="auto"/>
              </w:rPr>
            </w:pPr>
          </w:p>
        </w:tc>
      </w:tr>
      <w:tr>
        <w:trPr>
          <w:trHeight w:val="17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Finance</w:t>
            </w: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Due 12/19</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WESCO Distribution, Inc.</w:t>
            </w:r>
          </w:p>
        </w:tc>
        <w:tc>
          <w:tcPr>
            <w:tcW w:w="24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Tranche B-1 Loan — 3.8% Cash,</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Machinery (Non-Agriculture, Non-</w:t>
            </w:r>
          </w:p>
        </w:tc>
        <w:tc>
          <w:tcPr>
            <w:tcW w:w="242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249,643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248,233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248,551</w:t>
            </w: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Construction, Non-Electronic)</w:t>
            </w: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6/18</w:t>
            </w: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Corporation</w:t>
            </w: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Term B-10 Loan — 3.3% Cash,</w:t>
            </w:r>
          </w:p>
        </w:tc>
        <w:tc>
          <w:tcPr>
            <w:tcW w:w="10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3,776,796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3,756,691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3,722,844</w:t>
            </w:r>
          </w:p>
        </w:tc>
        <w:tc>
          <w:tcPr>
            <w:tcW w:w="0" w:type="dxa"/>
            <w:vAlign w:val="bottom"/>
          </w:tcPr>
          <w:p>
            <w:pPr>
              <w:spacing w:after="0"/>
              <w:rPr>
                <w:sz w:val="1"/>
                <w:szCs w:val="1"/>
                <w:color w:val="auto"/>
              </w:rPr>
            </w:pPr>
          </w:p>
        </w:tc>
      </w:tr>
      <w:tr>
        <w:trPr>
          <w:trHeight w:val="17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Diversified/Conglomerate Service</w:t>
            </w: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Due 7/17</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WideOpenWest Finance, LLC</w:t>
            </w: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B-1 Loan 2013 — 3.8%</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4,724,229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4,740,543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4,598,234</w:t>
            </w: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Telecommunications</w:t>
            </w: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Due 8/19</w:t>
            </w: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Windstream Services, LLC (fka Windstream</w:t>
            </w: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Tranche B-5 Term Loan — 3.5%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Corporation)</w:t>
            </w:r>
          </w:p>
        </w:tc>
        <w:tc>
          <w:tcPr>
            <w:tcW w:w="24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5,954,430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5,954,430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5,801,848</w:t>
            </w:r>
          </w:p>
        </w:tc>
        <w:tc>
          <w:tcPr>
            <w:tcW w:w="0" w:type="dxa"/>
            <w:vAlign w:val="bottom"/>
          </w:tcPr>
          <w:p>
            <w:pPr>
              <w:spacing w:after="0"/>
              <w:rPr>
                <w:sz w:val="1"/>
                <w:szCs w:val="1"/>
                <w:color w:val="auto"/>
              </w:rPr>
            </w:pPr>
          </w:p>
        </w:tc>
      </w:tr>
      <w:tr>
        <w:trPr>
          <w:trHeight w:val="17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Telecommunications</w:t>
            </w: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Due 2/17</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WireCo WorldGroup Inc.</w:t>
            </w:r>
          </w:p>
        </w:tc>
        <w:tc>
          <w:tcPr>
            <w:tcW w:w="24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6.0% Cash,</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Machinery (Non-Agriculture, Non-</w:t>
            </w:r>
          </w:p>
        </w:tc>
        <w:tc>
          <w:tcPr>
            <w:tcW w:w="242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1,829,576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1,825,076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1,767,828</w:t>
            </w:r>
          </w:p>
        </w:tc>
        <w:tc>
          <w:tcPr>
            <w:tcW w:w="0" w:type="dxa"/>
            <w:vAlign w:val="bottom"/>
          </w:tcPr>
          <w:p>
            <w:pPr>
              <w:spacing w:after="0"/>
              <w:rPr>
                <w:sz w:val="1"/>
                <w:szCs w:val="1"/>
                <w:color w:val="auto"/>
              </w:rPr>
            </w:pPr>
          </w:p>
        </w:tc>
      </w:tr>
      <w:tr>
        <w:trPr>
          <w:trHeight w:val="17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Construction, Non-Electronic)</w:t>
            </w: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2/20</w:t>
            </w: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Zuffa, LLC</w:t>
            </w: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Initial Term Loan — 3.8% Cash,</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i w:val="1"/>
                <w:iCs w:val="1"/>
                <w:color w:val="auto"/>
              </w:rPr>
              <w:t>Leisure, Amusement, Motion Pictures,</w:t>
            </w:r>
          </w:p>
        </w:tc>
        <w:tc>
          <w:tcPr>
            <w:tcW w:w="24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2,294,791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2,287,980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2,242,011</w:t>
            </w:r>
          </w:p>
        </w:tc>
        <w:tc>
          <w:tcPr>
            <w:tcW w:w="0" w:type="dxa"/>
            <w:vAlign w:val="bottom"/>
          </w:tcPr>
          <w:p>
            <w:pPr>
              <w:spacing w:after="0"/>
              <w:rPr>
                <w:sz w:val="1"/>
                <w:szCs w:val="1"/>
                <w:color w:val="auto"/>
              </w:rPr>
            </w:pPr>
          </w:p>
        </w:tc>
      </w:tr>
      <w:tr>
        <w:trPr>
          <w:trHeight w:val="189"/>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Entertainment</w:t>
            </w: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Due 6/19</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 in Debt Securities</w:t>
            </w:r>
          </w:p>
        </w:tc>
        <w:tc>
          <w:tcPr>
            <w:tcW w:w="2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gridSpan w:val="2"/>
            <w:vMerge w:val="continue"/>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246,578,754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244,325,246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234,403,150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-170815</wp:posOffset>
            </wp:positionV>
            <wp:extent cx="6858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-170815</wp:posOffset>
            </wp:positionV>
            <wp:extent cx="463105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631055"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-2289175</wp:posOffset>
            </wp:positionV>
            <wp:extent cx="685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-2289175</wp:posOffset>
            </wp:positionV>
            <wp:extent cx="6858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-2289175</wp:posOffset>
            </wp:positionV>
            <wp:extent cx="6858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-2289175</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Securities Portfolio</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235"/>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Portfolio Company/Principal Business</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Equity Investment</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Education Management Corporation</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A-1 Preferred Shares</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w w:val="95"/>
              </w:rPr>
              <w:t>$—</w:t>
            </w: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QCE, LLC (Quiznos)</w:t>
            </w:r>
            <w:r>
              <w:rPr>
                <w:rFonts w:ascii="Times New Roman" w:cs="Times New Roman" w:eastAsia="Times New Roman" w:hAnsi="Times New Roman"/>
                <w:sz w:val="21"/>
                <w:szCs w:val="21"/>
                <w:color w:val="auto"/>
                <w:vertAlign w:val="superscript"/>
              </w:rPr>
              <w:t>(2)</w:t>
            </w: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Common Stock</w:t>
            </w:r>
          </w:p>
        </w:tc>
        <w:tc>
          <w:tcPr>
            <w:tcW w:w="3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
        </w:trPr>
        <w:tc>
          <w:tcPr>
            <w:tcW w:w="2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 in Equity Securities</w:t>
            </w: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gridSpan w:val="2"/>
            <w:vMerge w:val="continue"/>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3"/>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w w:val="95"/>
              </w:rPr>
              <w:t>$—</w:t>
            </w:r>
          </w:p>
        </w:tc>
        <w:tc>
          <w:tcPr>
            <w:tcW w:w="100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$2,830</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(100% of net asset value at fair value)</w:t>
            </w: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-256540</wp:posOffset>
            </wp:positionV>
            <wp:extent cx="18859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-256540</wp:posOffset>
            </wp:positionV>
            <wp:extent cx="476821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-565150</wp:posOffset>
            </wp:positionV>
            <wp:extent cx="685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-565150</wp:posOffset>
            </wp:positionV>
            <wp:extent cx="685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-565150</wp:posOffset>
            </wp:positionV>
            <wp:extent cx="6858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-565150</wp:posOffset>
            </wp:positionV>
            <wp:extent cx="6858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 Securities Portfolio</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6"/>
        </w:trPr>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3060" w:type="dxa"/>
            <w:vAlign w:val="bottom"/>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CLO Investment</w:t>
            </w:r>
          </w:p>
        </w:tc>
        <w:tc>
          <w:tcPr>
            <w:tcW w:w="10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4"/>
                <w:szCs w:val="14"/>
                <w:color w:val="auto"/>
              </w:rPr>
            </w:pPr>
          </w:p>
        </w:tc>
        <w:tc>
          <w:tcPr>
            <w:tcW w:w="102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Pr>
          <w:p>
            <w:pPr>
              <w:spacing w:after="0"/>
              <w:rPr>
                <w:sz w:val="14"/>
                <w:szCs w:val="14"/>
                <w:color w:val="auto"/>
              </w:rPr>
            </w:pP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43"/>
        </w:trPr>
        <w:tc>
          <w:tcPr>
            <w:tcW w:w="1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9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3"/>
                <w:szCs w:val="13"/>
                <w:color w:val="auto"/>
              </w:rPr>
              <w:t>APID 2007-5A</w:t>
            </w:r>
            <w:r>
              <w:rPr>
                <w:rFonts w:ascii="Times New Roman" w:cs="Times New Roman" w:eastAsia="Times New Roman" w:hAnsi="Times New Roman"/>
                <w:sz w:val="18"/>
                <w:szCs w:val="18"/>
                <w:color w:val="auto"/>
                <w:vertAlign w:val="superscript"/>
              </w:rPr>
              <w:t>(1)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Floating – 04/2021 – D – 03761XAG5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963,108</w:t>
            </w:r>
          </w:p>
        </w:tc>
        <w:tc>
          <w:tcPr>
            <w:tcW w:w="0" w:type="dxa"/>
            <w:vAlign w:val="bottom"/>
          </w:tcPr>
          <w:p>
            <w:pPr>
              <w:spacing w:after="0"/>
              <w:rPr>
                <w:sz w:val="1"/>
                <w:szCs w:val="1"/>
                <w:color w:val="auto"/>
              </w:rPr>
            </w:pPr>
          </w:p>
        </w:tc>
      </w:tr>
      <w:tr>
        <w:trPr>
          <w:trHeight w:val="200"/>
        </w:trPr>
        <w:tc>
          <w:tcPr>
            <w:tcW w:w="2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CLO Rated Notes</w:t>
            </w:r>
          </w:p>
        </w:tc>
        <w:tc>
          <w:tcPr>
            <w:tcW w:w="3060" w:type="dxa"/>
            <w:vAlign w:val="bottom"/>
            <w:gridSpan w:val="3"/>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40" w:type="dxa"/>
            <w:vAlign w:val="bottom"/>
            <w:gridSpan w:val="3"/>
          </w:tcPr>
          <w:p>
            <w:pPr>
              <w:spacing w:after="0" w:line="164" w:lineRule="exact"/>
              <w:rPr>
                <w:sz w:val="20"/>
                <w:szCs w:val="20"/>
                <w:color w:val="auto"/>
              </w:rPr>
            </w:pPr>
            <w:r>
              <w:rPr>
                <w:rFonts w:ascii="Times New Roman" w:cs="Times New Roman" w:eastAsia="Times New Roman" w:hAnsi="Times New Roman"/>
                <w:sz w:val="13"/>
                <w:szCs w:val="13"/>
                <w:color w:val="auto"/>
              </w:rPr>
              <w:t>HLCNL 2007-2A</w:t>
            </w:r>
            <w:r>
              <w:rPr>
                <w:rFonts w:ascii="Times New Roman" w:cs="Times New Roman" w:eastAsia="Times New Roman" w:hAnsi="Times New Roman"/>
                <w:sz w:val="19"/>
                <w:szCs w:val="19"/>
                <w:color w:val="auto"/>
                <w:vertAlign w:val="superscript"/>
              </w:rPr>
              <w:t>(1)</w:t>
            </w:r>
          </w:p>
        </w:tc>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Floating – 04/2021 – D – 40537AAA3</w:t>
            </w:r>
          </w:p>
        </w:tc>
        <w:tc>
          <w:tcPr>
            <w:tcW w:w="1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2,968,134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2,902,077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CLO Rated Notes</w:t>
            </w:r>
          </w:p>
        </w:tc>
        <w:tc>
          <w:tcPr>
            <w:tcW w:w="30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MDPK 2007-4A</w:t>
            </w:r>
            <w:r>
              <w:rPr>
                <w:rFonts w:ascii="Times New Roman" w:cs="Times New Roman" w:eastAsia="Times New Roman" w:hAnsi="Times New Roman"/>
                <w:sz w:val="19"/>
                <w:szCs w:val="19"/>
                <w:color w:val="auto"/>
                <w:vertAlign w:val="superscript"/>
              </w:rPr>
              <w:t>(1)</w:t>
            </w:r>
          </w:p>
        </w:tc>
        <w:tc>
          <w:tcPr>
            <w:tcW w:w="30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Floating – 03/2021 – D – 55817UAF7</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1,869,623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CLO Rated Notes</w:t>
            </w:r>
          </w:p>
        </w:tc>
        <w:tc>
          <w:tcPr>
            <w:tcW w:w="306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40" w:type="dxa"/>
            <w:vAlign w:val="bottom"/>
            <w:gridSpan w:val="3"/>
          </w:tcPr>
          <w:p>
            <w:pPr>
              <w:spacing w:after="0" w:line="164" w:lineRule="exact"/>
              <w:rPr>
                <w:sz w:val="20"/>
                <w:szCs w:val="20"/>
                <w:color w:val="auto"/>
              </w:rPr>
            </w:pPr>
            <w:r>
              <w:rPr>
                <w:rFonts w:ascii="Times New Roman" w:cs="Times New Roman" w:eastAsia="Times New Roman" w:hAnsi="Times New Roman"/>
                <w:sz w:val="13"/>
                <w:szCs w:val="13"/>
                <w:color w:val="auto"/>
              </w:rPr>
              <w:t>NAVIG 2007-2A</w:t>
            </w:r>
            <w:r>
              <w:rPr>
                <w:rFonts w:ascii="Times New Roman" w:cs="Times New Roman" w:eastAsia="Times New Roman" w:hAnsi="Times New Roman"/>
                <w:sz w:val="19"/>
                <w:szCs w:val="19"/>
                <w:color w:val="auto"/>
                <w:vertAlign w:val="superscript"/>
              </w:rPr>
              <w:t>(1)</w:t>
            </w:r>
          </w:p>
        </w:tc>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Floating – 04/2021 – D – 63937HAD0</w:t>
            </w:r>
          </w:p>
        </w:tc>
        <w:tc>
          <w:tcPr>
            <w:tcW w:w="1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2,910,373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CLO Rated Notes</w:t>
            </w:r>
          </w:p>
        </w:tc>
        <w:tc>
          <w:tcPr>
            <w:tcW w:w="30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TRAL 2007-1A</w:t>
            </w:r>
            <w:r>
              <w:rPr>
                <w:rFonts w:ascii="Times New Roman" w:cs="Times New Roman" w:eastAsia="Times New Roman" w:hAnsi="Times New Roman"/>
                <w:sz w:val="19"/>
                <w:szCs w:val="19"/>
                <w:color w:val="auto"/>
                <w:vertAlign w:val="superscript"/>
              </w:rPr>
              <w:t>(1)</w:t>
            </w:r>
          </w:p>
        </w:tc>
        <w:tc>
          <w:tcPr>
            <w:tcW w:w="30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Floating – 04/2022 – C – 89288BAG6</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2,778,118</w:t>
            </w:r>
          </w:p>
        </w:tc>
        <w:tc>
          <w:tcPr>
            <w:tcW w:w="0" w:type="dxa"/>
            <w:vAlign w:val="bottom"/>
          </w:tcPr>
          <w:p>
            <w:pPr>
              <w:spacing w:after="0"/>
              <w:rPr>
                <w:sz w:val="1"/>
                <w:szCs w:val="1"/>
                <w:color w:val="auto"/>
              </w:rPr>
            </w:pPr>
          </w:p>
        </w:tc>
      </w:tr>
      <w:tr>
        <w:trPr>
          <w:trHeight w:val="200"/>
        </w:trPr>
        <w:tc>
          <w:tcPr>
            <w:tcW w:w="2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CLO Rated Notes</w:t>
            </w:r>
          </w:p>
        </w:tc>
        <w:tc>
          <w:tcPr>
            <w:tcW w:w="306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40" w:type="dxa"/>
            <w:vAlign w:val="bottom"/>
            <w:gridSpan w:val="3"/>
          </w:tcPr>
          <w:p>
            <w:pPr>
              <w:spacing w:after="0" w:line="164" w:lineRule="exact"/>
              <w:rPr>
                <w:sz w:val="20"/>
                <w:szCs w:val="20"/>
                <w:color w:val="auto"/>
              </w:rPr>
            </w:pPr>
            <w:r>
              <w:rPr>
                <w:rFonts w:ascii="Times New Roman" w:cs="Times New Roman" w:eastAsia="Times New Roman" w:hAnsi="Times New Roman"/>
                <w:sz w:val="13"/>
                <w:szCs w:val="13"/>
                <w:color w:val="auto"/>
              </w:rPr>
              <w:t>TRAL 2007-1A</w:t>
            </w:r>
            <w:r>
              <w:rPr>
                <w:rFonts w:ascii="Times New Roman" w:cs="Times New Roman" w:eastAsia="Times New Roman" w:hAnsi="Times New Roman"/>
                <w:sz w:val="19"/>
                <w:szCs w:val="19"/>
                <w:color w:val="auto"/>
                <w:vertAlign w:val="superscript"/>
              </w:rPr>
              <w:t>(1)</w:t>
            </w:r>
          </w:p>
        </w:tc>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Floating – 04/2022 – D – 89288AAA1</w:t>
            </w:r>
          </w:p>
        </w:tc>
        <w:tc>
          <w:tcPr>
            <w:tcW w:w="1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937,226</w:t>
            </w:r>
          </w:p>
        </w:tc>
        <w:tc>
          <w:tcPr>
            <w:tcW w:w="0" w:type="dxa"/>
            <w:vAlign w:val="bottom"/>
          </w:tcPr>
          <w:p>
            <w:pPr>
              <w:spacing w:after="0"/>
              <w:rPr>
                <w:sz w:val="1"/>
                <w:szCs w:val="1"/>
                <w:color w:val="auto"/>
              </w:rPr>
            </w:pPr>
          </w:p>
        </w:tc>
      </w:tr>
      <w:tr>
        <w:trPr>
          <w:trHeight w:val="190"/>
        </w:trPr>
        <w:tc>
          <w:tcPr>
            <w:tcW w:w="204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CLO Rated Notes</w:t>
            </w:r>
          </w:p>
        </w:tc>
        <w:tc>
          <w:tcPr>
            <w:tcW w:w="30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 CLO</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13,000,000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12,968,134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12,360,525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Rated Notes</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40" w:type="dxa"/>
            <w:vAlign w:val="bottom"/>
            <w:gridSpan w:val="3"/>
            <w:vMerge w:val="continue"/>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259,578,754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257,293,380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246,766,505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-591185</wp:posOffset>
            </wp:positionV>
            <wp:extent cx="685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46310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631055"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-1997710</wp:posOffset>
            </wp:positionV>
            <wp:extent cx="6858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-1997710</wp:posOffset>
            </wp:positionV>
            <wp:extent cx="6858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-1997710</wp:posOffset>
            </wp:positionV>
            <wp:extent cx="6858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-1997710</wp:posOffset>
            </wp:positionV>
            <wp:extent cx="685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620" w:hanging="352"/>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 Collateralized Loan Obligation Fund</w:t>
      </w:r>
    </w:p>
    <w:p>
      <w:pPr>
        <w:spacing w:after="0" w:line="18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on non-accrual status</w:t>
      </w:r>
    </w:p>
    <w:p>
      <w:pPr>
        <w:spacing w:after="0" w:line="184" w:lineRule="exact"/>
        <w:rPr>
          <w:rFonts w:ascii="Times New Roman" w:cs="Times New Roman" w:eastAsia="Times New Roman" w:hAnsi="Times New Roman"/>
          <w:sz w:val="18"/>
          <w:szCs w:val="18"/>
          <w:color w:val="auto"/>
        </w:rPr>
      </w:pPr>
    </w:p>
    <w:p>
      <w:pPr>
        <w:ind w:left="1620" w:right="1059" w:hanging="352"/>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and real estate relate to real estate ownership, builders, managers and developers and excludes mortgage debt investments and mortgage lenders or originators.</w:t>
      </w:r>
    </w:p>
    <w:p>
      <w:pPr>
        <w:spacing w:after="0" w:line="17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08"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Katonah 2007-I CLO LTD. (the “Fund”) is an exempted company incorporated in November 15, 2006 with limited liability under the laws of the Cayman Islands for the sole purpose of investing in broadly syndicated loans, high-yield bonds and other credit instruments. The Fund is what is commonly known as a collateralized loan obligation fund (“CLO Fund”).</w:t>
      </w:r>
    </w:p>
    <w:p>
      <w:pPr>
        <w:spacing w:after="0" w:line="72" w:lineRule="exact"/>
        <w:rPr>
          <w:sz w:val="20"/>
          <w:szCs w:val="20"/>
          <w:color w:val="auto"/>
        </w:rPr>
      </w:pPr>
    </w:p>
    <w:p>
      <w:pPr>
        <w:ind w:left="1260" w:right="939" w:firstLine="360"/>
        <w:spacing w:after="0" w:line="256" w:lineRule="auto"/>
        <w:rPr>
          <w:sz w:val="20"/>
          <w:szCs w:val="20"/>
          <w:color w:val="auto"/>
        </w:rPr>
      </w:pPr>
      <w:r>
        <w:rPr>
          <w:rFonts w:ascii="Times New Roman" w:cs="Times New Roman" w:eastAsia="Times New Roman" w:hAnsi="Times New Roman"/>
          <w:sz w:val="18"/>
          <w:szCs w:val="18"/>
          <w:color w:val="auto"/>
        </w:rPr>
        <w:t>A CLO Fund generally refers to a special purpose vehicle that owns a portfolio of investments and issues various tranches of debt and subordinated note securities to finance the purchase of those investments. Investments purchased by a CLO Fund are governed by extensive investment guidelines, including limits on exposure to any single industry or issuer and limits on the ratings of the CLO Fund’s assets. A CLO Fund has a defined investment period during which it is allowed to make investments or reinvest capital as it becomes available.</w:t>
      </w:r>
    </w:p>
    <w:p>
      <w:pPr>
        <w:spacing w:after="0" w:line="80"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A CLO Fund typically issues multiple tranches of debt and subordinated note securities with varying ratings and levels of subordination to finance the purchase of their underlying investments. Interest and principal payments (net of designated CLO Fund expenses) from the CLO Fund are paid to each issued security in accordance with an agreed upon priority of payments, commonly referred to as the “waterfall.” The most senior notes, generally rated AAA/Aaa, commonly represent the majority of the total liabilities of the CLO Fund. AAA/Aaa notes are issued at a specified spread over LIBOR and normally have the first claim on the earnings on the CLO Fund’s investments after payment of certain fees and expenses. Lower subordinated “mezzanine” tranches of rated notes generally have ratings ranging from AA/Aa to BB/Ba and are usually issued at a specified spread over LIBOR with higher spreads paid on the tranches with lower ratings. Each tranche is typically only entitled to a share of the earnings on the CLO Fund’s investments if the required interest and principal payments have been made on the more senior tranches in the waterfall. The most junior tranche can take the form of either subordinated notes or preferred shares. The subordinated notes or preferred shares generally do not have a stated coupon but are entitled to residual cash flows from the CLO Fund’s investments after all of the other tranches of notes and certain other fees and expenses are paid.</w:t>
      </w:r>
    </w:p>
    <w:p>
      <w:pPr>
        <w:spacing w:after="0" w:line="91"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On January 23, 2008, the Fund sold $323.9 million of notes or debt securities, consisting of Class A-1L Floating Rate Notes, Class A-2L Floating Rate Notes, Class A-3L Floating Rate Notes, Class B-1L Floating Rate Notes, Class B-2L Floating Rate Notes (“Class B-2L Notes”) and preferred shares. The notes were issued pursuant to an indenture, dated January 23, 2008 (the “Indenture”), with U.S. Bank National Association servicing as the trustee thereunder. KCAP Financial, Inc. (“KCAP Financial”) owns all of the preferred shares of Katonah 2007-I CLO LTD. The Fund’s defined investment period ended on April 22, 2014. Following the defined investment period, proceeds from principal payments in the investment portfolio of the Fund are used to pay down its outstanding notes, starting with Class A notes.</w:t>
      </w:r>
    </w:p>
    <w:p>
      <w:pPr>
        <w:spacing w:after="0" w:line="77"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Pursuant to a collateral management agreement (the “Collateral Management Agreement”), Katonah 2007-1 Management, L.L.C. (the “Manager”), which is an indirect wholly-owned portfolio company of KCAP Financial, provides investment management services to the Fund, and makes day-to-day investment decisions concerning the assets of the Fund. The Manager also performs certain administrative services on behalf of the Fund under the Collateral Management Agreement. The Manager is a registered investment adviser under the Investment Advisers Act of 1940.</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Accounting and Combination</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Fund have been prepared in accordance with U.S. generally accepted accounting principles (“U.S. GAAP”). In the opinion of the Manager’s management, the financial statements of the Fund reflect all adjustments, consisting of normal recurring accruals, which are necessary for the fair presentation of the financial condition and results of operations for the periods presented.</w:t>
      </w:r>
    </w:p>
    <w:p>
      <w:pPr>
        <w:spacing w:after="0" w:line="2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ind w:left="1260" w:right="899"/>
        <w:spacing w:after="0" w:line="266" w:lineRule="auto"/>
        <w:rPr>
          <w:sz w:val="20"/>
          <w:szCs w:val="20"/>
          <w:color w:val="auto"/>
        </w:rPr>
      </w:pPr>
      <w:r>
        <w:rPr>
          <w:rFonts w:ascii="Times New Roman" w:cs="Times New Roman" w:eastAsia="Times New Roman" w:hAnsi="Times New Roman"/>
          <w:sz w:val="18"/>
          <w:szCs w:val="18"/>
          <w:color w:val="auto"/>
        </w:rPr>
        <w:t>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w:t>
      </w:r>
    </w:p>
    <w:p>
      <w:pPr>
        <w:spacing w:after="0" w:line="6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All of the investments held and notes issued by the Fund are presented at fair value in the Fund’s Statements of Net Assets.</w:t>
      </w:r>
    </w:p>
    <w:p>
      <w:pPr>
        <w:spacing w:after="0" w:line="52"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Investments of the Fund at Fair Value. </w:t>
      </w:r>
      <w:r>
        <w:rPr>
          <w:rFonts w:ascii="Times New Roman" w:cs="Times New Roman" w:eastAsia="Times New Roman" w:hAnsi="Times New Roman"/>
          <w:sz w:val="18"/>
          <w:szCs w:val="18"/>
          <w:color w:val="auto"/>
        </w:rPr>
        <w:t>Investment transactions are recorded on the applicable trade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gains or losses are determined using the specific identification method. Investments held by the Fund are stated at fair value. ASC 820-10, Fair Value Measurements and Disclosures (“ASC 820-10”), requires among other things, disclosures about assets and liabilities that are measured and reported at fair value.</w:t>
      </w:r>
    </w:p>
    <w:p>
      <w:pPr>
        <w:spacing w:after="0" w:line="72"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Hierarchy of Fair Value Inputs</w:t>
      </w:r>
      <w:r>
        <w:rPr>
          <w:rFonts w:ascii="Times New Roman" w:cs="Times New Roman" w:eastAsia="Times New Roman" w:hAnsi="Times New Roman"/>
          <w:sz w:val="18"/>
          <w:szCs w:val="18"/>
          <w:color w:val="auto"/>
        </w:rPr>
        <w:t>. The provisions of ASC 820-10 establish a hierarchy that prioritizes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valuation techniques used to measure fair value and require companies to disclose the fair value of their financial instruments according to the fair value hierarchy (i.e., Level 1, 2 and 3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3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and reported at fair value are classified and disclosed in one of the following categories: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Level 1 Inputs:</w:t>
      </w:r>
    </w:p>
    <w:p>
      <w:pPr>
        <w:spacing w:after="0" w:line="1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Quoted prices (unadjusted) in active markets for identical assets or liabilities at the reporting date.</w:t>
      </w:r>
    </w:p>
    <w:p>
      <w:pPr>
        <w:spacing w:after="0" w:line="185" w:lineRule="exact"/>
        <w:rPr>
          <w:sz w:val="20"/>
          <w:szCs w:val="20"/>
          <w:color w:val="auto"/>
        </w:rPr>
      </w:pPr>
    </w:p>
    <w:p>
      <w:pPr>
        <w:ind w:left="1980" w:hanging="352"/>
        <w:spacing w:after="0"/>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assets may include listed mutual funds, ETFs, equities and certain derivatives.</w:t>
      </w:r>
    </w:p>
    <w:p>
      <w:pPr>
        <w:spacing w:after="0" w:line="2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Level 2 Inputs:</w:t>
      </w:r>
    </w:p>
    <w:p>
      <w:pPr>
        <w:spacing w:after="0" w:line="10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Quoted prices for similar assets or liabilities in active markets; quoted prices for identical or similar assets or liabilities that are not active; quotes from pricing services or brokers, for which the Manager can determine that orderly transactions took place at the quoted price or that the inputs used to arrive at the price were observable; and inputs other than quoted prices that are observable, such as models or other valuation methodologies.</w:t>
      </w:r>
    </w:p>
    <w:p>
      <w:pPr>
        <w:spacing w:after="0" w:line="153" w:lineRule="exact"/>
        <w:rPr>
          <w:sz w:val="20"/>
          <w:szCs w:val="20"/>
          <w:color w:val="auto"/>
        </w:rPr>
      </w:pPr>
    </w:p>
    <w:p>
      <w:pPr>
        <w:ind w:left="1980" w:right="819" w:hanging="352"/>
        <w:spacing w:after="0" w:line="261"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assets in this category may include debt securities, bank loans, short-term floating rate notes and asset-backed securities, restricted public securities valued at a discount, as well as over the counter derivatives, including interest and inflation rate swaps and foreign currency exchange contracts that have inputs to the valuations that generally can be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Level 3 Inputs:</w:t>
      </w:r>
    </w:p>
    <w:p>
      <w:pPr>
        <w:spacing w:after="0" w:line="104"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Unobservable inputs for the valuation of the asset or liability, which may include non-binding broker quotes. Level 3 assets include investments for which there is little, if any, market activity. These inputs require significant management judgment or estimation.</w:t>
      </w:r>
    </w:p>
    <w:p>
      <w:pPr>
        <w:spacing w:after="0" w:line="82" w:lineRule="exact"/>
        <w:rPr>
          <w:sz w:val="20"/>
          <w:szCs w:val="20"/>
          <w:color w:val="auto"/>
        </w:rPr>
      </w:pPr>
    </w:p>
    <w:p>
      <w:pPr>
        <w:ind w:left="1980" w:right="779" w:hanging="352"/>
        <w:spacing w:after="0" w:line="261" w:lineRule="auto"/>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71" w:lineRule="exact"/>
        <w:rPr>
          <w:rFonts w:ascii="Times New Roman" w:cs="Times New Roman" w:eastAsia="Times New Roman" w:hAnsi="Times New Roman"/>
          <w:sz w:val="18"/>
          <w:szCs w:val="18"/>
          <w:color w:val="auto"/>
        </w:rPr>
      </w:pPr>
    </w:p>
    <w:p>
      <w:pPr>
        <w:ind w:left="1980" w:right="1039" w:hanging="352"/>
        <w:spacing w:after="0" w:line="266" w:lineRule="auto"/>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liabilities included in this category include borrowings of consolidated collateralized loan obligations valued based upon non-binding broker quotes or discounted cash flow model based on a discount margin calculation.</w:t>
      </w:r>
    </w:p>
    <w:p>
      <w:pPr>
        <w:spacing w:after="0" w:line="1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Significance of Inputs:</w:t>
      </w:r>
    </w:p>
    <w:p>
      <w:pPr>
        <w:spacing w:after="0" w:line="104"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The Manager’s assessment of the significance of a particular input to the fair value measurement in its entirety requires judgment and considers factors specific to the financial instrument.</w:t>
      </w:r>
    </w:p>
    <w:p>
      <w:pPr>
        <w:spacing w:after="0" w:line="52"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Valuation of Portfolio Investments</w:t>
      </w:r>
      <w:r>
        <w:rPr>
          <w:rFonts w:ascii="Times New Roman" w:cs="Times New Roman" w:eastAsia="Times New Roman" w:hAnsi="Times New Roman"/>
          <w:sz w:val="18"/>
          <w:szCs w:val="18"/>
          <w:color w:val="auto"/>
        </w:rPr>
        <w:t>. Debt and equity securities for which market quotations are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are generally 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Manager follows the provisions of ASC 820-10 with respect to preparing the Fund’s financial statements. This standard defines fair value, establishes a framework for measuring fair value, and expands disclosures about assets and liabilities measured at fair value. ASC 820-10 defines “fair value” as the price that would be received to sell an asset or paid to transfer a liability in an orderly transaction between market participants at the measurement date. Subsequent to the adoption of ASC 820-10, the FASB has issued various staff positions clarifying the initial standard as noted below.</w:t>
      </w:r>
    </w:p>
    <w:p>
      <w:pPr>
        <w:spacing w:after="0" w:line="78" w:lineRule="exact"/>
        <w:rPr>
          <w:sz w:val="20"/>
          <w:szCs w:val="20"/>
          <w:color w:val="auto"/>
        </w:rPr>
      </w:pPr>
    </w:p>
    <w:p>
      <w:pPr>
        <w:ind w:left="1260" w:right="9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and Disclosures </w:t>
      </w:r>
      <w:r>
        <w:rPr>
          <w:rFonts w:ascii="Times New Roman" w:cs="Times New Roman" w:eastAsia="Times New Roman" w:hAnsi="Times New Roman"/>
          <w:sz w:val="18"/>
          <w:szCs w:val="18"/>
          <w:color w:val="auto"/>
        </w:rPr>
        <w:t>requires the disclosure of the inputs and valuation techniques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measure fair value and a discussion of changes in valuation techniques and related inputs, if any, during the period.</w:t>
      </w:r>
    </w:p>
    <w:p>
      <w:pPr>
        <w:spacing w:after="0" w:line="67"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Manager’s valuation methodology and procedures for investments held by the Fund are generally as follows:</w:t>
      </w:r>
    </w:p>
    <w:p>
      <w:pPr>
        <w:spacing w:after="0" w:line="54" w:lineRule="exact"/>
        <w:rPr>
          <w:sz w:val="20"/>
          <w:szCs w:val="20"/>
          <w:color w:val="auto"/>
        </w:rPr>
      </w:pPr>
    </w:p>
    <w:p>
      <w:pPr>
        <w:ind w:left="1980" w:right="1019" w:hanging="352"/>
        <w:spacing w:after="0" w:line="282" w:lineRule="auto"/>
        <w:tabs>
          <w:tab w:leader="none" w:pos="1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asset which is also held by KCAP Financial on the applicable date, the KCAP Financial fair value mark as of such applicable date is used.</w:t>
      </w:r>
    </w:p>
    <w:p>
      <w:pPr>
        <w:spacing w:after="0" w:line="53" w:lineRule="exact"/>
        <w:rPr>
          <w:rFonts w:ascii="Times New Roman" w:cs="Times New Roman" w:eastAsia="Times New Roman" w:hAnsi="Times New Roman"/>
          <w:sz w:val="18"/>
          <w:szCs w:val="18"/>
          <w:color w:val="auto"/>
        </w:rPr>
      </w:pPr>
    </w:p>
    <w:p>
      <w:pPr>
        <w:ind w:left="1980" w:right="879" w:hanging="352"/>
        <w:spacing w:after="0" w:line="256" w:lineRule="auto"/>
        <w:tabs>
          <w:tab w:leader="none" w:pos="1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the Manager’s management within the framework of ASC 820-10.</w:t>
      </w:r>
    </w:p>
    <w:p>
      <w:pPr>
        <w:spacing w:after="0" w:line="79" w:lineRule="exact"/>
        <w:rPr>
          <w:rFonts w:ascii="Times New Roman" w:cs="Times New Roman" w:eastAsia="Times New Roman" w:hAnsi="Times New Roman"/>
          <w:sz w:val="18"/>
          <w:szCs w:val="18"/>
          <w:color w:val="auto"/>
        </w:rPr>
      </w:pPr>
    </w:p>
    <w:p>
      <w:pPr>
        <w:ind w:left="1980" w:right="759" w:hanging="352"/>
        <w:spacing w:after="0" w:line="256" w:lineRule="auto"/>
        <w:tabs>
          <w:tab w:leader="none" w:pos="1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investment does not have a market quotation on either a broad market exchange or from an independent pricing service, the investment is initially valued by the Manager’s investment professionals responsible for the portfolio investment in conjunction with the portfolio management team. Generally, such fair values are determined by reference to public market or private transactions or valuations for comparable companies or assets in the relevant asset class and or industry when such amounts are available. Generally these valuations are derived by</w:t>
      </w:r>
    </w:p>
    <w:p>
      <w:pPr>
        <w:spacing w:after="0" w:line="2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ind w:left="1980" w:right="759"/>
        <w:spacing w:after="0" w:line="254" w:lineRule="auto"/>
        <w:rPr>
          <w:sz w:val="20"/>
          <w:szCs w:val="20"/>
          <w:color w:val="auto"/>
        </w:rPr>
      </w:pPr>
      <w:r>
        <w:rPr>
          <w:rFonts w:ascii="Times New Roman" w:cs="Times New Roman" w:eastAsia="Times New Roman" w:hAnsi="Times New Roman"/>
          <w:sz w:val="18"/>
          <w:szCs w:val="18"/>
          <w:color w:val="auto"/>
        </w:rPr>
        <w:t>multiplying a key performance metric of the investee company or asset (e.g., EBITDA) by the relevant valuation multiple observed for comparable companies or transactions, adjusted by management for differences between the investment and the referenced comparable.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95" w:lineRule="exact"/>
        <w:rPr>
          <w:sz w:val="20"/>
          <w:szCs w:val="20"/>
          <w:color w:val="auto"/>
        </w:rPr>
      </w:pPr>
    </w:p>
    <w:p>
      <w:pPr>
        <w:ind w:left="1980" w:hanging="352"/>
        <w:spacing w:after="0"/>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discussed and documented by the Manager’s management.</w:t>
      </w:r>
    </w:p>
    <w:p>
      <w:pPr>
        <w:spacing w:after="0" w:line="117" w:lineRule="exact"/>
        <w:rPr>
          <w:rFonts w:ascii="Times New Roman" w:cs="Times New Roman" w:eastAsia="Times New Roman" w:hAnsi="Times New Roman"/>
          <w:sz w:val="18"/>
          <w:szCs w:val="18"/>
          <w:color w:val="auto"/>
        </w:rPr>
      </w:pPr>
    </w:p>
    <w:p>
      <w:pPr>
        <w:ind w:left="1980" w:right="1139" w:hanging="352"/>
        <w:spacing w:after="0" w:line="282"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Illiquid loans, junior and mezzanine securities and investments in other CLO bonds are fair valued using models developed by the Manager’s management with applicable market assumptions.</w:t>
      </w:r>
    </w:p>
    <w:p>
      <w:pPr>
        <w:spacing w:after="0" w:line="67" w:lineRule="exact"/>
        <w:rPr>
          <w:rFonts w:ascii="Times New Roman" w:cs="Times New Roman" w:eastAsia="Times New Roman" w:hAnsi="Times New Roman"/>
          <w:sz w:val="18"/>
          <w:szCs w:val="18"/>
          <w:color w:val="auto"/>
        </w:rPr>
      </w:pPr>
    </w:p>
    <w:p>
      <w:pPr>
        <w:ind w:left="1980" w:right="919" w:hanging="352"/>
        <w:spacing w:after="0" w:line="266"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management discusses the valuations and determines in good faith that the fair values of each investment in the portfolio is reasonable based upon any applicable independent pricing service, input of management, and estimates from independent valuation firms (if any).</w:t>
      </w:r>
    </w:p>
    <w:p>
      <w:pPr>
        <w:spacing w:after="0" w:line="66"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Most of the Fund’s investment portfolio is composed of broadly syndicated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an independent pricing service quote is available. To the extent that the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w:t>
      </w:r>
    </w:p>
    <w:p>
      <w:pPr>
        <w:spacing w:after="0" w:line="75"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CLO Fund Securities. </w:t>
      </w:r>
      <w:r>
        <w:rPr>
          <w:rFonts w:ascii="Times New Roman" w:cs="Times New Roman" w:eastAsia="Times New Roman" w:hAnsi="Times New Roman"/>
          <w:sz w:val="18"/>
          <w:szCs w:val="18"/>
          <w:color w:val="auto"/>
        </w:rPr>
        <w:t>The Fund may selectively invest in securities issued by CLO Funds managed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 management companies. For bond rated tranches of CLO Funds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77" w:lineRule="exact"/>
        <w:rPr>
          <w:sz w:val="20"/>
          <w:szCs w:val="20"/>
          <w:color w:val="auto"/>
        </w:rPr>
      </w:pPr>
    </w:p>
    <w:p>
      <w:pPr>
        <w:ind w:left="1260" w:right="7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Cash is defined as demand deposits. The Fund holds its cash with financial institutions and, at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held in checking accounts may exceed the Federal Deposit Insurance Corporation insured limit.</w:t>
      </w:r>
    </w:p>
    <w:p>
      <w:pPr>
        <w:spacing w:after="0" w:line="50" w:lineRule="exact"/>
        <w:rPr>
          <w:sz w:val="20"/>
          <w:szCs w:val="20"/>
          <w:color w:val="auto"/>
        </w:rPr>
      </w:pPr>
    </w:p>
    <w:p>
      <w:pPr>
        <w:ind w:left="1260" w:right="14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Debt at Fair Value</w:t>
      </w:r>
      <w:r>
        <w:rPr>
          <w:rFonts w:ascii="Times New Roman" w:cs="Times New Roman" w:eastAsia="Times New Roman" w:hAnsi="Times New Roman"/>
          <w:sz w:val="18"/>
          <w:szCs w:val="18"/>
          <w:color w:val="auto"/>
        </w:rPr>
        <w:t>. The Fund has issued rated and unrated bonds to finance its operations. Debt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at fair value.</w:t>
      </w:r>
    </w:p>
    <w:p>
      <w:pPr>
        <w:spacing w:after="0" w:line="50"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is recorded on the accrual basis on interest-bearing assets. The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places a loan or security on non-accrual status and ceases recognizing cash interest income on such loan or security when a loan or security becomes 90 days or more past due or if Manager otherwise does not expect the debtor to be able to service its debt obligations.</w:t>
      </w:r>
    </w:p>
    <w:p>
      <w:pPr>
        <w:spacing w:after="0" w:line="72" w:lineRule="exact"/>
        <w:rPr>
          <w:sz w:val="20"/>
          <w:szCs w:val="20"/>
          <w:color w:val="auto"/>
        </w:rPr>
      </w:pPr>
    </w:p>
    <w:p>
      <w:pPr>
        <w:ind w:left="1260" w:right="10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The Fund is externally managed by the Manager pursuant to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Agreement. As compensation for the performance of its obligations under the Collateral Management Agreement, the Manager is entitled to receive from the Fund a senior collateral management fee (the “Senior Collateral Management Fee”), a subordinated collateral management fee (the “Subordinated Collateral Management Fee”) and an incentive collateral management fee (the “Incentive</w:t>
      </w: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 (continued)</w:t>
      </w:r>
    </w:p>
    <w:p>
      <w:pPr>
        <w:spacing w:after="0" w:line="202" w:lineRule="exact"/>
        <w:rPr>
          <w:sz w:val="20"/>
          <w:szCs w:val="20"/>
          <w:color w:val="auto"/>
        </w:rPr>
      </w:pPr>
    </w:p>
    <w:p>
      <w:pPr>
        <w:ind w:left="1260" w:right="779"/>
        <w:spacing w:after="0" w:line="254" w:lineRule="auto"/>
        <w:rPr>
          <w:sz w:val="20"/>
          <w:szCs w:val="20"/>
          <w:color w:val="auto"/>
        </w:rPr>
      </w:pPr>
      <w:r>
        <w:rPr>
          <w:rFonts w:ascii="Times New Roman" w:cs="Times New Roman" w:eastAsia="Times New Roman" w:hAnsi="Times New Roman"/>
          <w:sz w:val="18"/>
          <w:szCs w:val="18"/>
          <w:color w:val="auto"/>
        </w:rPr>
        <w:t>Collateral Management Fee”).The Senior Collateral Management Fee is payable in arrears quarterly (subject to availability of funds and to the satisfaction of payment obligations on the debt obligations of the Fund (the “Priority of Payments”)) in an amount equal to 0.10% per annum of the aggregate principal amount of the Fund’s investments. The Subordinated Collateral Management Fee is payable in arrears quarterly (subject to availability of funds and to the Priority of Payments) in an amount equal to 0.15% per annum of the aggregate principal amount of the Fund’s investments. The Incentive Collateral Management Fee equals 20% of the amount of interest and principal payments remaining available for distribution to the holders of the Fund’s preferred shares under the Priority of Payments at which the Incentive Collateral Management Fee may be paid. For the years ended December 31, 2016, 2015 and 2014, there were no Incentive Fees incurred by the Fund.</w:t>
      </w:r>
    </w:p>
    <w:p>
      <w:pPr>
        <w:spacing w:after="0" w:line="79" w:lineRule="exact"/>
        <w:rPr>
          <w:sz w:val="20"/>
          <w:szCs w:val="20"/>
          <w:color w:val="auto"/>
        </w:rPr>
      </w:pPr>
    </w:p>
    <w:p>
      <w:pPr>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Expenses</w:t>
      </w:r>
      <w:r>
        <w:rPr>
          <w:rFonts w:ascii="Times New Roman" w:cs="Times New Roman" w:eastAsia="Times New Roman" w:hAnsi="Times New Roman"/>
          <w:sz w:val="18"/>
          <w:szCs w:val="18"/>
          <w:color w:val="auto"/>
        </w:rPr>
        <w:t>. The Fund has issued rated and unrated bonds to finance its operations. Interest on debt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by the third party trustee of the Fund. Interest is accrued and generally paid quarterly.</w:t>
      </w:r>
    </w:p>
    <w:p>
      <w:pPr>
        <w:spacing w:after="0" w:line="50" w:lineRule="exact"/>
        <w:rPr>
          <w:sz w:val="20"/>
          <w:szCs w:val="20"/>
          <w:color w:val="auto"/>
        </w:rPr>
      </w:pPr>
    </w:p>
    <w:p>
      <w:pPr>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Trustee Fees. </w:t>
      </w:r>
      <w:r>
        <w:rPr>
          <w:rFonts w:ascii="Times New Roman" w:cs="Times New Roman" w:eastAsia="Times New Roman" w:hAnsi="Times New Roman"/>
          <w:sz w:val="18"/>
          <w:szCs w:val="18"/>
          <w:color w:val="auto"/>
        </w:rPr>
        <w:t>The Fund has a third party trustee that is the custodian for all investments of the Fund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receives and disburses all cash in accordance to the trustee and custodial agreements. Trustee fees are accrued and paid quarterly by the Fund.</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Fund is not subject to net income taxation in the United States or the Cayman Islands.</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Accordingly, no provision for income taxes has been made in the accompanying financial statements.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08" w:lineRule="exact"/>
        <w:rPr>
          <w:sz w:val="20"/>
          <w:szCs w:val="20"/>
          <w:color w:val="auto"/>
        </w:rPr>
      </w:pPr>
    </w:p>
    <w:p>
      <w:pPr>
        <w:ind w:left="1260" w:right="779" w:firstLine="360"/>
        <w:spacing w:after="0" w:line="251" w:lineRule="auto"/>
        <w:rPr>
          <w:sz w:val="20"/>
          <w:szCs w:val="20"/>
          <w:color w:val="auto"/>
        </w:rPr>
      </w:pPr>
      <w:r>
        <w:rPr>
          <w:rFonts w:ascii="Times New Roman" w:cs="Times New Roman" w:eastAsia="Times New Roman" w:hAnsi="Times New Roman"/>
          <w:sz w:val="18"/>
          <w:szCs w:val="18"/>
          <w:color w:val="auto"/>
        </w:rPr>
        <w:t>The investments held by the Fund are primarily invested in senior secured bank loans (typically syndicated by banks), bonds, and equity securities. Bank loan investments, which comprise the majority of the Fund’s portfolio, are senior secured corporate loans from a variety of industries, including but not limited to the aerospace and defense, broadcasting, technology, utilities, household products, healthcare, oil and gas, and finance industries. The investments mature at various dates between 2017 and 2022, pay interest at Libor or Prime plus a spread of up to 1.5%, and typically range in credit rating categories from BBB down to unrated. Non-accrual loans represented less than 1% of investments at fair value as of December 31, 2016 and December 31, 2015. The aggregate unpaid principal value of loans past due as of December 31, 2016 and December 31, 2015 was approximately $449,000 and $1.1 million, respectively and the difference between fair value and the unpaid principal balance was approximately $413,000 and $934,000, respectively. The Fund’s investments are valued based on price quotations provided by an independent third-party pricing source which are indicative of traded prices and/or dealer price quotations. In the event that a third-party pricing source is unable to price an investment, other relevant factors, data and information are considered, including: i) information relating to the market for the investment, including price quotations for and trading in the investment and interest in similar investments and the market environment and investor attitudes towards the investment and interests in similar investments; ii) the characteristics of and fundamental analytical data relating to the investment, including the cost, size, current interest rate, period until next interest rate reset, maturity and base lending rate, the terms and conditions of the loan and any related agreements, and the position of the loan in the issuer’s debt structure; iii) the nature, adequacy and value of the senior secured corporate loan’s collateral, including the CLO’s rights, remedies and interests with respect to the collateral; iv) the creditworthiness of the borrower, based on an evaluation of its financial condition, financial statements and information about the business, cash flows, capital structure and future prospects; v) the reputation and financial condition of the agent and any intermediate participants in the senior secured corporate loan; and vi) general economic and market conditions affecting the fair value of the senior secured corporate loan.</w:t>
      </w:r>
    </w:p>
    <w:p>
      <w:pPr>
        <w:spacing w:after="0" w:line="99"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debt issued by the Fund has a stated maturity date of April 23, 2022. The Fund’s debt was issued in various tranches with different risk profiles and ratings. The interest rates are variable rates based on Libor plus a pre-defined spread, which varies from 0.85% for the more senior tranches to 5% for the more</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INVESTMENTS – (continued)</w:t>
      </w:r>
    </w:p>
    <w:p>
      <w:pPr>
        <w:spacing w:after="0" w:line="202" w:lineRule="exact"/>
        <w:rPr>
          <w:sz w:val="20"/>
          <w:szCs w:val="20"/>
          <w:color w:val="auto"/>
        </w:rPr>
      </w:pPr>
    </w:p>
    <w:p>
      <w:pPr>
        <w:ind w:left="1260" w:right="1280"/>
        <w:spacing w:after="0" w:line="253" w:lineRule="auto"/>
        <w:rPr>
          <w:sz w:val="20"/>
          <w:szCs w:val="20"/>
          <w:color w:val="auto"/>
        </w:rPr>
      </w:pPr>
      <w:r>
        <w:rPr>
          <w:rFonts w:ascii="Times New Roman" w:cs="Times New Roman" w:eastAsia="Times New Roman" w:hAnsi="Times New Roman"/>
          <w:sz w:val="18"/>
          <w:szCs w:val="18"/>
          <w:color w:val="auto"/>
        </w:rPr>
        <w:t>subordinated tranches. The debt issued by the Fund is recorded at fair value using an income approach, driven by cash flows expected to be received from the portfolio collateral assets. Fair value is determined using current information, notably market yields and projected cash flows of collateral assets based on forecasted default and recovery rates that a market participant would use in determining the current fair value of the liabilities, taking into account the overall credit quality of the issuers and the Manager’s past experience in managing similar securities. Market yields, default rates and recovery rates used in the Manager’s estimate of fair value vary based on the nature of the investments in the underlying collateral pools. In periods of rising market yields, default rates and lower debt recovery rates, the fair value, and therefore the carrying value, of the liabilities may be adversely affected. Once the undiscounted cash flows of the collateral assets have been determined, the Manager applies appropriate discount rates that a market participant would use to determine the discounted cash flow valuation of the notes.</w:t>
      </w:r>
    </w:p>
    <w:p>
      <w:pPr>
        <w:spacing w:after="0" w:line="85" w:lineRule="exact"/>
        <w:rPr>
          <w:sz w:val="20"/>
          <w:szCs w:val="20"/>
          <w:color w:val="auto"/>
        </w:rPr>
      </w:pPr>
    </w:p>
    <w:p>
      <w:pPr>
        <w:ind w:left="1260" w:right="1520" w:firstLine="360"/>
        <w:spacing w:after="0" w:line="266" w:lineRule="auto"/>
        <w:rPr>
          <w:sz w:val="20"/>
          <w:szCs w:val="20"/>
          <w:color w:val="auto"/>
        </w:rPr>
      </w:pPr>
      <w:r>
        <w:rPr>
          <w:rFonts w:ascii="Times New Roman" w:cs="Times New Roman" w:eastAsia="Times New Roman" w:hAnsi="Times New Roman"/>
          <w:sz w:val="18"/>
          <w:szCs w:val="18"/>
          <w:color w:val="auto"/>
        </w:rPr>
        <w:t>The carrying value of investments held and debt issued by the Fund is also their fair value. The following tables present the fair value hierarchy levels of investments held and debt issued by the Fund, which are measured at fair value as of December 31, 2016 and December 31, 2015:</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p>
      <w:pPr>
        <w:spacing w:after="0" w:line="26" w:lineRule="exact"/>
        <w:rPr>
          <w:sz w:val="20"/>
          <w:szCs w:val="20"/>
          <w:color w:val="auto"/>
        </w:rPr>
      </w:pPr>
    </w:p>
    <w:tbl>
      <w:tblPr>
        <w:tblLayout w:type="fixed"/>
        <w:tblInd w:w="1260" w:type="dxa"/>
        <w:tblCellMar>
          <w:top w:w="0" w:type="dxa"/>
          <w:left w:w="0" w:type="dxa"/>
          <w:bottom w:w="0" w:type="dxa"/>
          <w:right w:w="0" w:type="dxa"/>
        </w:tblCellMar>
      </w:tblPr>
      <w:tr>
        <w:trPr>
          <w:trHeight w:val="144"/>
        </w:trPr>
        <w:tc>
          <w:tcPr>
            <w:tcW w:w="220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r>
      <w:tr>
        <w:trPr>
          <w:trHeight w:val="162"/>
        </w:trPr>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2"/>
        </w:trPr>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0</wp:posOffset>
            </wp:positionV>
            <wp:extent cx="13716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0</wp:posOffset>
            </wp:positionV>
            <wp:extent cx="13716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0</wp:posOffset>
            </wp:positionV>
            <wp:extent cx="13716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0</wp:posOffset>
            </wp:positionV>
            <wp:extent cx="13716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96"/>
        </w:trPr>
        <w:tc>
          <w:tcPr>
            <w:tcW w:w="3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$176,684,976</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$176,684,976</w:t>
            </w:r>
          </w:p>
        </w:tc>
      </w:tr>
      <w:tr>
        <w:trPr>
          <w:trHeight w:val="324"/>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CLO Fund Liabilities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$208,812,164</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$208,812,164</w:t>
            </w:r>
          </w:p>
        </w:tc>
      </w:tr>
      <w:tr>
        <w:trPr>
          <w:trHeight w:val="311"/>
        </w:trPr>
        <w:tc>
          <w:tcPr>
            <w:tcW w:w="3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4"/>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3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$246,766,505</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$246,766,505</w:t>
            </w:r>
          </w:p>
        </w:tc>
      </w:tr>
      <w:tr>
        <w:trPr>
          <w:trHeight w:val="324"/>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CLO Fund Liabilities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$261,433,473</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$261,433,473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-633730</wp:posOffset>
            </wp:positionV>
            <wp:extent cx="13716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-633730</wp:posOffset>
            </wp:positionV>
            <wp:extent cx="13716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-633730</wp:posOffset>
            </wp:positionV>
            <wp:extent cx="13716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-633730</wp:posOffset>
            </wp:positionV>
            <wp:extent cx="1371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5" w:lineRule="exact"/>
        <w:rPr>
          <w:sz w:val="20"/>
          <w:szCs w:val="20"/>
          <w:color w:val="auto"/>
        </w:rPr>
      </w:pPr>
    </w:p>
    <w:p>
      <w:pPr>
        <w:ind w:left="1260" w:right="13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show a reconciliation of the beginning and ending fair value measurements for Level 3 assets using significant unobservable inputs: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64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64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246,766,505</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Purchase of investments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82,554,227</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and redemption of investments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(159,676,298)</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Net Realized and Unrealized (losses)</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7,040,542</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64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176,684,976</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440" w:type="dxa"/>
            <w:vAlign w:val="bottom"/>
            <w:gridSpan w:val="2"/>
            <w:vMerge w:val="restart"/>
          </w:tcPr>
          <w:p>
            <w:pPr>
              <w:spacing w:after="0" w:line="205" w:lineRule="exact"/>
              <w:rPr>
                <w:sz w:val="20"/>
                <w:szCs w:val="20"/>
                <w:color w:val="auto"/>
              </w:rPr>
            </w:pPr>
            <w:r>
              <w:rPr>
                <w:rFonts w:ascii="Times New Roman" w:cs="Times New Roman" w:eastAsia="Times New Roman" w:hAnsi="Times New Roman"/>
                <w:sz w:val="18"/>
                <w:szCs w:val="18"/>
                <w:color w:val="auto"/>
              </w:rPr>
              <w:t>Changes in unrealized appreciation (depreciation) included in earnings related to</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20" w:type="dxa"/>
            <w:vAlign w:val="bottom"/>
          </w:tcPr>
          <w:p>
            <w:pPr>
              <w:spacing w:after="0"/>
              <w:rPr>
                <w:sz w:val="14"/>
                <w:szCs w:val="14"/>
                <w:color w:val="auto"/>
              </w:rPr>
            </w:pPr>
          </w:p>
        </w:tc>
        <w:tc>
          <w:tcPr>
            <w:tcW w:w="6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 still held at reporting date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3,636,405</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644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S-39</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-994410</wp:posOffset>
            </wp:positionV>
            <wp:extent cx="407352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07352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-1543050</wp:posOffset>
            </wp:positionV>
            <wp:extent cx="406463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14" w:right="919" w:bottom="1440" w:gutter="0" w:footer="0" w:header="0"/>
        </w:sectPr>
      </w:pPr>
    </w:p>
    <w:bookmarkStart w:id="186" w:name="page187"/>
    <w:bookmarkEnd w:id="186"/>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INVESTMENTS – (continued)</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4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273,373,948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93,243,381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and redemption of investments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(113,199,395)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(losses)</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(6,651,429)</w:t>
            </w:r>
          </w:p>
        </w:tc>
        <w:tc>
          <w:tcPr>
            <w:tcW w:w="0" w:type="dxa"/>
            <w:vAlign w:val="bottom"/>
          </w:tcPr>
          <w:p>
            <w:pPr>
              <w:spacing w:after="0"/>
              <w:rPr>
                <w:sz w:val="1"/>
                <w:szCs w:val="1"/>
                <w:color w:val="auto"/>
              </w:rPr>
            </w:pPr>
          </w:p>
        </w:tc>
      </w:tr>
      <w:tr>
        <w:trPr>
          <w:trHeight w:val="237"/>
        </w:trPr>
        <w:tc>
          <w:tcPr>
            <w:tcW w:w="6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246,766,505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Changes in unrealized appreciation (depreciation) included in earnings related to</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 still held at reporting date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(5,313,969)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-445135</wp:posOffset>
            </wp:positionV>
            <wp:extent cx="40817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-1019810</wp:posOffset>
            </wp:positionV>
            <wp:extent cx="407352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299"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2016, the Manager’s Level 3 portfolio investments had the following valuation techniques and significant inputs:</w:t>
      </w:r>
    </w:p>
    <w:p>
      <w:pPr>
        <w:spacing w:after="0" w:line="61"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Range of Inputs</w:t>
            </w:r>
          </w:p>
        </w:tc>
      </w:tr>
      <w:tr>
        <w:trPr>
          <w:trHeight w:val="201"/>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3,787,243</w:t>
            </w:r>
          </w:p>
        </w:tc>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Income Approach</w:t>
            </w:r>
          </w:p>
        </w:tc>
        <w:tc>
          <w:tcPr>
            <w:tcW w:w="2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Implied Effective Discount Rate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 – 7.89%</w:t>
            </w:r>
          </w:p>
        </w:tc>
      </w:tr>
      <w:tr>
        <w:trPr>
          <w:trHeight w:val="203"/>
        </w:trPr>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8"/>
              </w:rPr>
              <w:t>166,915,409</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Market Quote</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Third-Party Bid-Ask Mid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 – 102.0%</w:t>
            </w:r>
          </w:p>
        </w:tc>
      </w:tr>
      <w:tr>
        <w:trPr>
          <w:trHeight w:val="203"/>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150,524</w:t>
            </w:r>
          </w:p>
        </w:tc>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Market Quote</w:t>
            </w:r>
          </w:p>
        </w:tc>
        <w:tc>
          <w:tcPr>
            <w:tcW w:w="2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Third-Party Bid-Ask Mid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6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4"/>
              </w:rPr>
              <w:t>– 2.50</w:t>
            </w: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5,831,800</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Discounted Cash Flow</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5"/>
              </w:rPr>
              <w:t>– 5.57%</w:t>
            </w:r>
          </w:p>
        </w:tc>
      </w:tr>
      <w:tr>
        <w:trPr>
          <w:trHeight w:val="20"/>
        </w:trPr>
        <w:tc>
          <w:tcPr>
            <w:tcW w:w="1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221"/>
        </w:trPr>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176,684,976</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-179705</wp:posOffset>
            </wp:positionV>
            <wp:extent cx="521398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-711200</wp:posOffset>
            </wp:positionV>
            <wp:extent cx="6858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-711200</wp:posOffset>
            </wp:positionV>
            <wp:extent cx="6858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-711200</wp:posOffset>
            </wp:positionV>
            <wp:extent cx="6858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-711200</wp:posOffset>
            </wp:positionV>
            <wp:extent cx="6858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2015, the Manager’s Level 3 portfolio investments had the following valuation techniques and significant inputs:</w:t>
      </w:r>
    </w:p>
    <w:p>
      <w:pPr>
        <w:spacing w:after="0" w:line="74"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0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Range of Inputs</w:t>
            </w:r>
          </w:p>
        </w:tc>
      </w:tr>
      <w:tr>
        <w:trPr>
          <w:trHeight w:val="201"/>
        </w:trPr>
        <w:tc>
          <w:tcPr>
            <w:tcW w:w="1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 Securities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234,403,150</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Market Quote</w:t>
            </w:r>
          </w:p>
        </w:tc>
        <w:tc>
          <w:tcPr>
            <w:tcW w:w="2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Third-Party Bid-Ask Mid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10.8% – 101.0%</w:t>
            </w:r>
          </w:p>
        </w:tc>
      </w:tr>
      <w:tr>
        <w:trPr>
          <w:trHeight w:val="203"/>
        </w:trPr>
        <w:tc>
          <w:tcPr>
            <w:tcW w:w="1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00" w:type="dxa"/>
            <w:vAlign w:val="bottom"/>
          </w:tcPr>
          <w:p>
            <w:pPr>
              <w:spacing w:after="0"/>
              <w:rPr>
                <w:sz w:val="17"/>
                <w:szCs w:val="17"/>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Market Quote</w:t>
            </w:r>
          </w:p>
        </w:tc>
        <w:tc>
          <w:tcPr>
            <w:tcW w:w="2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Third-Party Bid-Ask Mid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0.13 – 1.0</w:t>
            </w:r>
          </w:p>
        </w:tc>
      </w:tr>
      <w:tr>
        <w:trPr>
          <w:trHeight w:val="216"/>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CLO Fund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12,360,525</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Discounted Cash Flow</w:t>
            </w:r>
          </w:p>
        </w:tc>
        <w:tc>
          <w:tcPr>
            <w:tcW w:w="2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Discount Rate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3.82% – 5.89%</w:t>
            </w:r>
          </w:p>
        </w:tc>
      </w:tr>
      <w:tr>
        <w:trPr>
          <w:trHeight w:val="221"/>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246,766,505</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-582295</wp:posOffset>
            </wp:positionV>
            <wp:extent cx="6858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-582295</wp:posOffset>
            </wp:positionV>
            <wp:extent cx="6858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-582295</wp:posOffset>
            </wp:positionV>
            <wp:extent cx="6858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-582295</wp:posOffset>
            </wp:positionV>
            <wp:extent cx="6858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show a reconciliation of the beginning and ending fair value measurements for Level 3 liabilities using significant unobservable inputs:</w:t>
      </w:r>
    </w:p>
    <w:p>
      <w:pPr>
        <w:spacing w:after="0" w:line="8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62"/>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4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Pr>
          <w:p>
            <w:pPr>
              <w:spacing w:after="0"/>
              <w:rPr>
                <w:sz w:val="16"/>
                <w:szCs w:val="16"/>
                <w:color w:val="auto"/>
              </w:rPr>
            </w:pPr>
          </w:p>
        </w:tc>
      </w:tr>
      <w:tr>
        <w:trPr>
          <w:trHeight w:val="215"/>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261,433,473</w:t>
            </w:r>
          </w:p>
        </w:tc>
        <w:tc>
          <w:tcPr>
            <w:tcW w:w="60" w:type="dxa"/>
            <w:vAlign w:val="bottom"/>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Repayments</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(54,179,244)</w:t>
            </w:r>
          </w:p>
        </w:tc>
      </w:tr>
      <w:tr>
        <w:trPr>
          <w:trHeight w:val="243"/>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1,557,935</w:t>
            </w:r>
          </w:p>
        </w:tc>
        <w:tc>
          <w:tcPr>
            <w:tcW w:w="60" w:type="dxa"/>
            <w:vAlign w:val="bottom"/>
          </w:tcPr>
          <w:p>
            <w:pPr>
              <w:spacing w:after="0"/>
              <w:rPr>
                <w:sz w:val="21"/>
                <w:szCs w:val="21"/>
                <w:color w:val="auto"/>
              </w:rPr>
            </w:pPr>
          </w:p>
        </w:tc>
      </w:tr>
      <w:tr>
        <w:trPr>
          <w:trHeight w:val="277"/>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208,812,164</w:t>
            </w:r>
          </w:p>
        </w:tc>
        <w:tc>
          <w:tcPr>
            <w:tcW w:w="60" w:type="dxa"/>
            <w:vAlign w:val="bottom"/>
          </w:tcPr>
          <w:p>
            <w:pPr>
              <w:spacing w:after="0"/>
              <w:rPr>
                <w:sz w:val="24"/>
                <w:szCs w:val="24"/>
                <w:color w:val="auto"/>
              </w:rPr>
            </w:pPr>
          </w:p>
        </w:tc>
      </w:tr>
      <w:tr>
        <w:trPr>
          <w:trHeight w:val="151"/>
        </w:trPr>
        <w:tc>
          <w:tcPr>
            <w:tcW w:w="650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Changes in unrealized appreciation (depreciation) included in earnings related to</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234"/>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still held at reporting date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1,557,935</w:t>
            </w:r>
          </w:p>
        </w:tc>
        <w:tc>
          <w:tcPr>
            <w:tcW w:w="60" w:type="dxa"/>
            <w:vAlign w:val="bottom"/>
          </w:tcPr>
          <w:p>
            <w:pPr>
              <w:spacing w:after="0"/>
              <w:rPr>
                <w:sz w:val="20"/>
                <w:szCs w:val="20"/>
                <w:color w:val="auto"/>
              </w:rPr>
            </w:pPr>
          </w:p>
        </w:tc>
      </w:tr>
      <w:tr>
        <w:trPr>
          <w:trHeight w:val="27"/>
        </w:trPr>
        <w:tc>
          <w:tcPr>
            <w:tcW w:w="6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-899795</wp:posOffset>
            </wp:positionV>
            <wp:extent cx="410781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INVESTMENTS – (continued)</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62"/>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290,699,426</w:t>
            </w:r>
          </w:p>
        </w:tc>
        <w:tc>
          <w:tcPr>
            <w:tcW w:w="60" w:type="dxa"/>
            <w:vAlign w:val="bottom"/>
          </w:tcPr>
          <w:p>
            <w:pPr>
              <w:spacing w:after="0"/>
              <w:rPr>
                <w:sz w:val="21"/>
                <w:szCs w:val="21"/>
                <w:color w:val="auto"/>
              </w:rPr>
            </w:pPr>
          </w:p>
        </w:tc>
      </w:tr>
      <w:tr>
        <w:trPr>
          <w:trHeight w:val="257"/>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Repayments</w:t>
            </w: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(23,002,449)</w:t>
            </w:r>
          </w:p>
        </w:tc>
      </w:tr>
      <w:tr>
        <w:trPr>
          <w:trHeight w:val="264"/>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(6,263,504)</w:t>
            </w:r>
          </w:p>
        </w:tc>
        <w:tc>
          <w:tcPr>
            <w:tcW w:w="60" w:type="dxa"/>
            <w:vAlign w:val="bottom"/>
          </w:tcPr>
          <w:p>
            <w:pPr>
              <w:spacing w:after="0"/>
              <w:rPr>
                <w:sz w:val="22"/>
                <w:szCs w:val="22"/>
                <w:color w:val="auto"/>
              </w:rPr>
            </w:pPr>
          </w:p>
        </w:tc>
      </w:tr>
      <w:tr>
        <w:trPr>
          <w:trHeight w:val="304"/>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261,433,473</w:t>
            </w:r>
          </w:p>
        </w:tc>
        <w:tc>
          <w:tcPr>
            <w:tcW w:w="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64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Changes in unrealized appreciation included in earnings related to liabilities still held</w:t>
            </w: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reporting date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(6,263,504)</w:t>
            </w:r>
          </w:p>
        </w:tc>
        <w:tc>
          <w:tcPr>
            <w:tcW w:w="60" w:type="dxa"/>
            <w:vAlign w:val="bottom"/>
          </w:tcPr>
          <w:p>
            <w:pPr>
              <w:spacing w:after="0"/>
              <w:rPr>
                <w:sz w:val="20"/>
                <w:szCs w:val="20"/>
                <w:color w:val="auto"/>
              </w:rPr>
            </w:pPr>
          </w:p>
        </w:tc>
      </w:tr>
      <w:tr>
        <w:trPr>
          <w:trHeight w:val="41"/>
        </w:trPr>
        <w:tc>
          <w:tcPr>
            <w:tcW w:w="20" w:type="dxa"/>
            <w:vAlign w:val="bottom"/>
          </w:tcPr>
          <w:p>
            <w:pPr>
              <w:spacing w:after="0"/>
              <w:rPr>
                <w:sz w:val="3"/>
                <w:szCs w:val="3"/>
                <w:color w:val="auto"/>
              </w:rPr>
            </w:pPr>
          </w:p>
        </w:tc>
        <w:tc>
          <w:tcPr>
            <w:tcW w:w="6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-1002665</wp:posOffset>
            </wp:positionV>
            <wp:extent cx="410781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45"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140" w:lineRule="exact"/>
        <w:rPr>
          <w:sz w:val="20"/>
          <w:szCs w:val="20"/>
          <w:color w:val="auto"/>
        </w:rPr>
      </w:pPr>
    </w:p>
    <w:p>
      <w:pPr>
        <w:ind w:left="1980" w:right="839" w:hanging="352"/>
        <w:spacing w:after="0" w:line="282"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the Fund has the ability to access</w:t>
      </w:r>
    </w:p>
    <w:p>
      <w:pPr>
        <w:spacing w:after="0" w:line="134" w:lineRule="exact"/>
        <w:rPr>
          <w:rFonts w:ascii="Times New Roman" w:cs="Times New Roman" w:eastAsia="Times New Roman" w:hAnsi="Times New Roman"/>
          <w:sz w:val="18"/>
          <w:szCs w:val="18"/>
          <w:color w:val="auto"/>
        </w:rPr>
      </w:pPr>
    </w:p>
    <w:p>
      <w:pPr>
        <w:ind w:left="1980" w:right="899" w:hanging="352"/>
        <w:spacing w:after="0" w:line="282"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in markets that are not active or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1980" w:right="1099" w:hanging="352"/>
        <w:spacing w:after="0" w:line="282"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54" w:lineRule="exact"/>
        <w:rPr>
          <w:sz w:val="20"/>
          <w:szCs w:val="20"/>
          <w:color w:val="auto"/>
        </w:rPr>
      </w:pPr>
    </w:p>
    <w:p>
      <w:pPr>
        <w:jc w:val="both"/>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The Fund’s debt is presented at fair value with the difference between principal and fair value recorded as unrealized gain/loss. The par amount of the Fund’s debt is approximately $220 million and $274 million as of December 31, 2016 and December 31, 2015, respectively.</w:t>
      </w:r>
    </w:p>
    <w:p>
      <w:pPr>
        <w:spacing w:after="0" w:line="6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Manager has determined that, although the junior tranches have certain characteristics of equity, they should be accounted for and disclosed as debt on the Fund’s Statement of Net Assets, as the subordinated and income notes have a stated maturity indicating a date for which they are mandatorily redeemable. The preference shares are also classified as debt, as they are mandatorily redeemable upon liquidation or termination of the Fund.</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08" w:lineRule="exact"/>
        <w:rPr>
          <w:sz w:val="20"/>
          <w:szCs w:val="20"/>
          <w:color w:val="auto"/>
        </w:rPr>
      </w:pPr>
    </w:p>
    <w:p>
      <w:pPr>
        <w:jc w:val="both"/>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Under the current laws, the Fund is not subject to net income taxation in the United States or the Cayman Islands. Accordingly, no provision for income taxes has been made in the accompanying financial statements.</w:t>
      </w:r>
    </w:p>
    <w:p>
      <w:pPr>
        <w:spacing w:after="0" w:line="5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Pursuant to ASC Topic 740,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Fund adopted the provisions of Financial Accounting Standards Board (“FASB”) relating to accounting for uncertainty in income taxes which clarifies the accounting for income taxes by prescribing the minimum recognition threshold a tax position must meet before being recognized in the financial statements and applies to all open tax years as of the effective date. As of December 31, 2016 and 2015 there was no impact to the financial statements as a result of the Fund’s accounting for uncertainty in income taxes. The Fund does not have any unrecognized tax benefits or liabilities for the years ended December 31, 2016, 2015 and 2014. Also, the Fund recognizes interest and, if applicable, penalties for any uncertain tax positions, as a component of income tax expense. No interest or penalty expense was recorded by the Fund for the years ended December 31, 2016, 2015 and 2014.</w:t>
      </w: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KATONAH 2007-I CLO LTD.</w:t>
      </w:r>
    </w:p>
    <w:p>
      <w:pPr>
        <w:spacing w:after="0" w:line="17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0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On January 23, 2008, the Fund issued $323.9 million of notes or debt securities, consisting of the Class A-1L Floating Rate Notes, the Class A-2L Floating Rate Notes, the Class A-3L Floating Rate Notes, the Class B-1L Floating Rate Notes, the Class B-2L Floating Rate Notes and the preferred shares. The notes were issued pursuant to the Indenture. The table below sets forth certain information for each outstanding class of debt securities issued pursuant to the Indenture.</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0"/>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Debt Security</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A-1L Floating</w:t>
            </w: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8"/>
        </w:trPr>
        <w:tc>
          <w:tcPr>
            <w:tcW w:w="20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Notes</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$122,686,300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$122,686,300</w:t>
            </w:r>
          </w:p>
        </w:tc>
        <w:tc>
          <w:tcPr>
            <w:tcW w:w="14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LIBOR + 0.85%</w:t>
            </w:r>
          </w:p>
        </w:tc>
        <w:tc>
          <w:tcPr>
            <w:tcW w:w="130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April 23,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$122,673,114</w:t>
            </w:r>
          </w:p>
        </w:tc>
      </w:tr>
      <w:tr>
        <w:trPr>
          <w:trHeight w:val="225"/>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A-2L Floating</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1"/>
        </w:trPr>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Rate Notes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26,000,000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26,000,000</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LIBOR + 1.50%</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April 23,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26,062,401</w:t>
            </w:r>
          </w:p>
        </w:tc>
      </w:tr>
      <w:tr>
        <w:trPr>
          <w:trHeight w:val="232"/>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A-3L Floating</w:t>
            </w:r>
          </w:p>
        </w:tc>
        <w:tc>
          <w:tcPr>
            <w:tcW w:w="10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8"/>
        </w:trPr>
        <w:tc>
          <w:tcPr>
            <w:tcW w:w="20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Notes</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18,000,000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18,000,000</w:t>
            </w:r>
          </w:p>
        </w:tc>
        <w:tc>
          <w:tcPr>
            <w:tcW w:w="14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LIBOR + 2.00%</w:t>
            </w:r>
          </w:p>
        </w:tc>
        <w:tc>
          <w:tcPr>
            <w:tcW w:w="130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April 23,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18,059,400</w:t>
            </w:r>
          </w:p>
        </w:tc>
      </w:tr>
      <w:tr>
        <w:trPr>
          <w:trHeight w:val="225"/>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B-1L Floating</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1"/>
        </w:trPr>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Rate Notes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11,000,000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11,000,000</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LIBOR + 3.00%</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April 23,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11,025,300</w:t>
            </w:r>
          </w:p>
        </w:tc>
      </w:tr>
      <w:tr>
        <w:trPr>
          <w:trHeight w:val="232"/>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B-2L Floating</w:t>
            </w:r>
          </w:p>
        </w:tc>
        <w:tc>
          <w:tcPr>
            <w:tcW w:w="10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8"/>
        </w:trPr>
        <w:tc>
          <w:tcPr>
            <w:tcW w:w="20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Notes</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10,500,000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10,500,000</w:t>
            </w:r>
          </w:p>
        </w:tc>
        <w:tc>
          <w:tcPr>
            <w:tcW w:w="14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LIBOR + 5.00%</w:t>
            </w:r>
          </w:p>
        </w:tc>
        <w:tc>
          <w:tcPr>
            <w:tcW w:w="130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April 23,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10,538,850</w:t>
            </w:r>
          </w:p>
        </w:tc>
      </w:tr>
      <w:tr>
        <w:trPr>
          <w:trHeight w:val="263"/>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31,411,736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31,411,736</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April 23,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20,453,099</w:t>
            </w:r>
          </w:p>
        </w:tc>
      </w:tr>
      <w:tr>
        <w:trPr>
          <w:trHeight w:val="20"/>
        </w:trPr>
        <w:tc>
          <w:tcPr>
            <w:tcW w:w="1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84"/>
        </w:trPr>
        <w:tc>
          <w:tcPr>
            <w:tcW w:w="17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$219,598,036</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$219,598,036</w:t>
            </w: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$208,812,164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-187960</wp:posOffset>
            </wp:positionV>
            <wp:extent cx="45796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-1868805</wp:posOffset>
            </wp:positionV>
            <wp:extent cx="13716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-1868805</wp:posOffset>
            </wp:positionV>
            <wp:extent cx="13716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-1868805</wp:posOffset>
            </wp:positionV>
            <wp:extent cx="13716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-1868805</wp:posOffset>
            </wp:positionV>
            <wp:extent cx="13716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-1868805</wp:posOffset>
            </wp:positionV>
            <wp:extent cx="13716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During 2016 and 2015, approximately $54 million and $23 million of the Class A-1L Floating Rate Notes was repaid in the normal course of business of the Fund, respectively.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2016 and 2015 the Fund had no commitments to fund investments.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CAPITALIZATION</w:t>
      </w:r>
    </w:p>
    <w:p>
      <w:pPr>
        <w:spacing w:after="0" w:line="108" w:lineRule="exact"/>
        <w:rPr>
          <w:sz w:val="20"/>
          <w:szCs w:val="20"/>
          <w:color w:val="auto"/>
        </w:rPr>
      </w:pPr>
    </w:p>
    <w:p>
      <w:pPr>
        <w:ind w:left="1260" w:right="979" w:firstLine="360"/>
        <w:spacing w:after="0" w:line="255" w:lineRule="auto"/>
        <w:rPr>
          <w:sz w:val="20"/>
          <w:szCs w:val="20"/>
          <w:color w:val="auto"/>
        </w:rPr>
      </w:pPr>
      <w:r>
        <w:rPr>
          <w:rFonts w:ascii="Times New Roman" w:cs="Times New Roman" w:eastAsia="Times New Roman" w:hAnsi="Times New Roman"/>
          <w:sz w:val="18"/>
          <w:szCs w:val="18"/>
          <w:color w:val="auto"/>
        </w:rPr>
        <w:t>The authorized share capital of the Fund is $32,250, consisting of 250 ordinary shares of $1.00 par value, each of which are issued and fully paid, and 32,000,000 preferred shares, 31,411,736 of which are issued and fully paid. The ordinary shares that have been issued are held by Maples Finance Limited, a licensed trust company incorporated in the Cayman Islands, as the trustee pursuant to the terms of a charitable trust. The preferred shares that have been issued by the Fund are owned by KCAP Financial. The preferred shares are classified as debt in the Fund’s financial statements, as they are mandatorily redeemable upon liquidation or termination of the Fund.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08" w:lineRule="exact"/>
        <w:rPr>
          <w:sz w:val="20"/>
          <w:szCs w:val="20"/>
          <w:color w:val="auto"/>
        </w:rPr>
      </w:pPr>
    </w:p>
    <w:p>
      <w:pPr>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The Fund has evaluated events and transactions occurring subsequent to December 31, 2016 for items that should potentially be recognized or disclosed in these financial statements. Management has determined that there are no material subsequent events that would require adjustment to, or disclosure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08" w:lineRule="exact"/>
        <w:rPr>
          <w:sz w:val="20"/>
          <w:szCs w:val="20"/>
          <w:color w:val="auto"/>
        </w:rPr>
      </w:pPr>
    </w:p>
    <w:p>
      <w:pPr>
        <w:ind w:left="1260" w:right="1399" w:firstLine="360"/>
        <w:spacing w:after="0" w:line="266" w:lineRule="auto"/>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20" w:type="dxa"/>
            <w:vAlign w:val="bottom"/>
            <w:gridSpan w:val="68"/>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0"/>
        </w:trPr>
        <w:tc>
          <w:tcPr>
            <w:tcW w:w="7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gridSpan w:val="4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540" w:type="dxa"/>
            <w:vAlign w:val="bottom"/>
            <w:tcBorders>
              <w:bottom w:val="single" w:sz="8" w:color="auto"/>
            </w:tcBorders>
            <w:gridSpan w:val="5"/>
          </w:tcPr>
          <w:p>
            <w:pPr>
              <w:spacing w:after="0"/>
              <w:rPr>
                <w:sz w:val="2"/>
                <w:szCs w:val="2"/>
                <w:color w:val="auto"/>
              </w:rPr>
            </w:pPr>
          </w:p>
        </w:tc>
        <w:tc>
          <w:tcPr>
            <w:tcW w:w="220" w:type="dxa"/>
            <w:vAlign w:val="bottom"/>
          </w:tcPr>
          <w:p>
            <w:pPr>
              <w:spacing w:after="0"/>
              <w:rPr>
                <w:sz w:val="2"/>
                <w:szCs w:val="2"/>
                <w:color w:val="auto"/>
              </w:rPr>
            </w:pPr>
          </w:p>
        </w:tc>
        <w:tc>
          <w:tcPr>
            <w:tcW w:w="7460" w:type="dxa"/>
            <w:vAlign w:val="bottom"/>
            <w:tcBorders>
              <w:bottom w:val="single" w:sz="8" w:color="auto"/>
            </w:tcBorders>
            <w:gridSpan w:val="6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0" w:type="dxa"/>
            <w:vAlign w:val="bottom"/>
            <w:gridSpan w:val="2"/>
            <w:vMerge w:val="restart"/>
          </w:tcPr>
          <w:p>
            <w:pPr>
              <w:spacing w:after="0"/>
              <w:rPr>
                <w:sz w:val="11"/>
                <w:szCs w:val="11"/>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rPr>
            </w:pPr>
            <w:hyperlink r:id="rId739">
              <w:r>
                <w:rPr>
                  <w:rFonts w:ascii="Times New Roman" w:cs="Times New Roman" w:eastAsia="Times New Roman" w:hAnsi="Times New Roman"/>
                  <w:sz w:val="18"/>
                  <w:szCs w:val="18"/>
                  <w:color w:val="0000EE"/>
                </w:rPr>
                <w:t>3.1</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60" w:type="dxa"/>
            <w:vAlign w:val="bottom"/>
            <w:gridSpan w:val="18"/>
            <w:vMerge w:val="restart"/>
          </w:tcPr>
          <w:p>
            <w:pPr>
              <w:spacing w:after="0"/>
              <w:rPr>
                <w:rFonts w:ascii="Times New Roman" w:cs="Times New Roman" w:eastAsia="Times New Roman" w:hAnsi="Times New Roman"/>
                <w:sz w:val="18"/>
                <w:szCs w:val="18"/>
                <w:color w:val="0000EE"/>
                <w:w w:val="99"/>
              </w:rPr>
            </w:pPr>
            <w:hyperlink r:id="rId739">
              <w:r>
                <w:rPr>
                  <w:rFonts w:ascii="Times New Roman" w:cs="Times New Roman" w:eastAsia="Times New Roman" w:hAnsi="Times New Roman"/>
                  <w:sz w:val="18"/>
                  <w:szCs w:val="18"/>
                  <w:color w:val="0000EE"/>
                  <w:w w:val="99"/>
                </w:rPr>
                <w:t>Form of Certificate of Incorporation of the Company.</w:t>
              </w:r>
            </w:hyperlink>
          </w:p>
        </w:tc>
        <w:tc>
          <w:tcPr>
            <w:tcW w:w="140" w:type="dxa"/>
            <w:vAlign w:val="bottom"/>
            <w:tcBorders>
              <w:bottom w:val="single" w:sz="8" w:color="0000EE"/>
            </w:tcBorders>
            <w:gridSpan w:val="2"/>
          </w:tcPr>
          <w:p>
            <w:pPr>
              <w:jc w:val="right"/>
              <w:spacing w:after="0" w:line="115" w:lineRule="exact"/>
              <w:rPr>
                <w:rFonts w:ascii="Times New Roman" w:cs="Times New Roman" w:eastAsia="Times New Roman" w:hAnsi="Times New Roman"/>
                <w:sz w:val="12"/>
                <w:szCs w:val="12"/>
                <w:color w:val="0000EE"/>
                <w:w w:val="85"/>
              </w:rPr>
            </w:pPr>
            <w:hyperlink r:id="rId739">
              <w:r>
                <w:rPr>
                  <w:rFonts w:ascii="Times New Roman" w:cs="Times New Roman" w:eastAsia="Times New Roman" w:hAnsi="Times New Roman"/>
                  <w:sz w:val="12"/>
                  <w:szCs w:val="12"/>
                  <w:color w:val="0000EE"/>
                  <w:w w:val="85"/>
                </w:rPr>
                <w:t>(1)</w:t>
              </w:r>
            </w:hyperlink>
          </w:p>
        </w:tc>
        <w:tc>
          <w:tcPr>
            <w:tcW w:w="420" w:type="dxa"/>
            <w:vAlign w:val="bottom"/>
            <w:gridSpan w:val="3"/>
            <w:vMerge w:val="restart"/>
          </w:tcPr>
          <w:p>
            <w:pPr>
              <w:spacing w:after="0"/>
              <w:rPr>
                <w:sz w:val="11"/>
                <w:szCs w:val="11"/>
                <w:color w:val="auto"/>
              </w:rPr>
            </w:pPr>
          </w:p>
        </w:tc>
        <w:tc>
          <w:tcPr>
            <w:tcW w:w="540" w:type="dxa"/>
            <w:vAlign w:val="bottom"/>
            <w:gridSpan w:val="5"/>
            <w:vMerge w:val="restart"/>
          </w:tcPr>
          <w:p>
            <w:pPr>
              <w:spacing w:after="0"/>
              <w:rPr>
                <w:sz w:val="11"/>
                <w:szCs w:val="11"/>
                <w:color w:val="auto"/>
              </w:rPr>
            </w:pPr>
          </w:p>
        </w:tc>
        <w:tc>
          <w:tcPr>
            <w:tcW w:w="640" w:type="dxa"/>
            <w:vAlign w:val="bottom"/>
            <w:gridSpan w:val="2"/>
            <w:vMerge w:val="restart"/>
          </w:tcPr>
          <w:p>
            <w:pPr>
              <w:spacing w:after="0"/>
              <w:rPr>
                <w:sz w:val="11"/>
                <w:szCs w:val="11"/>
                <w:color w:val="auto"/>
              </w:rPr>
            </w:pPr>
          </w:p>
        </w:tc>
        <w:tc>
          <w:tcPr>
            <w:tcW w:w="220" w:type="dxa"/>
            <w:vAlign w:val="bottom"/>
            <w:gridSpan w:val="4"/>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gridSpan w:val="3"/>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0" w:type="dxa"/>
            <w:vAlign w:val="bottom"/>
            <w:gridSpan w:val="2"/>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220" w:type="dxa"/>
            <w:vAlign w:val="bottom"/>
            <w:gridSpan w:val="3"/>
            <w:vMerge w:val="restart"/>
          </w:tcPr>
          <w:p>
            <w:pPr>
              <w:spacing w:after="0"/>
              <w:rPr>
                <w:sz w:val="11"/>
                <w:szCs w:val="11"/>
                <w:color w:val="auto"/>
              </w:rPr>
            </w:pPr>
          </w:p>
        </w:tc>
        <w:tc>
          <w:tcPr>
            <w:tcW w:w="560" w:type="dxa"/>
            <w:vAlign w:val="bottom"/>
            <w:gridSpan w:val="8"/>
            <w:vMerge w:val="restart"/>
          </w:tcPr>
          <w:p>
            <w:pPr>
              <w:spacing w:after="0"/>
              <w:rPr>
                <w:sz w:val="11"/>
                <w:szCs w:val="11"/>
                <w:color w:val="auto"/>
              </w:rPr>
            </w:pPr>
          </w:p>
        </w:tc>
        <w:tc>
          <w:tcPr>
            <w:tcW w:w="34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60" w:type="dxa"/>
            <w:vAlign w:val="bottom"/>
            <w:tcBorders>
              <w:bottom w:val="single" w:sz="8" w:color="0000EE"/>
            </w:tcBorders>
            <w:gridSpan w:val="18"/>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540" w:type="dxa"/>
            <w:vAlign w:val="bottom"/>
            <w:gridSpan w:val="5"/>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560" w:type="dxa"/>
            <w:vAlign w:val="bottom"/>
            <w:gridSpan w:val="8"/>
            <w:vMerge w:val="continue"/>
          </w:tcPr>
          <w:p>
            <w:pPr>
              <w:spacing w:after="0"/>
              <w:rPr>
                <w:sz w:val="5"/>
                <w:szCs w:val="5"/>
                <w:color w:val="auto"/>
              </w:rPr>
            </w:pPr>
          </w:p>
        </w:tc>
        <w:tc>
          <w:tcPr>
            <w:tcW w:w="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20" w:type="dxa"/>
            <w:vAlign w:val="bottom"/>
            <w:gridSpan w:val="2"/>
            <w:vMerge w:val="restart"/>
          </w:tcPr>
          <w:p>
            <w:pPr>
              <w:spacing w:after="0"/>
              <w:rPr>
                <w:sz w:val="14"/>
                <w:szCs w:val="14"/>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rPr>
            </w:pPr>
            <w:hyperlink r:id="rId740">
              <w:r>
                <w:rPr>
                  <w:rFonts w:ascii="Times New Roman" w:cs="Times New Roman" w:eastAsia="Times New Roman" w:hAnsi="Times New Roman"/>
                  <w:sz w:val="18"/>
                  <w:szCs w:val="18"/>
                  <w:color w:val="0000EE"/>
                </w:rPr>
                <w:t>3.2</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980" w:type="dxa"/>
            <w:vAlign w:val="bottom"/>
            <w:gridSpan w:val="51"/>
            <w:vMerge w:val="restart"/>
          </w:tcPr>
          <w:p>
            <w:pPr>
              <w:spacing w:after="0"/>
              <w:rPr>
                <w:rFonts w:ascii="Times New Roman" w:cs="Times New Roman" w:eastAsia="Times New Roman" w:hAnsi="Times New Roman"/>
                <w:sz w:val="18"/>
                <w:szCs w:val="18"/>
                <w:color w:val="0000EE"/>
              </w:rPr>
            </w:pPr>
            <w:hyperlink r:id="rId740">
              <w:r>
                <w:rPr>
                  <w:rFonts w:ascii="Times New Roman" w:cs="Times New Roman" w:eastAsia="Times New Roman" w:hAnsi="Times New Roman"/>
                  <w:sz w:val="18"/>
                  <w:szCs w:val="18"/>
                  <w:color w:val="0000EE"/>
                </w:rPr>
                <w:t>Second Amended and Restated Bylaws of KCAP Financial, Inc., dated as of December 12, 2018</w:t>
              </w:r>
            </w:hyperlink>
          </w:p>
        </w:tc>
        <w:tc>
          <w:tcPr>
            <w:tcW w:w="140" w:type="dxa"/>
            <w:vAlign w:val="bottom"/>
            <w:tcBorders>
              <w:bottom w:val="single" w:sz="8" w:color="0000EE"/>
            </w:tcBorders>
            <w:gridSpan w:val="3"/>
          </w:tcPr>
          <w:p>
            <w:pPr>
              <w:jc w:val="right"/>
              <w:spacing w:after="0" w:line="149" w:lineRule="exact"/>
              <w:rPr>
                <w:rFonts w:ascii="Times New Roman" w:cs="Times New Roman" w:eastAsia="Times New Roman" w:hAnsi="Times New Roman"/>
                <w:sz w:val="14"/>
                <w:szCs w:val="14"/>
                <w:color w:val="0000EE"/>
                <w:w w:val="73"/>
              </w:rPr>
            </w:pPr>
            <w:hyperlink r:id="rId740">
              <w:r>
                <w:rPr>
                  <w:rFonts w:ascii="Times New Roman" w:cs="Times New Roman" w:eastAsia="Times New Roman" w:hAnsi="Times New Roman"/>
                  <w:sz w:val="14"/>
                  <w:szCs w:val="14"/>
                  <w:color w:val="0000EE"/>
                  <w:w w:val="73"/>
                </w:rPr>
                <w:t>(2)</w:t>
              </w:r>
            </w:hyperlink>
          </w:p>
        </w:tc>
        <w:tc>
          <w:tcPr>
            <w:tcW w:w="340" w:type="dxa"/>
            <w:vAlign w:val="bottom"/>
            <w:gridSpan w:val="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980" w:type="dxa"/>
            <w:vAlign w:val="bottom"/>
            <w:tcBorders>
              <w:bottom w:val="single" w:sz="8" w:color="0000EE"/>
            </w:tcBorders>
            <w:gridSpan w:val="51"/>
            <w:vMerge w:val="continue"/>
          </w:tcPr>
          <w:p>
            <w:pPr>
              <w:spacing w:after="0"/>
              <w:rPr>
                <w:sz w:val="5"/>
                <w:szCs w:val="5"/>
                <w:color w:val="auto"/>
              </w:rPr>
            </w:pPr>
          </w:p>
        </w:tc>
        <w:tc>
          <w:tcPr>
            <w:tcW w:w="140" w:type="dxa"/>
            <w:vAlign w:val="bottom"/>
            <w:gridSpan w:val="3"/>
          </w:tcPr>
          <w:p>
            <w:pPr>
              <w:spacing w:after="0"/>
              <w:rPr>
                <w:sz w:val="5"/>
                <w:szCs w:val="5"/>
                <w:color w:val="auto"/>
              </w:rPr>
            </w:pPr>
          </w:p>
        </w:tc>
        <w:tc>
          <w:tcPr>
            <w:tcW w:w="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0" w:type="dxa"/>
            <w:vAlign w:val="bottom"/>
            <w:gridSpan w:val="2"/>
            <w:vMerge w:val="restart"/>
          </w:tcPr>
          <w:p>
            <w:pPr>
              <w:spacing w:after="0"/>
              <w:rPr>
                <w:sz w:val="17"/>
                <w:szCs w:val="17"/>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rPr>
            </w:pPr>
            <w:hyperlink r:id="rId741">
              <w:r>
                <w:rPr>
                  <w:rFonts w:ascii="Times New Roman" w:cs="Times New Roman" w:eastAsia="Times New Roman" w:hAnsi="Times New Roman"/>
                  <w:sz w:val="18"/>
                  <w:szCs w:val="18"/>
                  <w:color w:val="0000EE"/>
                </w:rPr>
                <w:t>4.1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gridSpan w:val="37"/>
            <w:vMerge w:val="restart"/>
          </w:tcPr>
          <w:p>
            <w:pPr>
              <w:spacing w:after="0"/>
              <w:rPr>
                <w:rFonts w:ascii="Times New Roman" w:cs="Times New Roman" w:eastAsia="Times New Roman" w:hAnsi="Times New Roman"/>
                <w:sz w:val="18"/>
                <w:szCs w:val="18"/>
                <w:color w:val="0000EE"/>
              </w:rPr>
            </w:pPr>
            <w:hyperlink r:id="rId741">
              <w:r>
                <w:rPr>
                  <w:rFonts w:ascii="Times New Roman" w:cs="Times New Roman" w:eastAsia="Times New Roman" w:hAnsi="Times New Roman"/>
                  <w:sz w:val="18"/>
                  <w:szCs w:val="18"/>
                  <w:color w:val="0000EE"/>
                </w:rPr>
                <w:t xml:space="preserve">Specimen certificate of the Company’s common stock, par value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0.01 per share.</w:t>
              </w:r>
            </w:hyperlink>
          </w:p>
        </w:tc>
        <w:tc>
          <w:tcPr>
            <w:tcW w:w="14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73"/>
              </w:rPr>
            </w:pPr>
            <w:hyperlink r:id="rId741">
              <w:r>
                <w:rPr>
                  <w:rFonts w:ascii="Times New Roman" w:cs="Times New Roman" w:eastAsia="Times New Roman" w:hAnsi="Times New Roman"/>
                  <w:sz w:val="14"/>
                  <w:szCs w:val="14"/>
                  <w:color w:val="0000EE"/>
                  <w:w w:val="73"/>
                </w:rPr>
                <w:t>(1)</w:t>
              </w:r>
            </w:hyperlink>
          </w:p>
        </w:tc>
        <w:tc>
          <w:tcPr>
            <w:tcW w:w="40" w:type="dxa"/>
            <w:vAlign w:val="bottom"/>
            <w:gridSpan w:val="2"/>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220" w:type="dxa"/>
            <w:vAlign w:val="bottom"/>
            <w:gridSpan w:val="3"/>
            <w:vMerge w:val="restart"/>
          </w:tcPr>
          <w:p>
            <w:pPr>
              <w:spacing w:after="0"/>
              <w:rPr>
                <w:sz w:val="17"/>
                <w:szCs w:val="17"/>
                <w:color w:val="auto"/>
              </w:rPr>
            </w:pPr>
          </w:p>
        </w:tc>
        <w:tc>
          <w:tcPr>
            <w:tcW w:w="900" w:type="dxa"/>
            <w:vAlign w:val="bottom"/>
            <w:gridSpan w:val="16"/>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80" w:type="dxa"/>
            <w:vAlign w:val="bottom"/>
            <w:tcBorders>
              <w:bottom w:val="single" w:sz="8" w:color="0000EE"/>
            </w:tcBorders>
            <w:gridSpan w:val="37"/>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rPr>
            </w:pPr>
            <w:hyperlink r:id="rId742">
              <w:r>
                <w:rPr>
                  <w:rFonts w:ascii="Times New Roman" w:cs="Times New Roman" w:eastAsia="Times New Roman" w:hAnsi="Times New Roman"/>
                  <w:sz w:val="18"/>
                  <w:szCs w:val="18"/>
                  <w:color w:val="0000EE"/>
                </w:rPr>
                <w:t>4.2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8"/>
            <w:vMerge w:val="restart"/>
          </w:tcPr>
          <w:p>
            <w:pPr>
              <w:spacing w:after="0"/>
              <w:rPr>
                <w:rFonts w:ascii="Times New Roman" w:cs="Times New Roman" w:eastAsia="Times New Roman" w:hAnsi="Times New Roman"/>
                <w:sz w:val="18"/>
                <w:szCs w:val="18"/>
                <w:color w:val="0000EE"/>
                <w:w w:val="99"/>
              </w:rPr>
            </w:pPr>
            <w:hyperlink r:id="rId742">
              <w:r>
                <w:rPr>
                  <w:rFonts w:ascii="Times New Roman" w:cs="Times New Roman" w:eastAsia="Times New Roman" w:hAnsi="Times New Roman"/>
                  <w:sz w:val="18"/>
                  <w:szCs w:val="18"/>
                  <w:color w:val="0000EE"/>
                  <w:w w:val="99"/>
                </w:rPr>
                <w:t>Form of Dividend Reinvestment Plan.</w:t>
              </w:r>
            </w:hyperlink>
          </w:p>
        </w:tc>
        <w:tc>
          <w:tcPr>
            <w:tcW w:w="16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5"/>
              </w:rPr>
            </w:pPr>
            <w:hyperlink r:id="rId742">
              <w:r>
                <w:rPr>
                  <w:rFonts w:ascii="Times New Roman" w:cs="Times New Roman" w:eastAsia="Times New Roman" w:hAnsi="Times New Roman"/>
                  <w:sz w:val="14"/>
                  <w:szCs w:val="14"/>
                  <w:color w:val="0000EE"/>
                  <w:w w:val="85"/>
                </w:rPr>
                <w:t>(3)</w:t>
              </w:r>
            </w:hyperlink>
          </w:p>
        </w:tc>
        <w:tc>
          <w:tcPr>
            <w:tcW w:w="360" w:type="dxa"/>
            <w:vAlign w:val="bottom"/>
            <w:gridSpan w:val="2"/>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40" w:type="dxa"/>
            <w:vAlign w:val="bottom"/>
            <w:gridSpan w:val="9"/>
            <w:vMerge w:val="restart"/>
          </w:tcPr>
          <w:p>
            <w:pPr>
              <w:spacing w:after="0"/>
              <w:rPr>
                <w:sz w:val="15"/>
                <w:szCs w:val="15"/>
                <w:color w:val="auto"/>
              </w:rPr>
            </w:pPr>
          </w:p>
        </w:tc>
        <w:tc>
          <w:tcPr>
            <w:tcW w:w="540" w:type="dxa"/>
            <w:vAlign w:val="bottom"/>
            <w:gridSpan w:val="5"/>
            <w:vMerge w:val="restart"/>
          </w:tcPr>
          <w:p>
            <w:pPr>
              <w:spacing w:after="0"/>
              <w:rPr>
                <w:sz w:val="15"/>
                <w:szCs w:val="15"/>
                <w:color w:val="auto"/>
              </w:rPr>
            </w:pPr>
          </w:p>
        </w:tc>
        <w:tc>
          <w:tcPr>
            <w:tcW w:w="640" w:type="dxa"/>
            <w:vAlign w:val="bottom"/>
            <w:gridSpan w:val="2"/>
            <w:vMerge w:val="restart"/>
          </w:tcPr>
          <w:p>
            <w:pPr>
              <w:spacing w:after="0"/>
              <w:rPr>
                <w:sz w:val="15"/>
                <w:szCs w:val="15"/>
                <w:color w:val="auto"/>
              </w:rPr>
            </w:pPr>
          </w:p>
        </w:tc>
        <w:tc>
          <w:tcPr>
            <w:tcW w:w="220" w:type="dxa"/>
            <w:vAlign w:val="bottom"/>
            <w:gridSpan w:val="4"/>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gridSpan w:val="3"/>
            <w:vMerge w:val="restart"/>
          </w:tcPr>
          <w:p>
            <w:pPr>
              <w:spacing w:after="0"/>
              <w:rPr>
                <w:sz w:val="15"/>
                <w:szCs w:val="15"/>
                <w:color w:val="auto"/>
              </w:rPr>
            </w:pPr>
          </w:p>
        </w:tc>
        <w:tc>
          <w:tcPr>
            <w:tcW w:w="120" w:type="dxa"/>
            <w:vAlign w:val="bottom"/>
            <w:gridSpan w:val="3"/>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00" w:type="dxa"/>
            <w:vAlign w:val="bottom"/>
            <w:gridSpan w:val="1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740" w:type="dxa"/>
            <w:vAlign w:val="bottom"/>
            <w:tcBorders>
              <w:bottom w:val="single" w:sz="8" w:color="0000EE"/>
            </w:tcBorders>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40" w:type="dxa"/>
            <w:vAlign w:val="bottom"/>
            <w:gridSpan w:val="9"/>
            <w:vMerge w:val="continue"/>
          </w:tcPr>
          <w:p>
            <w:pPr>
              <w:spacing w:after="0"/>
              <w:rPr>
                <w:sz w:val="5"/>
                <w:szCs w:val="5"/>
                <w:color w:val="auto"/>
              </w:rPr>
            </w:pPr>
          </w:p>
        </w:tc>
        <w:tc>
          <w:tcPr>
            <w:tcW w:w="540" w:type="dxa"/>
            <w:vAlign w:val="bottom"/>
            <w:gridSpan w:val="5"/>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rPr>
            </w:pPr>
            <w:hyperlink r:id="rId743">
              <w:r>
                <w:rPr>
                  <w:rFonts w:ascii="Times New Roman" w:cs="Times New Roman" w:eastAsia="Times New Roman" w:hAnsi="Times New Roman"/>
                  <w:sz w:val="18"/>
                  <w:szCs w:val="18"/>
                  <w:color w:val="0000EE"/>
                </w:rPr>
                <w:t>4.3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40" w:type="dxa"/>
            <w:vAlign w:val="bottom"/>
            <w:gridSpan w:val="40"/>
            <w:vMerge w:val="restart"/>
          </w:tcPr>
          <w:p>
            <w:pPr>
              <w:spacing w:after="0"/>
              <w:rPr>
                <w:rFonts w:ascii="Times New Roman" w:cs="Times New Roman" w:eastAsia="Times New Roman" w:hAnsi="Times New Roman"/>
                <w:sz w:val="18"/>
                <w:szCs w:val="18"/>
                <w:color w:val="0000EE"/>
                <w:w w:val="99"/>
              </w:rPr>
            </w:pPr>
            <w:hyperlink r:id="rId743">
              <w:r>
                <w:rPr>
                  <w:rFonts w:ascii="Times New Roman" w:cs="Times New Roman" w:eastAsia="Times New Roman" w:hAnsi="Times New Roman"/>
                  <w:sz w:val="18"/>
                  <w:szCs w:val="18"/>
                  <w:color w:val="0000EE"/>
                  <w:w w:val="99"/>
                </w:rPr>
                <w:t>Form of Base Indenture between the Company and U.S. Bank National Association</w:t>
              </w:r>
            </w:hyperlink>
          </w:p>
        </w:tc>
        <w:tc>
          <w:tcPr>
            <w:tcW w:w="140" w:type="dxa"/>
            <w:vAlign w:val="bottom"/>
            <w:tcBorders>
              <w:bottom w:val="single" w:sz="8" w:color="0000EE"/>
            </w:tcBorders>
            <w:gridSpan w:val="2"/>
          </w:tcPr>
          <w:p>
            <w:pPr>
              <w:jc w:val="right"/>
              <w:spacing w:after="0"/>
              <w:rPr>
                <w:rFonts w:ascii="Times New Roman" w:cs="Times New Roman" w:eastAsia="Times New Roman" w:hAnsi="Times New Roman"/>
                <w:sz w:val="14"/>
                <w:szCs w:val="14"/>
                <w:color w:val="0000EE"/>
                <w:w w:val="73"/>
              </w:rPr>
            </w:pPr>
            <w:hyperlink r:id="rId743">
              <w:r>
                <w:rPr>
                  <w:rFonts w:ascii="Times New Roman" w:cs="Times New Roman" w:eastAsia="Times New Roman" w:hAnsi="Times New Roman"/>
                  <w:sz w:val="14"/>
                  <w:szCs w:val="14"/>
                  <w:color w:val="0000EE"/>
                  <w:w w:val="73"/>
                </w:rPr>
                <w:t>(4)</w:t>
              </w:r>
            </w:hyperlink>
          </w:p>
        </w:tc>
        <w:tc>
          <w:tcPr>
            <w:tcW w:w="160" w:type="dxa"/>
            <w:vAlign w:val="bottom"/>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00" w:type="dxa"/>
            <w:vAlign w:val="bottom"/>
            <w:gridSpan w:val="1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40" w:type="dxa"/>
            <w:vAlign w:val="bottom"/>
            <w:tcBorders>
              <w:bottom w:val="single" w:sz="8" w:color="0000EE"/>
            </w:tcBorders>
            <w:gridSpan w:val="40"/>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40" w:type="dxa"/>
            <w:vAlign w:val="bottom"/>
            <w:gridSpan w:val="3"/>
          </w:tcPr>
          <w:p>
            <w:pPr>
              <w:jc w:val="right"/>
              <w:spacing w:after="0"/>
              <w:rPr>
                <w:rFonts w:ascii="Times New Roman" w:cs="Times New Roman" w:eastAsia="Times New Roman" w:hAnsi="Times New Roman"/>
                <w:sz w:val="18"/>
                <w:szCs w:val="18"/>
                <w:color w:val="0000EE"/>
              </w:rPr>
            </w:pPr>
            <w:hyperlink r:id="rId744">
              <w:r>
                <w:rPr>
                  <w:rFonts w:ascii="Times New Roman" w:cs="Times New Roman" w:eastAsia="Times New Roman" w:hAnsi="Times New Roman"/>
                  <w:sz w:val="18"/>
                  <w:szCs w:val="18"/>
                  <w:color w:val="0000EE"/>
                </w:rPr>
                <w:t>4.4</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r:id="rId744">
              <w:r>
                <w:rPr>
                  <w:rFonts w:ascii="Times New Roman" w:cs="Times New Roman" w:eastAsia="Times New Roman" w:hAnsi="Times New Roman"/>
                  <w:sz w:val="18"/>
                  <w:szCs w:val="18"/>
                  <w:color w:val="0000EE"/>
                </w:rPr>
                <w:t>Second Supplemental Indenture between the Company and U.S. Bank National Association relating to</w:t>
              </w:r>
            </w:hyperlink>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40" w:type="dxa"/>
            <w:vAlign w:val="bottom"/>
            <w:tcBorders>
              <w:top w:val="single" w:sz="8" w:color="0000EE"/>
              <w:bottom w:val="single" w:sz="8" w:color="0000EE"/>
            </w:tcBorders>
            <w:gridSpan w:val="4"/>
            <w:vMerge w:val="restart"/>
          </w:tcPr>
          <w:p>
            <w:pPr>
              <w:spacing w:after="0" w:line="196" w:lineRule="exact"/>
              <w:rPr>
                <w:rFonts w:ascii="Times New Roman" w:cs="Times New Roman" w:eastAsia="Times New Roman" w:hAnsi="Times New Roman"/>
                <w:sz w:val="18"/>
                <w:szCs w:val="18"/>
                <w:color w:val="0000EE"/>
                <w:w w:val="99"/>
              </w:rPr>
            </w:pPr>
            <w:hyperlink r:id="rId744">
              <w:r>
                <w:rPr>
                  <w:rFonts w:ascii="Times New Roman" w:cs="Times New Roman" w:eastAsia="Times New Roman" w:hAnsi="Times New Roman"/>
                  <w:sz w:val="18"/>
                  <w:szCs w:val="18"/>
                  <w:color w:val="0000EE"/>
                  <w:w w:val="99"/>
                </w:rPr>
                <w:t>the 6.125% Notes Due 2022</w:t>
              </w:r>
            </w:hyperlink>
          </w:p>
        </w:tc>
        <w:tc>
          <w:tcPr>
            <w:tcW w:w="160" w:type="dxa"/>
            <w:vAlign w:val="bottom"/>
            <w:tcBorders>
              <w:top w:val="single" w:sz="8" w:color="0000EE"/>
              <w:bottom w:val="single" w:sz="8" w:color="0000EE"/>
            </w:tcBorders>
          </w:tcPr>
          <w:p>
            <w:pPr>
              <w:jc w:val="right"/>
              <w:spacing w:after="0" w:line="102" w:lineRule="exact"/>
              <w:rPr>
                <w:rFonts w:ascii="Times New Roman" w:cs="Times New Roman" w:eastAsia="Times New Roman" w:hAnsi="Times New Roman"/>
                <w:sz w:val="11"/>
                <w:szCs w:val="11"/>
                <w:color w:val="0000EE"/>
              </w:rPr>
            </w:pPr>
            <w:hyperlink r:id="rId744">
              <w:r>
                <w:rPr>
                  <w:rFonts w:ascii="Times New Roman" w:cs="Times New Roman" w:eastAsia="Times New Roman" w:hAnsi="Times New Roman"/>
                  <w:sz w:val="11"/>
                  <w:szCs w:val="11"/>
                  <w:color w:val="0000EE"/>
                </w:rPr>
                <w:t>(8)</w:t>
              </w:r>
            </w:hyperlink>
          </w:p>
        </w:tc>
        <w:tc>
          <w:tcPr>
            <w:tcW w:w="220" w:type="dxa"/>
            <w:vAlign w:val="bottom"/>
            <w:tcBorders>
              <w:top w:val="single" w:sz="8" w:color="0000EE"/>
              <w:bottom w:val="single" w:sz="8" w:color="0000EE"/>
            </w:tcBorders>
            <w:gridSpan w:val="2"/>
            <w:vMerge w:val="restart"/>
          </w:tcPr>
          <w:p>
            <w:pPr>
              <w:spacing w:after="0"/>
              <w:rPr>
                <w:sz w:val="10"/>
                <w:szCs w:val="10"/>
                <w:color w:val="auto"/>
              </w:rPr>
            </w:pPr>
          </w:p>
        </w:tc>
        <w:tc>
          <w:tcPr>
            <w:tcW w:w="840" w:type="dxa"/>
            <w:vAlign w:val="bottom"/>
            <w:tcBorders>
              <w:top w:val="single" w:sz="8" w:color="0000EE"/>
              <w:bottom w:val="single" w:sz="8" w:color="0000EE"/>
            </w:tcBorders>
            <w:gridSpan w:val="4"/>
            <w:vMerge w:val="restart"/>
          </w:tcPr>
          <w:p>
            <w:pPr>
              <w:spacing w:after="0"/>
              <w:rPr>
                <w:sz w:val="10"/>
                <w:szCs w:val="10"/>
                <w:color w:val="auto"/>
              </w:rPr>
            </w:pPr>
          </w:p>
        </w:tc>
        <w:tc>
          <w:tcPr>
            <w:tcW w:w="220" w:type="dxa"/>
            <w:vAlign w:val="bottom"/>
            <w:tcBorders>
              <w:top w:val="single" w:sz="8" w:color="0000EE"/>
              <w:bottom w:val="single" w:sz="8" w:color="0000EE"/>
            </w:tcBorders>
            <w:gridSpan w:val="3"/>
            <w:vMerge w:val="restart"/>
          </w:tcPr>
          <w:p>
            <w:pPr>
              <w:spacing w:after="0"/>
              <w:rPr>
                <w:sz w:val="10"/>
                <w:szCs w:val="10"/>
                <w:color w:val="auto"/>
              </w:rPr>
            </w:pPr>
          </w:p>
        </w:tc>
        <w:tc>
          <w:tcPr>
            <w:tcW w:w="940" w:type="dxa"/>
            <w:vAlign w:val="bottom"/>
            <w:tcBorders>
              <w:top w:val="single" w:sz="8" w:color="0000EE"/>
              <w:bottom w:val="single" w:sz="8" w:color="0000EE"/>
            </w:tcBorders>
            <w:gridSpan w:val="9"/>
            <w:vMerge w:val="restart"/>
          </w:tcPr>
          <w:p>
            <w:pPr>
              <w:spacing w:after="0"/>
              <w:rPr>
                <w:sz w:val="10"/>
                <w:szCs w:val="10"/>
                <w:color w:val="auto"/>
              </w:rPr>
            </w:pPr>
          </w:p>
        </w:tc>
        <w:tc>
          <w:tcPr>
            <w:tcW w:w="540" w:type="dxa"/>
            <w:vAlign w:val="bottom"/>
            <w:tcBorders>
              <w:top w:val="single" w:sz="8" w:color="0000EE"/>
              <w:bottom w:val="single" w:sz="8" w:color="0000EE"/>
            </w:tcBorders>
            <w:gridSpan w:val="5"/>
            <w:vMerge w:val="restart"/>
          </w:tcPr>
          <w:p>
            <w:pPr>
              <w:spacing w:after="0"/>
              <w:rPr>
                <w:sz w:val="10"/>
                <w:szCs w:val="10"/>
                <w:color w:val="auto"/>
              </w:rPr>
            </w:pPr>
          </w:p>
        </w:tc>
        <w:tc>
          <w:tcPr>
            <w:tcW w:w="640" w:type="dxa"/>
            <w:vAlign w:val="bottom"/>
            <w:tcBorders>
              <w:top w:val="single" w:sz="8" w:color="0000EE"/>
              <w:bottom w:val="single" w:sz="8" w:color="0000EE"/>
            </w:tcBorders>
            <w:gridSpan w:val="2"/>
            <w:vMerge w:val="restart"/>
          </w:tcPr>
          <w:p>
            <w:pPr>
              <w:spacing w:after="0"/>
              <w:rPr>
                <w:sz w:val="10"/>
                <w:szCs w:val="10"/>
                <w:color w:val="auto"/>
              </w:rPr>
            </w:pPr>
          </w:p>
        </w:tc>
        <w:tc>
          <w:tcPr>
            <w:tcW w:w="220" w:type="dxa"/>
            <w:vAlign w:val="bottom"/>
            <w:tcBorders>
              <w:top w:val="single" w:sz="8" w:color="0000EE"/>
              <w:bottom w:val="single" w:sz="8" w:color="0000EE"/>
            </w:tcBorders>
            <w:gridSpan w:val="4"/>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100" w:type="dxa"/>
            <w:vAlign w:val="bottom"/>
            <w:tcBorders>
              <w:top w:val="single" w:sz="8" w:color="0000EE"/>
              <w:bottom w:val="single" w:sz="8" w:color="0000EE"/>
            </w:tcBorders>
            <w:gridSpan w:val="3"/>
            <w:vMerge w:val="restart"/>
          </w:tcPr>
          <w:p>
            <w:pPr>
              <w:spacing w:after="0"/>
              <w:rPr>
                <w:sz w:val="10"/>
                <w:szCs w:val="10"/>
                <w:color w:val="auto"/>
              </w:rPr>
            </w:pPr>
          </w:p>
        </w:tc>
        <w:tc>
          <w:tcPr>
            <w:tcW w:w="120" w:type="dxa"/>
            <w:vAlign w:val="bottom"/>
            <w:tcBorders>
              <w:top w:val="single" w:sz="8" w:color="0000EE"/>
              <w:bottom w:val="single" w:sz="8" w:color="0000EE"/>
            </w:tcBorders>
            <w:gridSpan w:val="3"/>
            <w:vMerge w:val="restart"/>
          </w:tcPr>
          <w:p>
            <w:pPr>
              <w:spacing w:after="0"/>
              <w:rPr>
                <w:sz w:val="10"/>
                <w:szCs w:val="10"/>
                <w:color w:val="auto"/>
              </w:rPr>
            </w:pPr>
          </w:p>
        </w:tc>
        <w:tc>
          <w:tcPr>
            <w:tcW w:w="280" w:type="dxa"/>
            <w:vAlign w:val="bottom"/>
            <w:tcBorders>
              <w:top w:val="single" w:sz="8" w:color="0000EE"/>
              <w:bottom w:val="single" w:sz="8" w:color="0000EE"/>
            </w:tcBorders>
            <w:gridSpan w:val="2"/>
            <w:vMerge w:val="restart"/>
          </w:tcPr>
          <w:p>
            <w:pPr>
              <w:spacing w:after="0"/>
              <w:rPr>
                <w:sz w:val="10"/>
                <w:szCs w:val="10"/>
                <w:color w:val="auto"/>
              </w:rPr>
            </w:pPr>
          </w:p>
        </w:tc>
        <w:tc>
          <w:tcPr>
            <w:tcW w:w="220" w:type="dxa"/>
            <w:vAlign w:val="bottom"/>
            <w:tcBorders>
              <w:top w:val="single" w:sz="8" w:color="0000EE"/>
              <w:bottom w:val="single" w:sz="8" w:color="0000EE"/>
            </w:tcBorders>
            <w:gridSpan w:val="3"/>
            <w:vMerge w:val="restart"/>
          </w:tcPr>
          <w:p>
            <w:pPr>
              <w:spacing w:after="0"/>
              <w:rPr>
                <w:sz w:val="10"/>
                <w:szCs w:val="10"/>
                <w:color w:val="auto"/>
              </w:rPr>
            </w:pPr>
          </w:p>
        </w:tc>
        <w:tc>
          <w:tcPr>
            <w:tcW w:w="840" w:type="dxa"/>
            <w:vAlign w:val="bottom"/>
            <w:tcBorders>
              <w:top w:val="single" w:sz="8" w:color="0000EE"/>
              <w:bottom w:val="single" w:sz="8" w:color="0000EE"/>
            </w:tcBorders>
            <w:gridSpan w:val="13"/>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40" w:type="dxa"/>
            <w:vAlign w:val="bottom"/>
            <w:tcBorders>
              <w:bottom w:val="single" w:sz="8" w:color="0000EE"/>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40" w:type="dxa"/>
            <w:vAlign w:val="bottom"/>
            <w:gridSpan w:val="9"/>
            <w:vMerge w:val="continue"/>
          </w:tcPr>
          <w:p>
            <w:pPr>
              <w:spacing w:after="0"/>
              <w:rPr>
                <w:sz w:val="5"/>
                <w:szCs w:val="5"/>
                <w:color w:val="auto"/>
              </w:rPr>
            </w:pPr>
          </w:p>
        </w:tc>
        <w:tc>
          <w:tcPr>
            <w:tcW w:w="540" w:type="dxa"/>
            <w:vAlign w:val="bottom"/>
            <w:gridSpan w:val="5"/>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840" w:type="dxa"/>
            <w:vAlign w:val="bottom"/>
            <w:gridSpan w:val="13"/>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0" w:type="dxa"/>
            <w:vAlign w:val="bottom"/>
            <w:gridSpan w:val="2"/>
            <w:vMerge w:val="restart"/>
          </w:tcPr>
          <w:p>
            <w:pPr>
              <w:spacing w:after="0"/>
              <w:rPr>
                <w:sz w:val="17"/>
                <w:szCs w:val="17"/>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rPr>
            </w:pPr>
            <w:hyperlink r:id="rId745">
              <w:r>
                <w:rPr>
                  <w:rFonts w:ascii="Times New Roman" w:cs="Times New Roman" w:eastAsia="Times New Roman" w:hAnsi="Times New Roman"/>
                  <w:sz w:val="18"/>
                  <w:szCs w:val="18"/>
                  <w:color w:val="0000EE"/>
                </w:rPr>
                <w:t>4.5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gridSpan w:val="27"/>
            <w:vMerge w:val="restart"/>
          </w:tcPr>
          <w:p>
            <w:pPr>
              <w:spacing w:after="0"/>
              <w:rPr>
                <w:rFonts w:ascii="Times New Roman" w:cs="Times New Roman" w:eastAsia="Times New Roman" w:hAnsi="Times New Roman"/>
                <w:sz w:val="18"/>
                <w:szCs w:val="18"/>
                <w:color w:val="0000EE"/>
                <w:w w:val="99"/>
              </w:rPr>
            </w:pPr>
            <w:hyperlink r:id="rId745">
              <w:r>
                <w:rPr>
                  <w:rFonts w:ascii="Times New Roman" w:cs="Times New Roman" w:eastAsia="Times New Roman" w:hAnsi="Times New Roman"/>
                  <w:sz w:val="18"/>
                  <w:szCs w:val="18"/>
                  <w:color w:val="0000EE"/>
                  <w:w w:val="99"/>
                </w:rPr>
                <w:t>Form of 6.125% Notes Due 2022 (included as part of Exhibit 4.</w:t>
              </w:r>
              <w:r>
                <w:rPr>
                  <w:rFonts w:ascii="Times New Roman" w:cs="Times New Roman" w:eastAsia="Times New Roman" w:hAnsi="Times New Roman"/>
                  <w:sz w:val="18"/>
                  <w:szCs w:val="18"/>
                  <w:u w:val="single" w:color="auto"/>
                  <w:color w:val="0000EE"/>
                  <w:w w:val="99"/>
                </w:rPr>
                <w:t>6)</w:t>
              </w:r>
              <w:r>
                <w:rPr>
                  <w:rFonts w:ascii="Times New Roman" w:cs="Times New Roman" w:eastAsia="Times New Roman" w:hAnsi="Times New Roman"/>
                  <w:sz w:val="18"/>
                  <w:szCs w:val="18"/>
                  <w:color w:val="0000EE"/>
                  <w:w w:val="99"/>
                </w:rPr>
                <w:t>.</w:t>
              </w:r>
            </w:hyperlink>
          </w:p>
        </w:tc>
        <w:tc>
          <w:tcPr>
            <w:tcW w:w="16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5"/>
              </w:rPr>
            </w:pPr>
            <w:hyperlink r:id="rId745">
              <w:r>
                <w:rPr>
                  <w:rFonts w:ascii="Times New Roman" w:cs="Times New Roman" w:eastAsia="Times New Roman" w:hAnsi="Times New Roman"/>
                  <w:sz w:val="14"/>
                  <w:szCs w:val="14"/>
                  <w:color w:val="0000EE"/>
                  <w:w w:val="85"/>
                </w:rPr>
                <w:t>(8)</w:t>
              </w:r>
            </w:hyperlink>
          </w:p>
        </w:tc>
        <w:tc>
          <w:tcPr>
            <w:tcW w:w="640" w:type="dxa"/>
            <w:vAlign w:val="bottom"/>
            <w:gridSpan w:val="2"/>
            <w:vMerge w:val="restart"/>
          </w:tcPr>
          <w:p>
            <w:pPr>
              <w:spacing w:after="0"/>
              <w:rPr>
                <w:sz w:val="17"/>
                <w:szCs w:val="17"/>
                <w:color w:val="auto"/>
              </w:rPr>
            </w:pPr>
          </w:p>
        </w:tc>
        <w:tc>
          <w:tcPr>
            <w:tcW w:w="220" w:type="dxa"/>
            <w:vAlign w:val="bottom"/>
            <w:gridSpan w:val="4"/>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gridSpan w:val="3"/>
            <w:vMerge w:val="restart"/>
          </w:tcPr>
          <w:p>
            <w:pPr>
              <w:spacing w:after="0"/>
              <w:rPr>
                <w:sz w:val="17"/>
                <w:szCs w:val="17"/>
                <w:color w:val="auto"/>
              </w:rPr>
            </w:pPr>
          </w:p>
        </w:tc>
        <w:tc>
          <w:tcPr>
            <w:tcW w:w="120" w:type="dxa"/>
            <w:vAlign w:val="bottom"/>
            <w:gridSpan w:val="3"/>
            <w:vMerge w:val="restart"/>
          </w:tcPr>
          <w:p>
            <w:pPr>
              <w:spacing w:after="0"/>
              <w:rPr>
                <w:sz w:val="17"/>
                <w:szCs w:val="17"/>
                <w:color w:val="auto"/>
              </w:rPr>
            </w:pPr>
          </w:p>
        </w:tc>
        <w:tc>
          <w:tcPr>
            <w:tcW w:w="280" w:type="dxa"/>
            <w:vAlign w:val="bottom"/>
            <w:gridSpan w:val="2"/>
            <w:vMerge w:val="restart"/>
          </w:tcPr>
          <w:p>
            <w:pPr>
              <w:spacing w:after="0"/>
              <w:rPr>
                <w:sz w:val="17"/>
                <w:szCs w:val="17"/>
                <w:color w:val="auto"/>
              </w:rPr>
            </w:pPr>
          </w:p>
        </w:tc>
        <w:tc>
          <w:tcPr>
            <w:tcW w:w="220" w:type="dxa"/>
            <w:vAlign w:val="bottom"/>
            <w:gridSpan w:val="3"/>
            <w:vMerge w:val="restart"/>
          </w:tcPr>
          <w:p>
            <w:pPr>
              <w:spacing w:after="0"/>
              <w:rPr>
                <w:sz w:val="17"/>
                <w:szCs w:val="17"/>
                <w:color w:val="auto"/>
              </w:rPr>
            </w:pPr>
          </w:p>
        </w:tc>
        <w:tc>
          <w:tcPr>
            <w:tcW w:w="900" w:type="dxa"/>
            <w:vAlign w:val="bottom"/>
            <w:gridSpan w:val="16"/>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0" w:type="dxa"/>
            <w:vAlign w:val="bottom"/>
            <w:tcBorders>
              <w:bottom w:val="single" w:sz="8" w:color="0000EE"/>
            </w:tcBorders>
            <w:gridSpan w:val="27"/>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w w:val="95"/>
              </w:rPr>
            </w:pPr>
            <w:hyperlink r:id="rId74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gridSpan w:val="16"/>
            <w:vMerge w:val="restart"/>
          </w:tcPr>
          <w:p>
            <w:pPr>
              <w:spacing w:after="0"/>
              <w:rPr>
                <w:rFonts w:ascii="Times New Roman" w:cs="Times New Roman" w:eastAsia="Times New Roman" w:hAnsi="Times New Roman"/>
                <w:sz w:val="18"/>
                <w:szCs w:val="18"/>
                <w:color w:val="0000EE"/>
                <w:w w:val="99"/>
              </w:rPr>
            </w:pPr>
            <w:hyperlink r:id="rId746">
              <w:r>
                <w:rPr>
                  <w:rFonts w:ascii="Times New Roman" w:cs="Times New Roman" w:eastAsia="Times New Roman" w:hAnsi="Times New Roman"/>
                  <w:sz w:val="18"/>
                  <w:szCs w:val="18"/>
                  <w:color w:val="0000EE"/>
                  <w:w w:val="99"/>
                </w:rPr>
                <w:t>KCAP Financial, Inc. 2017 Equity Incentive Plan.</w:t>
              </w:r>
            </w:hyperlink>
          </w:p>
        </w:tc>
        <w:tc>
          <w:tcPr>
            <w:tcW w:w="16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5"/>
              </w:rPr>
            </w:pPr>
            <w:hyperlink r:id="rId746">
              <w:r>
                <w:rPr>
                  <w:rFonts w:ascii="Times New Roman" w:cs="Times New Roman" w:eastAsia="Times New Roman" w:hAnsi="Times New Roman"/>
                  <w:sz w:val="14"/>
                  <w:szCs w:val="14"/>
                  <w:color w:val="0000EE"/>
                  <w:w w:val="85"/>
                </w:rPr>
                <w:t>(9)</w:t>
              </w:r>
            </w:hyperlink>
          </w:p>
        </w:tc>
        <w:tc>
          <w:tcPr>
            <w:tcW w:w="140" w:type="dxa"/>
            <w:vAlign w:val="bottom"/>
            <w:gridSpan w:val="2"/>
            <w:vMerge w:val="restart"/>
          </w:tcPr>
          <w:p>
            <w:pPr>
              <w:jc w:val="right"/>
              <w:spacing w:after="0"/>
              <w:rPr>
                <w:rFonts w:ascii="Times New Roman" w:cs="Times New Roman" w:eastAsia="Times New Roman" w:hAnsi="Times New Roman"/>
                <w:sz w:val="18"/>
                <w:szCs w:val="18"/>
                <w:color w:val="0000EE"/>
              </w:rPr>
            </w:pPr>
            <w:hyperlink r:id="rId746">
              <w:r>
                <w:rPr>
                  <w:rFonts w:ascii="Times New Roman" w:cs="Times New Roman" w:eastAsia="Times New Roman" w:hAnsi="Times New Roman"/>
                  <w:sz w:val="18"/>
                  <w:szCs w:val="18"/>
                  <w:color w:val="0000EE"/>
                </w:rPr>
                <w:t>*</w:t>
              </w:r>
            </w:hyperlink>
          </w:p>
        </w:tc>
        <w:tc>
          <w:tcPr>
            <w:tcW w:w="500" w:type="dxa"/>
            <w:vAlign w:val="bottom"/>
            <w:gridSpan w:val="4"/>
            <w:vMerge w:val="restart"/>
          </w:tcPr>
          <w:p>
            <w:pPr>
              <w:spacing w:after="0"/>
              <w:rPr>
                <w:sz w:val="15"/>
                <w:szCs w:val="15"/>
                <w:color w:val="auto"/>
              </w:rPr>
            </w:pPr>
          </w:p>
        </w:tc>
        <w:tc>
          <w:tcPr>
            <w:tcW w:w="1180" w:type="dxa"/>
            <w:vAlign w:val="bottom"/>
            <w:gridSpan w:val="7"/>
            <w:vMerge w:val="restart"/>
          </w:tcPr>
          <w:p>
            <w:pPr>
              <w:spacing w:after="0"/>
              <w:rPr>
                <w:sz w:val="15"/>
                <w:szCs w:val="15"/>
                <w:color w:val="auto"/>
              </w:rPr>
            </w:pPr>
          </w:p>
        </w:tc>
        <w:tc>
          <w:tcPr>
            <w:tcW w:w="220" w:type="dxa"/>
            <w:vAlign w:val="bottom"/>
            <w:gridSpan w:val="4"/>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gridSpan w:val="3"/>
            <w:vMerge w:val="restart"/>
          </w:tcPr>
          <w:p>
            <w:pPr>
              <w:spacing w:after="0"/>
              <w:rPr>
                <w:sz w:val="15"/>
                <w:szCs w:val="15"/>
                <w:color w:val="auto"/>
              </w:rPr>
            </w:pPr>
          </w:p>
        </w:tc>
        <w:tc>
          <w:tcPr>
            <w:tcW w:w="120" w:type="dxa"/>
            <w:vAlign w:val="bottom"/>
            <w:gridSpan w:val="3"/>
            <w:vMerge w:val="restart"/>
          </w:tcPr>
          <w:p>
            <w:pPr>
              <w:spacing w:after="0"/>
              <w:rPr>
                <w:sz w:val="15"/>
                <w:szCs w:val="15"/>
                <w:color w:val="auto"/>
              </w:rPr>
            </w:pPr>
          </w:p>
        </w:tc>
        <w:tc>
          <w:tcPr>
            <w:tcW w:w="280" w:type="dxa"/>
            <w:vAlign w:val="bottom"/>
            <w:gridSpan w:val="2"/>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00" w:type="dxa"/>
            <w:vAlign w:val="bottom"/>
            <w:gridSpan w:val="1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20" w:type="dxa"/>
            <w:vAlign w:val="bottom"/>
            <w:tcBorders>
              <w:bottom w:val="single" w:sz="8" w:color="0000EE"/>
            </w:tcBorders>
            <w:gridSpan w:val="16"/>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0000EE"/>
            </w:tcBorders>
            <w:gridSpan w:val="2"/>
            <w:vMerge w:val="continue"/>
          </w:tcPr>
          <w:p>
            <w:pPr>
              <w:spacing w:after="0"/>
              <w:rPr>
                <w:sz w:val="5"/>
                <w:szCs w:val="5"/>
                <w:color w:val="auto"/>
              </w:rPr>
            </w:pPr>
          </w:p>
        </w:tc>
        <w:tc>
          <w:tcPr>
            <w:tcW w:w="500" w:type="dxa"/>
            <w:vAlign w:val="bottom"/>
            <w:gridSpan w:val="4"/>
            <w:vMerge w:val="continue"/>
          </w:tcPr>
          <w:p>
            <w:pPr>
              <w:spacing w:after="0"/>
              <w:rPr>
                <w:sz w:val="5"/>
                <w:szCs w:val="5"/>
                <w:color w:val="auto"/>
              </w:rPr>
            </w:pPr>
          </w:p>
        </w:tc>
        <w:tc>
          <w:tcPr>
            <w:tcW w:w="1180" w:type="dxa"/>
            <w:vAlign w:val="bottom"/>
            <w:gridSpan w:val="7"/>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w w:val="95"/>
              </w:rPr>
            </w:pPr>
            <w:hyperlink r:id="rId74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gridSpan w:val="21"/>
            <w:vMerge w:val="restart"/>
          </w:tcPr>
          <w:p>
            <w:pPr>
              <w:spacing w:after="0"/>
              <w:rPr>
                <w:rFonts w:ascii="Times New Roman" w:cs="Times New Roman" w:eastAsia="Times New Roman" w:hAnsi="Times New Roman"/>
                <w:sz w:val="18"/>
                <w:szCs w:val="18"/>
                <w:color w:val="0000EE"/>
                <w:w w:val="99"/>
              </w:rPr>
            </w:pPr>
            <w:hyperlink r:id="rId747">
              <w:r>
                <w:rPr>
                  <w:rFonts w:ascii="Times New Roman" w:cs="Times New Roman" w:eastAsia="Times New Roman" w:hAnsi="Times New Roman"/>
                  <w:sz w:val="18"/>
                  <w:szCs w:val="18"/>
                  <w:color w:val="0000EE"/>
                  <w:w w:val="99"/>
                </w:rPr>
                <w:t>KCAP Financial, Inc. 2017 Non-Employee Director Plan.</w:t>
              </w:r>
            </w:hyperlink>
          </w:p>
        </w:tc>
        <w:tc>
          <w:tcPr>
            <w:tcW w:w="260" w:type="dxa"/>
            <w:vAlign w:val="bottom"/>
            <w:tcBorders>
              <w:bottom w:val="single" w:sz="8" w:color="0000EE"/>
            </w:tcBorders>
            <w:gridSpan w:val="2"/>
          </w:tcPr>
          <w:p>
            <w:pPr>
              <w:jc w:val="right"/>
              <w:spacing w:after="0"/>
              <w:rPr>
                <w:rFonts w:ascii="Times New Roman" w:cs="Times New Roman" w:eastAsia="Times New Roman" w:hAnsi="Times New Roman"/>
                <w:sz w:val="14"/>
                <w:szCs w:val="14"/>
                <w:color w:val="0000EE"/>
                <w:w w:val="89"/>
              </w:rPr>
            </w:pPr>
            <w:hyperlink r:id="rId747">
              <w:r>
                <w:rPr>
                  <w:rFonts w:ascii="Times New Roman" w:cs="Times New Roman" w:eastAsia="Times New Roman" w:hAnsi="Times New Roman"/>
                  <w:sz w:val="14"/>
                  <w:szCs w:val="14"/>
                  <w:color w:val="0000EE"/>
                  <w:w w:val="89"/>
                </w:rPr>
                <w:t>(10 )</w:t>
              </w:r>
            </w:hyperlink>
          </w:p>
        </w:tc>
        <w:tc>
          <w:tcPr>
            <w:tcW w:w="1180" w:type="dxa"/>
            <w:vAlign w:val="bottom"/>
            <w:gridSpan w:val="7"/>
            <w:vMerge w:val="restart"/>
          </w:tcPr>
          <w:p>
            <w:pPr>
              <w:spacing w:after="0"/>
              <w:rPr>
                <w:sz w:val="15"/>
                <w:szCs w:val="15"/>
                <w:color w:val="auto"/>
              </w:rPr>
            </w:pPr>
          </w:p>
        </w:tc>
        <w:tc>
          <w:tcPr>
            <w:tcW w:w="220" w:type="dxa"/>
            <w:vAlign w:val="bottom"/>
            <w:gridSpan w:val="4"/>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gridSpan w:val="3"/>
            <w:vMerge w:val="restart"/>
          </w:tcPr>
          <w:p>
            <w:pPr>
              <w:spacing w:after="0"/>
              <w:rPr>
                <w:sz w:val="15"/>
                <w:szCs w:val="15"/>
                <w:color w:val="auto"/>
              </w:rPr>
            </w:pPr>
          </w:p>
        </w:tc>
        <w:tc>
          <w:tcPr>
            <w:tcW w:w="120" w:type="dxa"/>
            <w:vAlign w:val="bottom"/>
            <w:gridSpan w:val="3"/>
            <w:vMerge w:val="restart"/>
          </w:tcPr>
          <w:p>
            <w:pPr>
              <w:spacing w:after="0"/>
              <w:rPr>
                <w:sz w:val="15"/>
                <w:szCs w:val="15"/>
                <w:color w:val="auto"/>
              </w:rPr>
            </w:pPr>
          </w:p>
        </w:tc>
        <w:tc>
          <w:tcPr>
            <w:tcW w:w="280" w:type="dxa"/>
            <w:vAlign w:val="bottom"/>
            <w:gridSpan w:val="2"/>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00" w:type="dxa"/>
            <w:vAlign w:val="bottom"/>
            <w:gridSpan w:val="1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160" w:type="dxa"/>
            <w:vAlign w:val="bottom"/>
            <w:tcBorders>
              <w:bottom w:val="single" w:sz="8" w:color="0000EE"/>
            </w:tcBorders>
            <w:gridSpan w:val="21"/>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1180" w:type="dxa"/>
            <w:vAlign w:val="bottom"/>
            <w:gridSpan w:val="7"/>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w w:val="95"/>
              </w:rPr>
            </w:pPr>
            <w:hyperlink r:id="rId74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80" w:type="dxa"/>
            <w:vAlign w:val="bottom"/>
            <w:gridSpan w:val="22"/>
            <w:vMerge w:val="restart"/>
          </w:tcPr>
          <w:p>
            <w:pPr>
              <w:spacing w:after="0"/>
              <w:rPr>
                <w:rFonts w:ascii="Times New Roman" w:cs="Times New Roman" w:eastAsia="Times New Roman" w:hAnsi="Times New Roman"/>
                <w:sz w:val="18"/>
                <w:szCs w:val="18"/>
                <w:color w:val="0000EE"/>
                <w:w w:val="99"/>
              </w:rPr>
            </w:pPr>
            <w:hyperlink r:id="rId748">
              <w:r>
                <w:rPr>
                  <w:rFonts w:ascii="Times New Roman" w:cs="Times New Roman" w:eastAsia="Times New Roman" w:hAnsi="Times New Roman"/>
                  <w:sz w:val="18"/>
                  <w:szCs w:val="18"/>
                  <w:color w:val="0000EE"/>
                  <w:w w:val="99"/>
                </w:rPr>
                <w:t>Form of Company Non-Qualified Stock Option Certificate.</w:t>
              </w:r>
            </w:hyperlink>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4"/>
                <w:szCs w:val="14"/>
                <w:color w:val="0000EE"/>
                <w:w w:val="85"/>
              </w:rPr>
            </w:pPr>
            <w:hyperlink r:id="rId748">
              <w:r>
                <w:rPr>
                  <w:rFonts w:ascii="Times New Roman" w:cs="Times New Roman" w:eastAsia="Times New Roman" w:hAnsi="Times New Roman"/>
                  <w:sz w:val="14"/>
                  <w:szCs w:val="14"/>
                  <w:color w:val="0000EE"/>
                  <w:w w:val="85"/>
                </w:rPr>
                <w:t>(3)</w:t>
              </w:r>
            </w:hyperlink>
          </w:p>
        </w:tc>
        <w:tc>
          <w:tcPr>
            <w:tcW w:w="140" w:type="dxa"/>
            <w:vAlign w:val="bottom"/>
            <w:gridSpan w:val="2"/>
            <w:vMerge w:val="restart"/>
          </w:tcPr>
          <w:p>
            <w:pPr>
              <w:jc w:val="right"/>
              <w:spacing w:after="0"/>
              <w:rPr>
                <w:rFonts w:ascii="Times New Roman" w:cs="Times New Roman" w:eastAsia="Times New Roman" w:hAnsi="Times New Roman"/>
                <w:sz w:val="18"/>
                <w:szCs w:val="18"/>
                <w:color w:val="0000EE"/>
              </w:rPr>
            </w:pPr>
            <w:hyperlink r:id="rId748">
              <w:r>
                <w:rPr>
                  <w:rFonts w:ascii="Times New Roman" w:cs="Times New Roman" w:eastAsia="Times New Roman" w:hAnsi="Times New Roman"/>
                  <w:sz w:val="18"/>
                  <w:szCs w:val="18"/>
                  <w:color w:val="0000EE"/>
                </w:rPr>
                <w:t>*</w:t>
              </w:r>
            </w:hyperlink>
          </w:p>
        </w:tc>
        <w:tc>
          <w:tcPr>
            <w:tcW w:w="1020" w:type="dxa"/>
            <w:vAlign w:val="bottom"/>
            <w:gridSpan w:val="4"/>
            <w:vMerge w:val="restart"/>
          </w:tcPr>
          <w:p>
            <w:pPr>
              <w:spacing w:after="0"/>
              <w:rPr>
                <w:sz w:val="15"/>
                <w:szCs w:val="15"/>
                <w:color w:val="auto"/>
              </w:rPr>
            </w:pPr>
          </w:p>
        </w:tc>
        <w:tc>
          <w:tcPr>
            <w:tcW w:w="220" w:type="dxa"/>
            <w:vAlign w:val="bottom"/>
            <w:gridSpan w:val="4"/>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gridSpan w:val="3"/>
            <w:vMerge w:val="restart"/>
          </w:tcPr>
          <w:p>
            <w:pPr>
              <w:spacing w:after="0"/>
              <w:rPr>
                <w:sz w:val="15"/>
                <w:szCs w:val="15"/>
                <w:color w:val="auto"/>
              </w:rPr>
            </w:pPr>
          </w:p>
        </w:tc>
        <w:tc>
          <w:tcPr>
            <w:tcW w:w="120" w:type="dxa"/>
            <w:vAlign w:val="bottom"/>
            <w:gridSpan w:val="3"/>
            <w:vMerge w:val="restart"/>
          </w:tcPr>
          <w:p>
            <w:pPr>
              <w:spacing w:after="0"/>
              <w:rPr>
                <w:sz w:val="15"/>
                <w:szCs w:val="15"/>
                <w:color w:val="auto"/>
              </w:rPr>
            </w:pPr>
          </w:p>
        </w:tc>
        <w:tc>
          <w:tcPr>
            <w:tcW w:w="280" w:type="dxa"/>
            <w:vAlign w:val="bottom"/>
            <w:gridSpan w:val="2"/>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00" w:type="dxa"/>
            <w:vAlign w:val="bottom"/>
            <w:gridSpan w:val="1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80" w:type="dxa"/>
            <w:vAlign w:val="bottom"/>
            <w:tcBorders>
              <w:bottom w:val="single" w:sz="8" w:color="0000EE"/>
            </w:tcBorders>
            <w:gridSpan w:val="22"/>
            <w:vMerge w:val="continue"/>
          </w:tcPr>
          <w:p>
            <w:pPr>
              <w:spacing w:after="0"/>
              <w:rPr>
                <w:sz w:val="5"/>
                <w:szCs w:val="5"/>
                <w:color w:val="auto"/>
              </w:rPr>
            </w:pPr>
          </w:p>
        </w:tc>
        <w:tc>
          <w:tcPr>
            <w:tcW w:w="160" w:type="dxa"/>
            <w:vAlign w:val="bottom"/>
            <w:gridSpan w:val="2"/>
          </w:tcPr>
          <w:p>
            <w:pPr>
              <w:spacing w:after="0"/>
              <w:rPr>
                <w:sz w:val="5"/>
                <w:szCs w:val="5"/>
                <w:color w:val="auto"/>
              </w:rPr>
            </w:pPr>
          </w:p>
        </w:tc>
        <w:tc>
          <w:tcPr>
            <w:tcW w:w="140" w:type="dxa"/>
            <w:vAlign w:val="bottom"/>
            <w:tcBorders>
              <w:bottom w:val="single" w:sz="8" w:color="0000EE"/>
            </w:tcBorders>
            <w:gridSpan w:val="2"/>
            <w:vMerge w:val="continue"/>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w w:val="95"/>
              </w:rPr>
            </w:pPr>
            <w:hyperlink r:id="rId74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6"/>
            <w:vMerge w:val="restart"/>
          </w:tcPr>
          <w:p>
            <w:pPr>
              <w:spacing w:after="0"/>
              <w:rPr>
                <w:rFonts w:ascii="Times New Roman" w:cs="Times New Roman" w:eastAsia="Times New Roman" w:hAnsi="Times New Roman"/>
                <w:sz w:val="18"/>
                <w:szCs w:val="18"/>
                <w:color w:val="0000EE"/>
                <w:w w:val="99"/>
              </w:rPr>
            </w:pPr>
            <w:hyperlink r:id="rId749">
              <w:r>
                <w:rPr>
                  <w:rFonts w:ascii="Times New Roman" w:cs="Times New Roman" w:eastAsia="Times New Roman" w:hAnsi="Times New Roman"/>
                  <w:sz w:val="18"/>
                  <w:szCs w:val="18"/>
                  <w:color w:val="0000EE"/>
                  <w:w w:val="99"/>
                </w:rPr>
                <w:t>Form of Custodian Agreement.</w:t>
              </w:r>
            </w:hyperlink>
          </w:p>
        </w:tc>
        <w:tc>
          <w:tcPr>
            <w:tcW w:w="16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85"/>
              </w:rPr>
            </w:pPr>
            <w:hyperlink r:id="rId749">
              <w:r>
                <w:rPr>
                  <w:rFonts w:ascii="Times New Roman" w:cs="Times New Roman" w:eastAsia="Times New Roman" w:hAnsi="Times New Roman"/>
                  <w:sz w:val="14"/>
                  <w:szCs w:val="14"/>
                  <w:color w:val="0000EE"/>
                  <w:w w:val="85"/>
                </w:rPr>
                <w:t>(3)</w:t>
              </w:r>
            </w:hyperlink>
          </w:p>
        </w:tc>
        <w:tc>
          <w:tcPr>
            <w:tcW w:w="840" w:type="dxa"/>
            <w:vAlign w:val="bottom"/>
            <w:gridSpan w:val="4"/>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2120" w:type="dxa"/>
            <w:vAlign w:val="bottom"/>
            <w:gridSpan w:val="16"/>
            <w:vMerge w:val="restart"/>
          </w:tcPr>
          <w:p>
            <w:pPr>
              <w:spacing w:after="0"/>
              <w:rPr>
                <w:sz w:val="15"/>
                <w:szCs w:val="15"/>
                <w:color w:val="auto"/>
              </w:rPr>
            </w:pPr>
          </w:p>
        </w:tc>
        <w:tc>
          <w:tcPr>
            <w:tcW w:w="220" w:type="dxa"/>
            <w:vAlign w:val="bottom"/>
            <w:gridSpan w:val="4"/>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gridSpan w:val="3"/>
            <w:vMerge w:val="restart"/>
          </w:tcPr>
          <w:p>
            <w:pPr>
              <w:spacing w:after="0"/>
              <w:rPr>
                <w:sz w:val="15"/>
                <w:szCs w:val="15"/>
                <w:color w:val="auto"/>
              </w:rPr>
            </w:pPr>
          </w:p>
        </w:tc>
        <w:tc>
          <w:tcPr>
            <w:tcW w:w="120" w:type="dxa"/>
            <w:vAlign w:val="bottom"/>
            <w:gridSpan w:val="3"/>
            <w:vMerge w:val="restart"/>
          </w:tcPr>
          <w:p>
            <w:pPr>
              <w:spacing w:after="0"/>
              <w:rPr>
                <w:sz w:val="15"/>
                <w:szCs w:val="15"/>
                <w:color w:val="auto"/>
              </w:rPr>
            </w:pPr>
          </w:p>
        </w:tc>
        <w:tc>
          <w:tcPr>
            <w:tcW w:w="280" w:type="dxa"/>
            <w:vAlign w:val="bottom"/>
            <w:gridSpan w:val="2"/>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00" w:type="dxa"/>
            <w:vAlign w:val="bottom"/>
            <w:gridSpan w:val="1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6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2120" w:type="dxa"/>
            <w:vAlign w:val="bottom"/>
            <w:gridSpan w:val="16"/>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w w:val="95"/>
              </w:rPr>
            </w:pPr>
            <w:hyperlink r:id="rId75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10"/>
            <w:vMerge w:val="restart"/>
          </w:tcPr>
          <w:p>
            <w:pPr>
              <w:spacing w:after="0"/>
              <w:rPr>
                <w:rFonts w:ascii="Times New Roman" w:cs="Times New Roman" w:eastAsia="Times New Roman" w:hAnsi="Times New Roman"/>
                <w:sz w:val="18"/>
                <w:szCs w:val="18"/>
                <w:color w:val="0000EE"/>
                <w:w w:val="99"/>
              </w:rPr>
            </w:pPr>
            <w:hyperlink r:id="rId750">
              <w:r>
                <w:rPr>
                  <w:rFonts w:ascii="Times New Roman" w:cs="Times New Roman" w:eastAsia="Times New Roman" w:hAnsi="Times New Roman"/>
                  <w:sz w:val="18"/>
                  <w:szCs w:val="18"/>
                  <w:color w:val="0000EE"/>
                  <w:w w:val="99"/>
                </w:rPr>
                <w:t>Form of Executive Employment Agreement.</w:t>
              </w:r>
            </w:hyperlink>
          </w:p>
        </w:tc>
        <w:tc>
          <w:tcPr>
            <w:tcW w:w="160" w:type="dxa"/>
            <w:vAlign w:val="bottom"/>
            <w:tcBorders>
              <w:bottom w:val="single" w:sz="8" w:color="0000EE"/>
            </w:tcBorders>
            <w:gridSpan w:val="3"/>
          </w:tcPr>
          <w:p>
            <w:pPr>
              <w:jc w:val="right"/>
              <w:spacing w:after="0"/>
              <w:rPr>
                <w:rFonts w:ascii="Times New Roman" w:cs="Times New Roman" w:eastAsia="Times New Roman" w:hAnsi="Times New Roman"/>
                <w:sz w:val="14"/>
                <w:szCs w:val="14"/>
                <w:color w:val="0000EE"/>
                <w:w w:val="85"/>
              </w:rPr>
            </w:pPr>
            <w:hyperlink r:id="rId750">
              <w:r>
                <w:rPr>
                  <w:rFonts w:ascii="Times New Roman" w:cs="Times New Roman" w:eastAsia="Times New Roman" w:hAnsi="Times New Roman"/>
                  <w:sz w:val="14"/>
                  <w:szCs w:val="14"/>
                  <w:color w:val="0000EE"/>
                  <w:w w:val="85"/>
                </w:rPr>
                <w:t>(6)</w:t>
              </w:r>
            </w:hyperlink>
          </w:p>
        </w:tc>
        <w:tc>
          <w:tcPr>
            <w:tcW w:w="140" w:type="dxa"/>
            <w:vAlign w:val="bottom"/>
            <w:gridSpan w:val="2"/>
            <w:vMerge w:val="restart"/>
          </w:tcPr>
          <w:p>
            <w:pPr>
              <w:jc w:val="right"/>
              <w:spacing w:after="0"/>
              <w:rPr>
                <w:rFonts w:ascii="Times New Roman" w:cs="Times New Roman" w:eastAsia="Times New Roman" w:hAnsi="Times New Roman"/>
                <w:sz w:val="18"/>
                <w:szCs w:val="18"/>
                <w:color w:val="0000EE"/>
              </w:rPr>
            </w:pPr>
            <w:hyperlink r:id="rId750">
              <w:r>
                <w:rPr>
                  <w:rFonts w:ascii="Times New Roman" w:cs="Times New Roman" w:eastAsia="Times New Roman" w:hAnsi="Times New Roman"/>
                  <w:sz w:val="18"/>
                  <w:szCs w:val="18"/>
                  <w:color w:val="0000EE"/>
                </w:rPr>
                <w:t>*</w:t>
              </w:r>
            </w:hyperlink>
          </w:p>
        </w:tc>
        <w:tc>
          <w:tcPr>
            <w:tcW w:w="2080" w:type="dxa"/>
            <w:vAlign w:val="bottom"/>
            <w:gridSpan w:val="15"/>
            <w:vMerge w:val="restart"/>
          </w:tcPr>
          <w:p>
            <w:pPr>
              <w:spacing w:after="0"/>
              <w:rPr>
                <w:sz w:val="15"/>
                <w:szCs w:val="15"/>
                <w:color w:val="auto"/>
              </w:rPr>
            </w:pPr>
          </w:p>
        </w:tc>
        <w:tc>
          <w:tcPr>
            <w:tcW w:w="220" w:type="dxa"/>
            <w:vAlign w:val="bottom"/>
            <w:gridSpan w:val="4"/>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gridSpan w:val="3"/>
            <w:vMerge w:val="restart"/>
          </w:tcPr>
          <w:p>
            <w:pPr>
              <w:spacing w:after="0"/>
              <w:rPr>
                <w:sz w:val="15"/>
                <w:szCs w:val="15"/>
                <w:color w:val="auto"/>
              </w:rPr>
            </w:pPr>
          </w:p>
        </w:tc>
        <w:tc>
          <w:tcPr>
            <w:tcW w:w="120" w:type="dxa"/>
            <w:vAlign w:val="bottom"/>
            <w:gridSpan w:val="3"/>
            <w:vMerge w:val="restart"/>
          </w:tcPr>
          <w:p>
            <w:pPr>
              <w:spacing w:after="0"/>
              <w:rPr>
                <w:sz w:val="15"/>
                <w:szCs w:val="15"/>
                <w:color w:val="auto"/>
              </w:rPr>
            </w:pPr>
          </w:p>
        </w:tc>
        <w:tc>
          <w:tcPr>
            <w:tcW w:w="280" w:type="dxa"/>
            <w:vAlign w:val="bottom"/>
            <w:gridSpan w:val="2"/>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00" w:type="dxa"/>
            <w:vAlign w:val="bottom"/>
            <w:gridSpan w:val="1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20" w:type="dxa"/>
            <w:vAlign w:val="bottom"/>
            <w:tcBorders>
              <w:bottom w:val="single" w:sz="8" w:color="0000EE"/>
            </w:tcBorders>
            <w:gridSpan w:val="10"/>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140" w:type="dxa"/>
            <w:vAlign w:val="bottom"/>
            <w:tcBorders>
              <w:bottom w:val="single" w:sz="8" w:color="0000EE"/>
            </w:tcBorders>
            <w:gridSpan w:val="2"/>
            <w:vMerge w:val="continue"/>
          </w:tcPr>
          <w:p>
            <w:pPr>
              <w:spacing w:after="0"/>
              <w:rPr>
                <w:sz w:val="5"/>
                <w:szCs w:val="5"/>
                <w:color w:val="auto"/>
              </w:rPr>
            </w:pPr>
          </w:p>
        </w:tc>
        <w:tc>
          <w:tcPr>
            <w:tcW w:w="2080" w:type="dxa"/>
            <w:vAlign w:val="bottom"/>
            <w:gridSpan w:val="15"/>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gridSpan w:val="2"/>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EE"/>
                <w:w w:val="95"/>
              </w:rPr>
            </w:pPr>
            <w:hyperlink r:id="rId75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80" w:type="dxa"/>
            <w:vAlign w:val="bottom"/>
            <w:gridSpan w:val="32"/>
            <w:vMerge w:val="restart"/>
          </w:tcPr>
          <w:p>
            <w:pPr>
              <w:spacing w:after="0"/>
              <w:rPr>
                <w:rFonts w:ascii="Times New Roman" w:cs="Times New Roman" w:eastAsia="Times New Roman" w:hAnsi="Times New Roman"/>
                <w:sz w:val="18"/>
                <w:szCs w:val="18"/>
                <w:color w:val="0000EE"/>
                <w:w w:val="99"/>
              </w:rPr>
            </w:pPr>
            <w:hyperlink r:id="rId751">
              <w:r>
                <w:rPr>
                  <w:rFonts w:ascii="Times New Roman" w:cs="Times New Roman" w:eastAsia="Times New Roman" w:hAnsi="Times New Roman"/>
                  <w:sz w:val="18"/>
                  <w:szCs w:val="18"/>
                  <w:color w:val="0000EE"/>
                  <w:w w:val="99"/>
                </w:rPr>
                <w:t>Form of Indemnification Agreement for Officers and Directors of the Company.</w:t>
              </w:r>
            </w:hyperlink>
          </w:p>
        </w:tc>
        <w:tc>
          <w:tcPr>
            <w:tcW w:w="160" w:type="dxa"/>
            <w:vAlign w:val="bottom"/>
            <w:tcBorders>
              <w:bottom w:val="single" w:sz="8" w:color="0000EE"/>
            </w:tcBorders>
            <w:gridSpan w:val="6"/>
          </w:tcPr>
          <w:p>
            <w:pPr>
              <w:jc w:val="right"/>
              <w:spacing w:after="0"/>
              <w:rPr>
                <w:rFonts w:ascii="Times New Roman" w:cs="Times New Roman" w:eastAsia="Times New Roman" w:hAnsi="Times New Roman"/>
                <w:sz w:val="14"/>
                <w:szCs w:val="14"/>
                <w:color w:val="0000EE"/>
                <w:w w:val="85"/>
              </w:rPr>
            </w:pPr>
            <w:hyperlink r:id="rId751">
              <w:r>
                <w:rPr>
                  <w:rFonts w:ascii="Times New Roman" w:cs="Times New Roman" w:eastAsia="Times New Roman" w:hAnsi="Times New Roman"/>
                  <w:sz w:val="14"/>
                  <w:szCs w:val="14"/>
                  <w:color w:val="0000EE"/>
                  <w:w w:val="85"/>
                </w:rPr>
                <w:t>(7)</w:t>
              </w:r>
            </w:hyperlink>
          </w:p>
        </w:tc>
        <w:tc>
          <w:tcPr>
            <w:tcW w:w="120" w:type="dxa"/>
            <w:vAlign w:val="bottom"/>
            <w:gridSpan w:val="3"/>
            <w:vMerge w:val="restart"/>
          </w:tcPr>
          <w:p>
            <w:pPr>
              <w:spacing w:after="0"/>
              <w:rPr>
                <w:sz w:val="15"/>
                <w:szCs w:val="15"/>
                <w:color w:val="auto"/>
              </w:rPr>
            </w:pPr>
          </w:p>
        </w:tc>
        <w:tc>
          <w:tcPr>
            <w:tcW w:w="280" w:type="dxa"/>
            <w:vAlign w:val="bottom"/>
            <w:gridSpan w:val="2"/>
            <w:vMerge w:val="restart"/>
          </w:tcPr>
          <w:p>
            <w:pPr>
              <w:spacing w:after="0"/>
              <w:rPr>
                <w:sz w:val="15"/>
                <w:szCs w:val="15"/>
                <w:color w:val="auto"/>
              </w:rPr>
            </w:pPr>
          </w:p>
        </w:tc>
        <w:tc>
          <w:tcPr>
            <w:tcW w:w="220" w:type="dxa"/>
            <w:vAlign w:val="bottom"/>
            <w:gridSpan w:val="3"/>
            <w:vMerge w:val="restart"/>
          </w:tcPr>
          <w:p>
            <w:pPr>
              <w:spacing w:after="0"/>
              <w:rPr>
                <w:sz w:val="15"/>
                <w:szCs w:val="15"/>
                <w:color w:val="auto"/>
              </w:rPr>
            </w:pPr>
          </w:p>
        </w:tc>
        <w:tc>
          <w:tcPr>
            <w:tcW w:w="900" w:type="dxa"/>
            <w:vAlign w:val="bottom"/>
            <w:gridSpan w:val="16"/>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3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780" w:type="dxa"/>
            <w:vAlign w:val="bottom"/>
            <w:tcBorders>
              <w:bottom w:val="single" w:sz="8" w:color="0000EE"/>
            </w:tcBorders>
            <w:gridSpan w:val="32"/>
            <w:vMerge w:val="continue"/>
          </w:tcPr>
          <w:p>
            <w:pPr>
              <w:spacing w:after="0"/>
              <w:rPr>
                <w:sz w:val="5"/>
                <w:szCs w:val="5"/>
                <w:color w:val="auto"/>
              </w:rPr>
            </w:pPr>
          </w:p>
        </w:tc>
        <w:tc>
          <w:tcPr>
            <w:tcW w:w="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gridSpan w:val="3"/>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9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40" w:type="dxa"/>
            <w:vAlign w:val="bottom"/>
            <w:gridSpan w:val="3"/>
          </w:tcPr>
          <w:p>
            <w:pPr>
              <w:jc w:val="right"/>
              <w:spacing w:after="0"/>
              <w:rPr>
                <w:rFonts w:ascii="Times New Roman" w:cs="Times New Roman" w:eastAsia="Times New Roman" w:hAnsi="Times New Roman"/>
                <w:sz w:val="18"/>
                <w:szCs w:val="18"/>
                <w:color w:val="0000EE"/>
              </w:rPr>
            </w:pPr>
            <w:hyperlink r:id="rId7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r:id="rId752">
              <w:r>
                <w:rPr>
                  <w:rFonts w:ascii="Times New Roman" w:cs="Times New Roman" w:eastAsia="Times New Roman" w:hAnsi="Times New Roman"/>
                  <w:sz w:val="18"/>
                  <w:szCs w:val="18"/>
                  <w:color w:val="0000EE"/>
                </w:rPr>
                <w:t>Amended and Restated Limited Liability Company Agreement of KCAP Freedom 3 LLC, dated</w:t>
              </w:r>
            </w:hyperlink>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340" w:type="dxa"/>
            <w:vAlign w:val="bottom"/>
            <w:tcBorders>
              <w:top w:val="single" w:sz="8" w:color="0000EE"/>
              <w:bottom w:val="single" w:sz="8" w:color="0000EE"/>
            </w:tcBorders>
            <w:gridSpan w:val="43"/>
            <w:vMerge w:val="restart"/>
          </w:tcPr>
          <w:p>
            <w:pPr>
              <w:spacing w:after="0" w:line="196" w:lineRule="exact"/>
              <w:rPr>
                <w:rFonts w:ascii="Times New Roman" w:cs="Times New Roman" w:eastAsia="Times New Roman" w:hAnsi="Times New Roman"/>
                <w:sz w:val="18"/>
                <w:szCs w:val="18"/>
                <w:color w:val="0000EE"/>
                <w:w w:val="99"/>
              </w:rPr>
            </w:pPr>
            <w:hyperlink r:id="rId752">
              <w:r>
                <w:rPr>
                  <w:rFonts w:ascii="Times New Roman" w:cs="Times New Roman" w:eastAsia="Times New Roman" w:hAnsi="Times New Roman"/>
                  <w:sz w:val="18"/>
                  <w:szCs w:val="18"/>
                  <w:color w:val="0000EE"/>
                  <w:w w:val="99"/>
                </w:rPr>
                <w:t>July 19, 2017, by and between KCAP Financial, Inc. and Freedom 3 Opportunities LLC</w:t>
              </w:r>
            </w:hyperlink>
          </w:p>
        </w:tc>
        <w:tc>
          <w:tcPr>
            <w:tcW w:w="220" w:type="dxa"/>
            <w:vAlign w:val="bottom"/>
            <w:tcBorders>
              <w:top w:val="single" w:sz="8" w:color="0000EE"/>
              <w:bottom w:val="single" w:sz="8" w:color="0000EE"/>
            </w:tcBorders>
            <w:gridSpan w:val="3"/>
          </w:tcPr>
          <w:p>
            <w:pPr>
              <w:jc w:val="right"/>
              <w:spacing w:after="0" w:line="102" w:lineRule="exact"/>
              <w:rPr>
                <w:rFonts w:ascii="Times New Roman" w:cs="Times New Roman" w:eastAsia="Times New Roman" w:hAnsi="Times New Roman"/>
                <w:sz w:val="11"/>
                <w:szCs w:val="11"/>
                <w:color w:val="0000EE"/>
              </w:rPr>
            </w:pPr>
            <w:hyperlink r:id="rId752">
              <w:r>
                <w:rPr>
                  <w:rFonts w:ascii="Times New Roman" w:cs="Times New Roman" w:eastAsia="Times New Roman" w:hAnsi="Times New Roman"/>
                  <w:sz w:val="11"/>
                  <w:szCs w:val="11"/>
                  <w:color w:val="0000EE"/>
                </w:rPr>
                <w:t>(11)</w:t>
              </w:r>
            </w:hyperlink>
          </w:p>
        </w:tc>
        <w:tc>
          <w:tcPr>
            <w:tcW w:w="380" w:type="dxa"/>
            <w:vAlign w:val="bottom"/>
            <w:tcBorders>
              <w:top w:val="single" w:sz="8" w:color="0000EE"/>
              <w:bottom w:val="single" w:sz="8" w:color="0000EE"/>
            </w:tcBorders>
            <w:gridSpan w:val="3"/>
            <w:vMerge w:val="restart"/>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340" w:type="dxa"/>
            <w:vAlign w:val="bottom"/>
            <w:tcBorders>
              <w:bottom w:val="single" w:sz="8" w:color="0000EE"/>
            </w:tcBorders>
            <w:gridSpan w:val="43"/>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00" w:type="dxa"/>
            <w:vAlign w:val="bottom"/>
            <w:gridSpan w:val="2"/>
          </w:tcPr>
          <w:p>
            <w:pPr>
              <w:spacing w:after="0"/>
              <w:rPr>
                <w:sz w:val="5"/>
                <w:szCs w:val="5"/>
                <w:color w:val="auto"/>
              </w:rPr>
            </w:pPr>
          </w:p>
        </w:tc>
        <w:tc>
          <w:tcPr>
            <w:tcW w:w="3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20" w:type="dxa"/>
            <w:vAlign w:val="bottom"/>
            <w:gridSpan w:val="2"/>
          </w:tcPr>
          <w:p>
            <w:pPr>
              <w:spacing w:after="0"/>
              <w:rPr>
                <w:sz w:val="22"/>
                <w:szCs w:val="22"/>
                <w:color w:val="auto"/>
              </w:rPr>
            </w:pPr>
          </w:p>
        </w:tc>
        <w:tc>
          <w:tcPr>
            <w:tcW w:w="320" w:type="dxa"/>
            <w:vAlign w:val="bottom"/>
          </w:tcPr>
          <w:p>
            <w:pPr>
              <w:jc w:val="right"/>
              <w:spacing w:after="0"/>
              <w:rPr>
                <w:rFonts w:ascii="Times New Roman" w:cs="Times New Roman" w:eastAsia="Times New Roman" w:hAnsi="Times New Roman"/>
                <w:sz w:val="18"/>
                <w:szCs w:val="18"/>
                <w:color w:val="0000EE"/>
                <w:w w:val="95"/>
              </w:rPr>
            </w:pPr>
            <w:hyperlink r:id="rId75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r:id="rId753">
              <w:r>
                <w:rPr>
                  <w:rFonts w:ascii="Times New Roman" w:cs="Times New Roman" w:eastAsia="Times New Roman" w:hAnsi="Times New Roman"/>
                  <w:sz w:val="18"/>
                  <w:szCs w:val="18"/>
                  <w:color w:val="0000EE"/>
                </w:rPr>
                <w:t>Agreement and Plan of Merger, dated as of November 8, 2018, by and among the Company,</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tcBorders>
              <w:bottom w:val="single" w:sz="8" w:color="0000EE"/>
            </w:tcBorders>
            <w:gridSpan w:val="58"/>
          </w:tcPr>
          <w:p>
            <w:pPr>
              <w:spacing w:after="0" w:line="196" w:lineRule="exact"/>
              <w:rPr>
                <w:rFonts w:ascii="Times New Roman" w:cs="Times New Roman" w:eastAsia="Times New Roman" w:hAnsi="Times New Roman"/>
                <w:sz w:val="18"/>
                <w:szCs w:val="18"/>
                <w:color w:val="0000EE"/>
                <w:w w:val="99"/>
              </w:rPr>
            </w:pPr>
            <w:hyperlink r:id="rId753">
              <w:r>
                <w:rPr>
                  <w:rFonts w:ascii="Times New Roman" w:cs="Times New Roman" w:eastAsia="Times New Roman" w:hAnsi="Times New Roman"/>
                  <w:sz w:val="18"/>
                  <w:szCs w:val="18"/>
                  <w:color w:val="0000EE"/>
                  <w:w w:val="99"/>
                </w:rPr>
                <w:t>Commodore Holdings, L.L.C., Katonah Debt Advisors, L.L.C., Trimaran Advisors, L.L.C., Trimaran</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60" w:type="dxa"/>
            <w:vAlign w:val="bottom"/>
            <w:gridSpan w:val="62"/>
          </w:tcPr>
          <w:p>
            <w:pPr>
              <w:spacing w:after="0" w:line="196" w:lineRule="exact"/>
              <w:rPr>
                <w:rFonts w:ascii="Times New Roman" w:cs="Times New Roman" w:eastAsia="Times New Roman" w:hAnsi="Times New Roman"/>
                <w:sz w:val="18"/>
                <w:szCs w:val="18"/>
                <w:color w:val="0000EE"/>
              </w:rPr>
            </w:pPr>
            <w:hyperlink r:id="rId753">
              <w:r>
                <w:rPr>
                  <w:rFonts w:ascii="Times New Roman" w:cs="Times New Roman" w:eastAsia="Times New Roman" w:hAnsi="Times New Roman"/>
                  <w:sz w:val="18"/>
                  <w:szCs w:val="18"/>
                  <w:color w:val="0000EE"/>
                </w:rPr>
                <w:t>Advisors Management, L.L.C., LibreMax Intermediate Holdings, LP, LM Rubicon Merger Sub 1,</w:t>
              </w:r>
            </w:hyperlink>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0" w:type="dxa"/>
            <w:vAlign w:val="bottom"/>
            <w:tcBorders>
              <w:top w:val="single" w:sz="8" w:color="0000EE"/>
              <w:bottom w:val="single" w:sz="8" w:color="0000EE"/>
            </w:tcBorders>
            <w:gridSpan w:val="30"/>
            <w:vMerge w:val="restart"/>
          </w:tcPr>
          <w:p>
            <w:pPr>
              <w:spacing w:after="0" w:line="196" w:lineRule="exact"/>
              <w:rPr>
                <w:rFonts w:ascii="Times New Roman" w:cs="Times New Roman" w:eastAsia="Times New Roman" w:hAnsi="Times New Roman"/>
                <w:sz w:val="18"/>
                <w:szCs w:val="18"/>
                <w:color w:val="0000EE"/>
                <w:w w:val="99"/>
              </w:rPr>
            </w:pPr>
            <w:hyperlink r:id="rId753">
              <w:r>
                <w:rPr>
                  <w:rFonts w:ascii="Times New Roman" w:cs="Times New Roman" w:eastAsia="Times New Roman" w:hAnsi="Times New Roman"/>
                  <w:sz w:val="18"/>
                  <w:szCs w:val="18"/>
                  <w:color w:val="0000EE"/>
                  <w:w w:val="99"/>
                </w:rPr>
                <w:t>LLC, LM Rubicon Merger Sub 2, LLC, and LM Rubicon Merger Sub 3, LLC</w:t>
              </w:r>
            </w:hyperlink>
          </w:p>
        </w:tc>
        <w:tc>
          <w:tcPr>
            <w:tcW w:w="220" w:type="dxa"/>
            <w:vAlign w:val="bottom"/>
            <w:tcBorders>
              <w:top w:val="single" w:sz="8" w:color="0000EE"/>
              <w:bottom w:val="single" w:sz="8" w:color="0000EE"/>
            </w:tcBorders>
            <w:gridSpan w:val="4"/>
          </w:tcPr>
          <w:p>
            <w:pPr>
              <w:jc w:val="right"/>
              <w:spacing w:after="0" w:line="102" w:lineRule="exact"/>
              <w:rPr>
                <w:rFonts w:ascii="Times New Roman" w:cs="Times New Roman" w:eastAsia="Times New Roman" w:hAnsi="Times New Roman"/>
                <w:sz w:val="11"/>
                <w:szCs w:val="11"/>
                <w:color w:val="0000EE"/>
              </w:rPr>
            </w:pPr>
            <w:hyperlink r:id="rId753">
              <w:r>
                <w:rPr>
                  <w:rFonts w:ascii="Times New Roman" w:cs="Times New Roman" w:eastAsia="Times New Roman" w:hAnsi="Times New Roman"/>
                  <w:sz w:val="11"/>
                  <w:szCs w:val="11"/>
                  <w:color w:val="0000EE"/>
                </w:rPr>
                <w:t>(12)</w:t>
              </w:r>
            </w:hyperlink>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20" w:type="dxa"/>
            <w:vAlign w:val="bottom"/>
            <w:tcBorders>
              <w:top w:val="single" w:sz="8" w:color="0000EE"/>
              <w:bottom w:val="single" w:sz="8" w:color="0000EE"/>
            </w:tcBorders>
            <w:gridSpan w:val="6"/>
            <w:vMerge w:val="restart"/>
          </w:tcPr>
          <w:p>
            <w:pPr>
              <w:spacing w:after="0"/>
              <w:rPr>
                <w:sz w:val="10"/>
                <w:szCs w:val="10"/>
                <w:color w:val="auto"/>
              </w:rPr>
            </w:pPr>
          </w:p>
        </w:tc>
        <w:tc>
          <w:tcPr>
            <w:tcW w:w="1000" w:type="dxa"/>
            <w:vAlign w:val="bottom"/>
            <w:tcBorders>
              <w:top w:val="single" w:sz="8" w:color="0000EE"/>
              <w:bottom w:val="single" w:sz="8" w:color="0000EE"/>
            </w:tcBorders>
            <w:gridSpan w:val="12"/>
            <w:vMerge w:val="restart"/>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0" w:type="dxa"/>
            <w:vAlign w:val="bottom"/>
            <w:tcBorders>
              <w:bottom w:val="single" w:sz="8" w:color="0000EE"/>
            </w:tcBorders>
            <w:gridSpan w:val="30"/>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00" w:type="dxa"/>
            <w:vAlign w:val="bottom"/>
            <w:gridSpan w:val="3"/>
          </w:tcPr>
          <w:p>
            <w:pPr>
              <w:spacing w:after="0"/>
              <w:rPr>
                <w:sz w:val="5"/>
                <w:szCs w:val="5"/>
                <w:color w:val="auto"/>
              </w:rPr>
            </w:pPr>
          </w:p>
        </w:tc>
        <w:tc>
          <w:tcPr>
            <w:tcW w:w="20" w:type="dxa"/>
            <w:vAlign w:val="bottom"/>
            <w:vMerge w:val="continue"/>
          </w:tcPr>
          <w:p>
            <w:pPr>
              <w:spacing w:after="0"/>
              <w:rPr>
                <w:sz w:val="5"/>
                <w:szCs w:val="5"/>
                <w:color w:val="auto"/>
              </w:rPr>
            </w:pPr>
          </w:p>
        </w:tc>
        <w:tc>
          <w:tcPr>
            <w:tcW w:w="220" w:type="dxa"/>
            <w:vAlign w:val="bottom"/>
            <w:gridSpan w:val="6"/>
            <w:vMerge w:val="continue"/>
          </w:tcPr>
          <w:p>
            <w:pPr>
              <w:spacing w:after="0"/>
              <w:rPr>
                <w:sz w:val="5"/>
                <w:szCs w:val="5"/>
                <w:color w:val="auto"/>
              </w:rPr>
            </w:pPr>
          </w:p>
        </w:tc>
        <w:tc>
          <w:tcPr>
            <w:tcW w:w="1000" w:type="dxa"/>
            <w:vAlign w:val="bottom"/>
            <w:gridSpan w:val="1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40" w:type="dxa"/>
            <w:vAlign w:val="bottom"/>
            <w:gridSpan w:val="3"/>
          </w:tcPr>
          <w:p>
            <w:pPr>
              <w:jc w:val="right"/>
              <w:spacing w:after="0"/>
              <w:rPr>
                <w:rFonts w:ascii="Times New Roman" w:cs="Times New Roman" w:eastAsia="Times New Roman" w:hAnsi="Times New Roman"/>
                <w:sz w:val="18"/>
                <w:szCs w:val="18"/>
                <w:color w:val="0000EE"/>
              </w:rPr>
            </w:pPr>
            <w:hyperlink r:id="rId75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r:id="rId754">
              <w:r>
                <w:rPr>
                  <w:rFonts w:ascii="Times New Roman" w:cs="Times New Roman" w:eastAsia="Times New Roman" w:hAnsi="Times New Roman"/>
                  <w:sz w:val="18"/>
                  <w:szCs w:val="18"/>
                  <w:color w:val="0000EE"/>
                </w:rPr>
                <w:t>Stock Purchase and Transaction Agreement, dated December 14, 2018, by and between KCAP</w:t>
              </w:r>
            </w:hyperlink>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60" w:type="dxa"/>
            <w:vAlign w:val="bottom"/>
            <w:tcBorders>
              <w:top w:val="single" w:sz="8" w:color="0000EE"/>
              <w:bottom w:val="single" w:sz="8" w:color="0000EE"/>
            </w:tcBorders>
            <w:gridSpan w:val="11"/>
            <w:vMerge w:val="restart"/>
          </w:tcPr>
          <w:p>
            <w:pPr>
              <w:spacing w:after="0" w:line="196" w:lineRule="exact"/>
              <w:rPr>
                <w:rFonts w:ascii="Times New Roman" w:cs="Times New Roman" w:eastAsia="Times New Roman" w:hAnsi="Times New Roman"/>
                <w:sz w:val="18"/>
                <w:szCs w:val="18"/>
                <w:color w:val="0000EE"/>
                <w:w w:val="99"/>
              </w:rPr>
            </w:pPr>
            <w:hyperlink r:id="rId754">
              <w:r>
                <w:rPr>
                  <w:rFonts w:ascii="Times New Roman" w:cs="Times New Roman" w:eastAsia="Times New Roman" w:hAnsi="Times New Roman"/>
                  <w:sz w:val="18"/>
                  <w:szCs w:val="18"/>
                  <w:color w:val="0000EE"/>
                  <w:w w:val="99"/>
                </w:rPr>
                <w:t>Financial, Inc. and BC Partners Advisors L.P</w:t>
              </w:r>
            </w:hyperlink>
          </w:p>
        </w:tc>
        <w:tc>
          <w:tcPr>
            <w:tcW w:w="220" w:type="dxa"/>
            <w:vAlign w:val="bottom"/>
            <w:tcBorders>
              <w:top w:val="single" w:sz="8" w:color="0000EE"/>
              <w:bottom w:val="single" w:sz="8" w:color="0000EE"/>
            </w:tcBorders>
            <w:gridSpan w:val="3"/>
          </w:tcPr>
          <w:p>
            <w:pPr>
              <w:jc w:val="right"/>
              <w:spacing w:after="0" w:line="102" w:lineRule="exact"/>
              <w:rPr>
                <w:rFonts w:ascii="Times New Roman" w:cs="Times New Roman" w:eastAsia="Times New Roman" w:hAnsi="Times New Roman"/>
                <w:sz w:val="11"/>
                <w:szCs w:val="11"/>
                <w:color w:val="0000EE"/>
              </w:rPr>
            </w:pPr>
            <w:hyperlink r:id="rId754">
              <w:r>
                <w:rPr>
                  <w:rFonts w:ascii="Times New Roman" w:cs="Times New Roman" w:eastAsia="Times New Roman" w:hAnsi="Times New Roman"/>
                  <w:sz w:val="11"/>
                  <w:szCs w:val="11"/>
                  <w:color w:val="0000EE"/>
                </w:rPr>
                <w:t>(13)</w:t>
              </w:r>
            </w:hyperlink>
          </w:p>
        </w:tc>
        <w:tc>
          <w:tcPr>
            <w:tcW w:w="2360" w:type="dxa"/>
            <w:vAlign w:val="bottom"/>
            <w:tcBorders>
              <w:top w:val="single" w:sz="8" w:color="0000EE"/>
              <w:bottom w:val="single" w:sz="8" w:color="0000EE"/>
            </w:tcBorders>
            <w:gridSpan w:val="21"/>
            <w:vMerge w:val="restart"/>
          </w:tcPr>
          <w:p>
            <w:pPr>
              <w:spacing w:after="0"/>
              <w:rPr>
                <w:sz w:val="10"/>
                <w:szCs w:val="10"/>
                <w:color w:val="auto"/>
              </w:rPr>
            </w:pPr>
          </w:p>
        </w:tc>
        <w:tc>
          <w:tcPr>
            <w:tcW w:w="220" w:type="dxa"/>
            <w:vAlign w:val="bottom"/>
            <w:tcBorders>
              <w:top w:val="single" w:sz="8" w:color="0000EE"/>
              <w:bottom w:val="single" w:sz="8" w:color="0000EE"/>
            </w:tcBorders>
            <w:gridSpan w:val="6"/>
            <w:vMerge w:val="restart"/>
          </w:tcPr>
          <w:p>
            <w:pPr>
              <w:spacing w:after="0"/>
              <w:rPr>
                <w:sz w:val="10"/>
                <w:szCs w:val="10"/>
                <w:color w:val="auto"/>
              </w:rPr>
            </w:pPr>
          </w:p>
        </w:tc>
        <w:tc>
          <w:tcPr>
            <w:tcW w:w="780" w:type="dxa"/>
            <w:vAlign w:val="bottom"/>
            <w:tcBorders>
              <w:top w:val="single" w:sz="8" w:color="0000EE"/>
              <w:bottom w:val="single" w:sz="8" w:color="0000EE"/>
            </w:tcBorders>
            <w:gridSpan w:val="7"/>
            <w:vMerge w:val="restart"/>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60" w:type="dxa"/>
            <w:vAlign w:val="bottom"/>
            <w:tcBorders>
              <w:bottom w:val="single" w:sz="8" w:color="0000EE"/>
            </w:tcBorders>
            <w:gridSpan w:val="11"/>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00" w:type="dxa"/>
            <w:vAlign w:val="bottom"/>
            <w:gridSpan w:val="2"/>
          </w:tcPr>
          <w:p>
            <w:pPr>
              <w:spacing w:after="0"/>
              <w:rPr>
                <w:sz w:val="5"/>
                <w:szCs w:val="5"/>
                <w:color w:val="auto"/>
              </w:rPr>
            </w:pPr>
          </w:p>
        </w:tc>
        <w:tc>
          <w:tcPr>
            <w:tcW w:w="2360" w:type="dxa"/>
            <w:vAlign w:val="bottom"/>
            <w:gridSpan w:val="21"/>
            <w:vMerge w:val="continue"/>
          </w:tcPr>
          <w:p>
            <w:pPr>
              <w:spacing w:after="0"/>
              <w:rPr>
                <w:sz w:val="5"/>
                <w:szCs w:val="5"/>
                <w:color w:val="auto"/>
              </w:rPr>
            </w:pPr>
          </w:p>
        </w:tc>
        <w:tc>
          <w:tcPr>
            <w:tcW w:w="220" w:type="dxa"/>
            <w:vAlign w:val="bottom"/>
            <w:gridSpan w:val="6"/>
            <w:vMerge w:val="continue"/>
          </w:tcPr>
          <w:p>
            <w:pPr>
              <w:spacing w:after="0"/>
              <w:rPr>
                <w:sz w:val="5"/>
                <w:szCs w:val="5"/>
                <w:color w:val="auto"/>
              </w:rPr>
            </w:pPr>
          </w:p>
        </w:tc>
        <w:tc>
          <w:tcPr>
            <w:tcW w:w="78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40" w:type="dxa"/>
            <w:vAlign w:val="bottom"/>
            <w:gridSpan w:val="5"/>
          </w:tcPr>
          <w:p>
            <w:pPr>
              <w:jc w:val="right"/>
              <w:ind w:right="20"/>
              <w:spacing w:after="0"/>
              <w:rPr>
                <w:rFonts w:ascii="Times New Roman" w:cs="Times New Roman" w:eastAsia="Times New Roman" w:hAnsi="Times New Roman"/>
                <w:sz w:val="18"/>
                <w:szCs w:val="18"/>
                <w:color w:val="0000EE"/>
              </w:rPr>
            </w:pPr>
            <w:hyperlink r:id="rId755">
              <w:r>
                <w:rPr>
                  <w:rFonts w:ascii="Times New Roman" w:cs="Times New Roman" w:eastAsia="Times New Roman" w:hAnsi="Times New Roman"/>
                  <w:sz w:val="18"/>
                  <w:szCs w:val="18"/>
                  <w:color w:val="0000EE"/>
                </w:rPr>
                <w:t>10.10</w:t>
              </w:r>
            </w:hyperlink>
          </w:p>
        </w:tc>
        <w:tc>
          <w:tcPr>
            <w:tcW w:w="220" w:type="dxa"/>
            <w:vAlign w:val="bottom"/>
          </w:tcPr>
          <w:p>
            <w:pPr>
              <w:spacing w:after="0"/>
              <w:rPr>
                <w:sz w:val="22"/>
                <w:szCs w:val="22"/>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r:id="rId755">
              <w:r>
                <w:rPr>
                  <w:rFonts w:ascii="Times New Roman" w:cs="Times New Roman" w:eastAsia="Times New Roman" w:hAnsi="Times New Roman"/>
                  <w:sz w:val="18"/>
                  <w:szCs w:val="18"/>
                  <w:color w:val="0000EE"/>
                </w:rPr>
                <w:t>Form of Voting and Support Agreement, dated December 14, 2018, by and between BC Partners</w:t>
              </w:r>
            </w:hyperlink>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40" w:type="dxa"/>
            <w:vAlign w:val="bottom"/>
            <w:tcBorders>
              <w:top w:val="single" w:sz="8" w:color="0000EE"/>
              <w:bottom w:val="single" w:sz="8" w:color="0000EE"/>
            </w:tcBorders>
            <w:gridSpan w:val="35"/>
            <w:vMerge w:val="restart"/>
          </w:tcPr>
          <w:p>
            <w:pPr>
              <w:spacing w:after="0" w:line="196" w:lineRule="exact"/>
              <w:rPr>
                <w:rFonts w:ascii="Times New Roman" w:cs="Times New Roman" w:eastAsia="Times New Roman" w:hAnsi="Times New Roman"/>
                <w:sz w:val="18"/>
                <w:szCs w:val="18"/>
                <w:color w:val="0000EE"/>
                <w:w w:val="99"/>
              </w:rPr>
            </w:pPr>
            <w:hyperlink r:id="rId755">
              <w:r>
                <w:rPr>
                  <w:rFonts w:ascii="Times New Roman" w:cs="Times New Roman" w:eastAsia="Times New Roman" w:hAnsi="Times New Roman"/>
                  <w:sz w:val="18"/>
                  <w:szCs w:val="18"/>
                  <w:color w:val="0000EE"/>
                  <w:w w:val="99"/>
                </w:rPr>
                <w:t>Advisors L.P. and the members of the board of directors of KCAP Financial, Inc.</w:t>
              </w:r>
            </w:hyperlink>
          </w:p>
        </w:tc>
        <w:tc>
          <w:tcPr>
            <w:tcW w:w="220" w:type="dxa"/>
            <w:vAlign w:val="bottom"/>
            <w:tcBorders>
              <w:top w:val="single" w:sz="8" w:color="0000EE"/>
              <w:bottom w:val="single" w:sz="8" w:color="0000EE"/>
            </w:tcBorders>
            <w:gridSpan w:val="6"/>
          </w:tcPr>
          <w:p>
            <w:pPr>
              <w:spacing w:after="0" w:line="102" w:lineRule="exact"/>
              <w:rPr>
                <w:rFonts w:ascii="Times New Roman" w:cs="Times New Roman" w:eastAsia="Times New Roman" w:hAnsi="Times New Roman"/>
                <w:sz w:val="11"/>
                <w:szCs w:val="11"/>
                <w:color w:val="0000EE"/>
              </w:rPr>
            </w:pPr>
            <w:hyperlink r:id="rId755">
              <w:r>
                <w:rPr>
                  <w:rFonts w:ascii="Times New Roman" w:cs="Times New Roman" w:eastAsia="Times New Roman" w:hAnsi="Times New Roman"/>
                  <w:sz w:val="11"/>
                  <w:szCs w:val="11"/>
                  <w:color w:val="0000EE"/>
                </w:rPr>
                <w:t>(13)</w:t>
              </w:r>
            </w:hyperlink>
          </w:p>
        </w:tc>
        <w:tc>
          <w:tcPr>
            <w:tcW w:w="900" w:type="dxa"/>
            <w:vAlign w:val="bottom"/>
            <w:tcBorders>
              <w:top w:val="single" w:sz="8" w:color="0000EE"/>
              <w:bottom w:val="single" w:sz="8" w:color="0000EE"/>
            </w:tcBorders>
            <w:gridSpan w:val="9"/>
            <w:vMerge w:val="restart"/>
          </w:tcPr>
          <w:p>
            <w:pPr>
              <w:spacing w:after="0"/>
              <w:rPr>
                <w:sz w:val="10"/>
                <w:szCs w:val="10"/>
                <w:color w:val="auto"/>
              </w:rPr>
            </w:pPr>
          </w:p>
        </w:tc>
        <w:tc>
          <w:tcPr>
            <w:tcW w:w="8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40" w:type="dxa"/>
            <w:vAlign w:val="bottom"/>
            <w:tcBorders>
              <w:bottom w:val="single" w:sz="8" w:color="0000EE"/>
            </w:tcBorders>
            <w:gridSpan w:val="35"/>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00" w:type="dxa"/>
            <w:vAlign w:val="bottom"/>
            <w:gridSpan w:val="5"/>
          </w:tcPr>
          <w:p>
            <w:pPr>
              <w:spacing w:after="0"/>
              <w:rPr>
                <w:sz w:val="5"/>
                <w:szCs w:val="5"/>
                <w:color w:val="auto"/>
              </w:rPr>
            </w:pPr>
          </w:p>
        </w:tc>
        <w:tc>
          <w:tcPr>
            <w:tcW w:w="90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20" w:type="dxa"/>
            <w:vAlign w:val="bottom"/>
            <w:gridSpan w:val="2"/>
          </w:tcPr>
          <w:p>
            <w:pPr>
              <w:spacing w:after="0"/>
              <w:rPr>
                <w:sz w:val="24"/>
                <w:szCs w:val="24"/>
                <w:color w:val="auto"/>
              </w:rPr>
            </w:pPr>
          </w:p>
        </w:tc>
        <w:tc>
          <w:tcPr>
            <w:tcW w:w="32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5"/>
              </w:rPr>
            </w:pPr>
            <w:hyperlink w:anchor="page105">
              <w:r>
                <w:rPr>
                  <w:rFonts w:ascii="Times New Roman" w:cs="Times New Roman" w:eastAsia="Times New Roman" w:hAnsi="Times New Roman"/>
                  <w:sz w:val="18"/>
                  <w:szCs w:val="18"/>
                  <w:color w:val="0000EE"/>
                  <w:w w:val="95"/>
                </w:rPr>
                <w:t>11.</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40" w:type="dxa"/>
            <w:vAlign w:val="bottom"/>
            <w:tcBorders>
              <w:bottom w:val="single" w:sz="8" w:color="0000EE"/>
            </w:tcBorders>
            <w:gridSpan w:val="61"/>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Computation of Per Share Earnings (included in the notes to the audited financial statements contained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60" w:type="dxa"/>
            <w:vAlign w:val="bottom"/>
            <w:gridSpan w:val="62"/>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in this report).</w:t>
              </w:r>
            </w:hyperlink>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gridSpan w:val="2"/>
          </w:tcPr>
          <w:p>
            <w:pPr>
              <w:spacing w:after="0"/>
              <w:rPr>
                <w:sz w:val="24"/>
                <w:szCs w:val="24"/>
                <w:color w:val="auto"/>
              </w:rPr>
            </w:pPr>
          </w:p>
        </w:tc>
        <w:tc>
          <w:tcPr>
            <w:tcW w:w="320" w:type="dxa"/>
            <w:vAlign w:val="bottom"/>
          </w:tcPr>
          <w:p>
            <w:pPr>
              <w:jc w:val="right"/>
              <w:spacing w:after="0"/>
              <w:rPr>
                <w:rFonts w:ascii="Times New Roman" w:cs="Times New Roman" w:eastAsia="Times New Roman" w:hAnsi="Times New Roman"/>
                <w:sz w:val="18"/>
                <w:szCs w:val="18"/>
                <w:color w:val="0000EE"/>
                <w:w w:val="95"/>
              </w:rPr>
            </w:pPr>
            <w:hyperlink w:anchor="page192">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w:anchor="page192">
              <w:r>
                <w:rPr>
                  <w:rFonts w:ascii="Times New Roman" w:cs="Times New Roman" w:eastAsia="Times New Roman" w:hAnsi="Times New Roman"/>
                  <w:sz w:val="18"/>
                  <w:szCs w:val="18"/>
                  <w:color w:val="0000EE"/>
                </w:rPr>
                <w:t>List of Subsidiaries.**</w:t>
              </w:r>
            </w:hyperlink>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gridSpan w:val="2"/>
          </w:tcPr>
          <w:p>
            <w:pPr>
              <w:spacing w:after="0"/>
              <w:rPr>
                <w:sz w:val="21"/>
                <w:szCs w:val="21"/>
                <w:color w:val="auto"/>
              </w:rPr>
            </w:pPr>
          </w:p>
        </w:tc>
        <w:tc>
          <w:tcPr>
            <w:tcW w:w="320" w:type="dxa"/>
            <w:vAlign w:val="bottom"/>
          </w:tcPr>
          <w:p>
            <w:pPr>
              <w:jc w:val="right"/>
              <w:spacing w:after="0"/>
              <w:rPr>
                <w:rFonts w:ascii="Times New Roman" w:cs="Times New Roman" w:eastAsia="Times New Roman" w:hAnsi="Times New Roman"/>
                <w:sz w:val="18"/>
                <w:szCs w:val="18"/>
                <w:color w:val="0000EE"/>
                <w:w w:val="95"/>
              </w:rPr>
            </w:pPr>
            <w:hyperlink w:anchor="page193">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Consent of Ernst &amp; Young LLP, Independent Registered Public Accounting Firm relating to KCAP</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193">
              <w:r>
                <w:rPr>
                  <w:rFonts w:ascii="Times New Roman" w:cs="Times New Roman" w:eastAsia="Times New Roman" w:hAnsi="Times New Roman"/>
                  <w:sz w:val="18"/>
                  <w:szCs w:val="18"/>
                  <w:color w:val="0000EE"/>
                  <w:w w:val="98"/>
                </w:rPr>
                <w:t>Financial, Inc.**</w:t>
              </w:r>
            </w:hyperlink>
          </w:p>
        </w:tc>
        <w:tc>
          <w:tcPr>
            <w:tcW w:w="5920" w:type="dxa"/>
            <w:vAlign w:val="bottom"/>
            <w:tcBorders>
              <w:top w:val="single" w:sz="8" w:color="0000EE"/>
            </w:tcBorders>
            <w:gridSpan w:val="53"/>
          </w:tcPr>
          <w:p>
            <w:pPr>
              <w:spacing w:after="0"/>
              <w:rPr>
                <w:sz w:val="17"/>
                <w:szCs w:val="17"/>
                <w:color w:val="auto"/>
              </w:rPr>
            </w:pP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0" w:type="dxa"/>
            <w:vAlign w:val="bottom"/>
            <w:gridSpan w:val="2"/>
          </w:tcPr>
          <w:p>
            <w:pPr>
              <w:spacing w:after="0"/>
              <w:rPr>
                <w:sz w:val="22"/>
                <w:szCs w:val="22"/>
                <w:color w:val="auto"/>
              </w:rPr>
            </w:pPr>
          </w:p>
        </w:tc>
        <w:tc>
          <w:tcPr>
            <w:tcW w:w="32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5"/>
              </w:rPr>
            </w:pPr>
            <w:hyperlink w:anchor="page194">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40" w:type="dxa"/>
            <w:vAlign w:val="bottom"/>
            <w:tcBorders>
              <w:bottom w:val="single" w:sz="8" w:color="0000EE"/>
            </w:tcBorders>
            <w:gridSpan w:val="52"/>
          </w:tcPr>
          <w:p>
            <w:pPr>
              <w:spacing w:after="0"/>
              <w:rPr>
                <w:rFonts w:ascii="Times New Roman" w:cs="Times New Roman" w:eastAsia="Times New Roman" w:hAnsi="Times New Roman"/>
                <w:sz w:val="18"/>
                <w:szCs w:val="18"/>
                <w:color w:val="0000EE"/>
                <w:w w:val="99"/>
              </w:rPr>
            </w:pPr>
            <w:hyperlink w:anchor="page194">
              <w:r>
                <w:rPr>
                  <w:rFonts w:ascii="Times New Roman" w:cs="Times New Roman" w:eastAsia="Times New Roman" w:hAnsi="Times New Roman"/>
                  <w:sz w:val="18"/>
                  <w:szCs w:val="18"/>
                  <w:color w:val="0000EE"/>
                  <w:w w:val="99"/>
                </w:rPr>
                <w:t>Consent of Ernst &amp; Young LLP, Independent Auditors relating to the Asset Manager Affiliates.**</w:t>
              </w:r>
            </w:hyperlink>
          </w:p>
        </w:tc>
        <w:tc>
          <w:tcPr>
            <w:tcW w:w="4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20" w:type="dxa"/>
            <w:vAlign w:val="bottom"/>
            <w:gridSpan w:val="2"/>
          </w:tcPr>
          <w:p>
            <w:pPr>
              <w:spacing w:after="0"/>
              <w:rPr>
                <w:sz w:val="24"/>
                <w:szCs w:val="24"/>
                <w:color w:val="auto"/>
              </w:rPr>
            </w:pPr>
          </w:p>
        </w:tc>
        <w:tc>
          <w:tcPr>
            <w:tcW w:w="320" w:type="dxa"/>
            <w:vAlign w:val="bottom"/>
          </w:tcPr>
          <w:p>
            <w:pPr>
              <w:jc w:val="right"/>
              <w:spacing w:after="0"/>
              <w:rPr>
                <w:rFonts w:ascii="Times New Roman" w:cs="Times New Roman" w:eastAsia="Times New Roman" w:hAnsi="Times New Roman"/>
                <w:sz w:val="18"/>
                <w:szCs w:val="18"/>
                <w:color w:val="0000EE"/>
                <w:w w:val="95"/>
              </w:rPr>
            </w:pPr>
            <w:hyperlink w:anchor="page195">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Consent of Ernst &amp; Young LLP, Independent Auditors relating to Katonah 2007-I CLO.**</w:t>
              </w:r>
            </w:hyperlink>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gridSpan w:val="2"/>
          </w:tcPr>
          <w:p>
            <w:pPr>
              <w:spacing w:after="0"/>
              <w:rPr>
                <w:sz w:val="21"/>
                <w:szCs w:val="21"/>
                <w:color w:val="auto"/>
              </w:rPr>
            </w:pPr>
          </w:p>
        </w:tc>
        <w:tc>
          <w:tcPr>
            <w:tcW w:w="32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5"/>
              </w:rPr>
            </w:pPr>
            <w:hyperlink w:anchor="page196">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20" w:type="dxa"/>
            <w:vAlign w:val="bottom"/>
            <w:tcBorders>
              <w:bottom w:val="single" w:sz="8" w:color="0000EE"/>
            </w:tcBorders>
            <w:gridSpan w:val="60"/>
          </w:tcPr>
          <w:p>
            <w:pPr>
              <w:spacing w:after="0"/>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Chief Executive Officer Certification Pursuant to Rule 13a-14 of the Securities Exchange Act of 1934,</w:t>
              </w:r>
            </w:hyperlink>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60" w:type="dxa"/>
            <w:vAlign w:val="bottom"/>
            <w:gridSpan w:val="62"/>
          </w:tcPr>
          <w:p>
            <w:pPr>
              <w:spacing w:after="0" w:line="196" w:lineRule="exact"/>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gridSpan w:val="2"/>
          </w:tcPr>
          <w:p>
            <w:pPr>
              <w:spacing w:after="0"/>
              <w:rPr>
                <w:sz w:val="22"/>
                <w:szCs w:val="22"/>
                <w:color w:val="auto"/>
              </w:rPr>
            </w:pPr>
          </w:p>
        </w:tc>
        <w:tc>
          <w:tcPr>
            <w:tcW w:w="32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5"/>
              </w:rPr>
            </w:pPr>
            <w:hyperlink w:anchor="page197">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20" w:type="dxa"/>
            <w:vAlign w:val="bottom"/>
            <w:tcBorders>
              <w:bottom w:val="single" w:sz="8" w:color="0000EE"/>
            </w:tcBorders>
            <w:gridSpan w:val="60"/>
          </w:tcPr>
          <w:p>
            <w:pPr>
              <w:spacing w:after="0"/>
              <w:rPr>
                <w:rFonts w:ascii="Times New Roman" w:cs="Times New Roman" w:eastAsia="Times New Roman" w:hAnsi="Times New Roman"/>
                <w:sz w:val="18"/>
                <w:szCs w:val="18"/>
                <w:color w:val="0000EE"/>
              </w:rPr>
            </w:pPr>
            <w:hyperlink w:anchor="page197">
              <w:r>
                <w:rPr>
                  <w:rFonts w:ascii="Times New Roman" w:cs="Times New Roman" w:eastAsia="Times New Roman" w:hAnsi="Times New Roman"/>
                  <w:sz w:val="18"/>
                  <w:szCs w:val="18"/>
                  <w:color w:val="0000EE"/>
                </w:rPr>
                <w:t>Chief Financial Officer Certification Pursuant to Rule 13a-14 of the Securities Act of 1934, as adopted</w:t>
              </w:r>
            </w:hyperlink>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197">
              <w:r>
                <w:rPr>
                  <w:rFonts w:ascii="Times New Roman" w:cs="Times New Roman" w:eastAsia="Times New Roman" w:hAnsi="Times New Roman"/>
                  <w:sz w:val="18"/>
                  <w:szCs w:val="18"/>
                  <w:color w:val="0000EE"/>
                  <w:w w:val="99"/>
                </w:rPr>
                <w:t>pursuant to Section 302 of the Sarbanes-Oxley Act of 2002.**</w:t>
              </w:r>
            </w:hyperlink>
          </w:p>
        </w:tc>
        <w:tc>
          <w:tcPr>
            <w:tcW w:w="296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0" w:type="dxa"/>
            <w:vAlign w:val="bottom"/>
            <w:gridSpan w:val="2"/>
          </w:tcPr>
          <w:p>
            <w:pPr>
              <w:spacing w:after="0"/>
              <w:rPr>
                <w:sz w:val="22"/>
                <w:szCs w:val="22"/>
                <w:color w:val="auto"/>
              </w:rPr>
            </w:pPr>
          </w:p>
        </w:tc>
        <w:tc>
          <w:tcPr>
            <w:tcW w:w="320" w:type="dxa"/>
            <w:vAlign w:val="bottom"/>
          </w:tcPr>
          <w:p>
            <w:pPr>
              <w:jc w:val="right"/>
              <w:spacing w:after="0"/>
              <w:rPr>
                <w:rFonts w:ascii="Times New Roman" w:cs="Times New Roman" w:eastAsia="Times New Roman" w:hAnsi="Times New Roman"/>
                <w:sz w:val="18"/>
                <w:szCs w:val="18"/>
                <w:color w:val="0000EE"/>
                <w:w w:val="95"/>
              </w:rPr>
            </w:pPr>
            <w:hyperlink w:anchor="page198">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60" w:type="dxa"/>
            <w:vAlign w:val="bottom"/>
            <w:gridSpan w:val="62"/>
          </w:tcPr>
          <w:p>
            <w:pPr>
              <w:spacing w:after="0"/>
              <w:rPr>
                <w:rFonts w:ascii="Times New Roman" w:cs="Times New Roman" w:eastAsia="Times New Roman" w:hAnsi="Times New Roman"/>
                <w:sz w:val="18"/>
                <w:szCs w:val="18"/>
                <w:color w:val="0000EE"/>
              </w:rPr>
            </w:pPr>
            <w:hyperlink w:anchor="page198">
              <w:r>
                <w:rPr>
                  <w:rFonts w:ascii="Times New Roman" w:cs="Times New Roman" w:eastAsia="Times New Roman" w:hAnsi="Times New Roman"/>
                  <w:sz w:val="18"/>
                  <w:szCs w:val="18"/>
                  <w:color w:val="0000EE"/>
                </w:rPr>
                <w:t>Chief Executive Officer Certification pursuant to Section 1350, Chapter 63 of Title 18, United States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w:anchor="page198">
              <w:r>
                <w:rPr>
                  <w:rFonts w:ascii="Times New Roman" w:cs="Times New Roman" w:eastAsia="Times New Roman" w:hAnsi="Times New Roman"/>
                  <w:sz w:val="18"/>
                  <w:szCs w:val="18"/>
                  <w:color w:val="0000EE"/>
                </w:rPr>
                <w:t>Code, as adopted pursuant to Section 906 of the Sarbanes-Oxley Act of 2002.**</w:t>
              </w:r>
            </w:hyperlink>
          </w:p>
        </w:tc>
        <w:tc>
          <w:tcPr>
            <w:tcW w:w="1460" w:type="dxa"/>
            <w:vAlign w:val="bottom"/>
            <w:tcBorders>
              <w:top w:val="single" w:sz="8" w:color="0000EE"/>
            </w:tcBorders>
            <w:gridSpan w:val="24"/>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0" w:type="dxa"/>
            <w:vAlign w:val="bottom"/>
            <w:gridSpan w:val="2"/>
          </w:tcPr>
          <w:p>
            <w:pPr>
              <w:spacing w:after="0"/>
              <w:rPr>
                <w:sz w:val="22"/>
                <w:szCs w:val="22"/>
                <w:color w:val="auto"/>
              </w:rPr>
            </w:pPr>
          </w:p>
        </w:tc>
        <w:tc>
          <w:tcPr>
            <w:tcW w:w="32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5"/>
              </w:rPr>
            </w:pPr>
            <w:hyperlink w:anchor="page199">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20" w:type="dxa"/>
            <w:vAlign w:val="bottom"/>
            <w:tcBorders>
              <w:bottom w:val="single" w:sz="8" w:color="0000EE"/>
            </w:tcBorders>
            <w:gridSpan w:val="56"/>
          </w:tcPr>
          <w:p>
            <w:pPr>
              <w:spacing w:after="0"/>
              <w:rPr>
                <w:rFonts w:ascii="Times New Roman" w:cs="Times New Roman" w:eastAsia="Times New Roman" w:hAnsi="Times New Roman"/>
                <w:sz w:val="18"/>
                <w:szCs w:val="18"/>
                <w:color w:val="0000EE"/>
                <w:w w:val="99"/>
              </w:rPr>
            </w:pPr>
            <w:hyperlink w:anchor="page199">
              <w:r>
                <w:rPr>
                  <w:rFonts w:ascii="Times New Roman" w:cs="Times New Roman" w:eastAsia="Times New Roman" w:hAnsi="Times New Roman"/>
                  <w:sz w:val="18"/>
                  <w:szCs w:val="18"/>
                  <w:color w:val="0000EE"/>
                  <w:w w:val="99"/>
                </w:rPr>
                <w:t>Chief Financial Officer Certification pursuant to Section 1350, Chapter 63 of Title 18, United States</w:t>
              </w:r>
            </w:hyperlink>
          </w:p>
        </w:tc>
        <w:tc>
          <w:tcPr>
            <w:tcW w:w="2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Code, as adopted pursuant to Section 906 of the Sarbanes-Oxley Act of 2002.**</w:t>
              </w:r>
            </w:hyperlink>
          </w:p>
        </w:tc>
        <w:tc>
          <w:tcPr>
            <w:tcW w:w="16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531495</wp:posOffset>
            </wp:positionV>
            <wp:extent cx="123507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20" w:right="89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included in Pre-Effective Amendment No. 1 on Form N-2, as filed on October 6, 2006 (File No. 333-136714).</w:t>
      </w:r>
    </w:p>
    <w:p>
      <w:pPr>
        <w:spacing w:after="0" w:line="121" w:lineRule="exact"/>
        <w:rPr>
          <w:rFonts w:ascii="Times New Roman" w:cs="Times New Roman" w:eastAsia="Times New Roman" w:hAnsi="Times New Roman"/>
          <w:sz w:val="18"/>
          <w:szCs w:val="18"/>
          <w:color w:val="auto"/>
        </w:rPr>
      </w:pPr>
    </w:p>
    <w:p>
      <w:pPr>
        <w:ind w:left="1620" w:right="81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of the Current Report on Form 8-K, as filed on December 14, 2018 (File No. 814-00735).</w:t>
      </w:r>
    </w:p>
    <w:p>
      <w:pPr>
        <w:spacing w:after="0" w:line="121" w:lineRule="exact"/>
        <w:rPr>
          <w:rFonts w:ascii="Times New Roman" w:cs="Times New Roman" w:eastAsia="Times New Roman" w:hAnsi="Times New Roman"/>
          <w:sz w:val="18"/>
          <w:szCs w:val="18"/>
          <w:color w:val="auto"/>
        </w:rPr>
      </w:pPr>
    </w:p>
    <w:p>
      <w:pPr>
        <w:ind w:left="1620" w:right="113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included in Pre-Effective Amendment No. 2 to the Registration Statement on Form N-2, as filed on November 20, 2006 (File No. 333-136714).</w:t>
      </w:r>
    </w:p>
    <w:p>
      <w:pPr>
        <w:spacing w:after="0" w:line="134" w:lineRule="exact"/>
        <w:rPr>
          <w:rFonts w:ascii="Times New Roman" w:cs="Times New Roman" w:eastAsia="Times New Roman" w:hAnsi="Times New Roman"/>
          <w:sz w:val="18"/>
          <w:szCs w:val="18"/>
          <w:color w:val="auto"/>
        </w:rPr>
      </w:pPr>
    </w:p>
    <w:p>
      <w:pPr>
        <w:ind w:left="1620" w:right="141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included in the Registration Statement in Form N-2, as filed on October 3, 2012 (File No. 333-183032).</w:t>
      </w:r>
    </w:p>
    <w:p>
      <w:pPr>
        <w:spacing w:after="0" w:line="121" w:lineRule="exact"/>
        <w:rPr>
          <w:rFonts w:ascii="Times New Roman" w:cs="Times New Roman" w:eastAsia="Times New Roman" w:hAnsi="Times New Roman"/>
          <w:sz w:val="18"/>
          <w:szCs w:val="18"/>
          <w:color w:val="auto"/>
        </w:rPr>
      </w:pPr>
    </w:p>
    <w:p>
      <w:pPr>
        <w:ind w:left="1620" w:right="81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Quarterly Report on Form 10-Q, as filed on August 5, 2015 (File No. 814-00735).</w:t>
      </w:r>
    </w:p>
    <w:p>
      <w:pPr>
        <w:spacing w:after="0" w:line="121" w:lineRule="exact"/>
        <w:rPr>
          <w:rFonts w:ascii="Times New Roman" w:cs="Times New Roman" w:eastAsia="Times New Roman" w:hAnsi="Times New Roman"/>
          <w:sz w:val="18"/>
          <w:szCs w:val="18"/>
          <w:color w:val="auto"/>
        </w:rPr>
      </w:pPr>
    </w:p>
    <w:p>
      <w:pPr>
        <w:ind w:left="1620" w:right="99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Quarterly Report on Form 10-Q, as filed on May 6, 2015 (File No. 814-00735).</w:t>
      </w:r>
    </w:p>
    <w:p>
      <w:pPr>
        <w:spacing w:after="0" w:line="121" w:lineRule="exact"/>
        <w:rPr>
          <w:rFonts w:ascii="Times New Roman" w:cs="Times New Roman" w:eastAsia="Times New Roman" w:hAnsi="Times New Roman"/>
          <w:sz w:val="18"/>
          <w:szCs w:val="18"/>
          <w:color w:val="auto"/>
        </w:rPr>
      </w:pPr>
    </w:p>
    <w:p>
      <w:pPr>
        <w:ind w:left="1620" w:right="113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included in Pre-Effective Amendment No. 3 to the Registration Statement on Form N-2, as filed on November 24, 2006 (File No. 333-136714).</w:t>
      </w:r>
    </w:p>
    <w:p>
      <w:pPr>
        <w:spacing w:after="0" w:line="134" w:lineRule="exact"/>
        <w:rPr>
          <w:rFonts w:ascii="Times New Roman" w:cs="Times New Roman" w:eastAsia="Times New Roman" w:hAnsi="Times New Roman"/>
          <w:sz w:val="18"/>
          <w:szCs w:val="18"/>
          <w:color w:val="auto"/>
        </w:rPr>
      </w:pPr>
    </w:p>
    <w:p>
      <w:pPr>
        <w:ind w:left="1620" w:right="131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included in Post-Effective Amendment No. 1 to the Registration Statement in Form N-2, as filed on August 14, 2017 (File No. 333-218596).</w:t>
      </w:r>
    </w:p>
    <w:p>
      <w:pPr>
        <w:spacing w:after="0" w:line="121" w:lineRule="exact"/>
        <w:rPr>
          <w:rFonts w:ascii="Times New Roman" w:cs="Times New Roman" w:eastAsia="Times New Roman" w:hAnsi="Times New Roman"/>
          <w:sz w:val="18"/>
          <w:szCs w:val="18"/>
          <w:color w:val="auto"/>
        </w:rPr>
      </w:pPr>
    </w:p>
    <w:p>
      <w:pPr>
        <w:ind w:left="1620" w:right="109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included in the Registration Statement on Form S-8, as filed on June 8, 2017 (File No. 333-218594).</w:t>
      </w:r>
    </w:p>
    <w:p>
      <w:pPr>
        <w:spacing w:after="0" w:line="121" w:lineRule="exact"/>
        <w:rPr>
          <w:rFonts w:ascii="Times New Roman" w:cs="Times New Roman" w:eastAsia="Times New Roman" w:hAnsi="Times New Roman"/>
          <w:sz w:val="18"/>
          <w:szCs w:val="18"/>
          <w:color w:val="auto"/>
        </w:rPr>
      </w:pPr>
    </w:p>
    <w:p>
      <w:pPr>
        <w:ind w:left="1620" w:right="109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4.4 included in the Registration Statement on Form S-8, as filed on June 8, 2017 (File No. 333-218594)</w:t>
      </w:r>
    </w:p>
    <w:p>
      <w:pPr>
        <w:spacing w:after="0" w:line="134" w:lineRule="exact"/>
        <w:rPr>
          <w:rFonts w:ascii="Times New Roman" w:cs="Times New Roman" w:eastAsia="Times New Roman" w:hAnsi="Times New Roman"/>
          <w:sz w:val="18"/>
          <w:szCs w:val="18"/>
          <w:color w:val="auto"/>
        </w:rPr>
      </w:pPr>
    </w:p>
    <w:p>
      <w:pPr>
        <w:ind w:left="1620" w:right="79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Current Report on Form 8-K, as filed on July 20, 2017 (File No. 814-00735).</w:t>
      </w:r>
    </w:p>
    <w:p>
      <w:pPr>
        <w:spacing w:after="0" w:line="121" w:lineRule="exact"/>
        <w:rPr>
          <w:rFonts w:ascii="Times New Roman" w:cs="Times New Roman" w:eastAsia="Times New Roman" w:hAnsi="Times New Roman"/>
          <w:sz w:val="18"/>
          <w:szCs w:val="18"/>
          <w:color w:val="auto"/>
        </w:rPr>
      </w:pPr>
    </w:p>
    <w:p>
      <w:pPr>
        <w:ind w:left="1620" w:right="99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Current Report on Form 8-K, as filed on January 4, 2019 (File No. 814-00735).</w:t>
      </w:r>
    </w:p>
    <w:p>
      <w:pPr>
        <w:spacing w:after="0" w:line="121" w:lineRule="exact"/>
        <w:rPr>
          <w:rFonts w:ascii="Times New Roman" w:cs="Times New Roman" w:eastAsia="Times New Roman" w:hAnsi="Times New Roman"/>
          <w:sz w:val="18"/>
          <w:szCs w:val="18"/>
          <w:color w:val="auto"/>
        </w:rPr>
      </w:pPr>
    </w:p>
    <w:p>
      <w:pPr>
        <w:ind w:left="1620" w:right="1139" w:hanging="352"/>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Current Report on Form 8-K, as filed on December 20, 2018 (File No. 814-00735).</w:t>
      </w:r>
    </w:p>
    <w:p>
      <w:pPr>
        <w:spacing w:after="0" w:line="121" w:lineRule="exact"/>
        <w:rPr>
          <w:sz w:val="20"/>
          <w:szCs w:val="20"/>
          <w:color w:val="auto"/>
        </w:rPr>
      </w:pPr>
    </w:p>
    <w:p>
      <w:pPr>
        <w:ind w:left="1260" w:right="2919" w:firstLine="8"/>
        <w:spacing w:after="0" w:line="501"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agreement.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91" w:name="page192"/>
    <w:bookmarkEnd w:id="191"/>
    <w:tbl>
      <w:tblPr>
        <w:tblLayout w:type="fixed"/>
        <w:tblInd w:w="6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301"/>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List of Subsidiaries</w:t>
            </w:r>
          </w:p>
        </w:tc>
        <w:tc>
          <w:tcPr>
            <w:tcW w:w="1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4"/>
        </w:trPr>
        <w:tc>
          <w:tcPr>
            <w:tcW w:w="6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Kohlberg Capital Funding LLC I</w:t>
            </w:r>
          </w:p>
        </w:tc>
        <w:tc>
          <w:tcPr>
            <w:tcW w:w="1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KCAP Senior Funding I Holdings, LLC</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KCAP Senior Funding I, LLC</w:t>
            </w:r>
            <w:r>
              <w:rPr>
                <w:rFonts w:ascii="Times New Roman" w:cs="Times New Roman" w:eastAsia="Times New Roman" w:hAnsi="Times New Roman"/>
                <w:sz w:val="27"/>
                <w:szCs w:val="27"/>
                <w:color w:val="auto"/>
                <w:vertAlign w:val="superscript"/>
              </w:rPr>
              <w:t>(4)</w:t>
            </w:r>
          </w:p>
        </w:tc>
        <w:tc>
          <w:tcPr>
            <w:tcW w:w="1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KCAP Management, LLC</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Katonah Management Holdings LLC</w:t>
            </w:r>
            <w:r>
              <w:rPr>
                <w:rFonts w:ascii="Times New Roman" w:cs="Times New Roman" w:eastAsia="Times New Roman" w:hAnsi="Times New Roman"/>
                <w:sz w:val="27"/>
                <w:szCs w:val="27"/>
                <w:color w:val="auto"/>
                <w:vertAlign w:val="superscript"/>
              </w:rPr>
              <w:t>(1)</w:t>
            </w:r>
          </w:p>
        </w:tc>
        <w:tc>
          <w:tcPr>
            <w:tcW w:w="1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Katonah X Management LLC</w:t>
            </w:r>
            <w:r>
              <w:rPr>
                <w:rFonts w:ascii="Times New Roman" w:cs="Times New Roman" w:eastAsia="Times New Roman" w:hAnsi="Times New Roman"/>
                <w:sz w:val="27"/>
                <w:szCs w:val="27"/>
                <w:color w:val="auto"/>
                <w:vertAlign w:val="superscript"/>
              </w:rPr>
              <w:t>(1)(2)</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Katonah 2007-I Management LLC</w:t>
            </w:r>
            <w:r>
              <w:rPr>
                <w:rFonts w:ascii="Times New Roman" w:cs="Times New Roman" w:eastAsia="Times New Roman" w:hAnsi="Times New Roman"/>
                <w:sz w:val="27"/>
                <w:szCs w:val="27"/>
                <w:color w:val="auto"/>
                <w:vertAlign w:val="superscript"/>
              </w:rPr>
              <w:t>(1)(2)</w:t>
            </w:r>
          </w:p>
        </w:tc>
        <w:tc>
          <w:tcPr>
            <w:tcW w:w="1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Commodore Holdings, L.L.C.</w:t>
            </w:r>
            <w:r>
              <w:rPr>
                <w:rFonts w:ascii="Times New Roman" w:cs="Times New Roman" w:eastAsia="Times New Roman" w:hAnsi="Times New Roman"/>
                <w:sz w:val="27"/>
                <w:szCs w:val="27"/>
                <w:color w:val="auto"/>
                <w:vertAlign w:val="superscript"/>
              </w:rPr>
              <w:t>(1)</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KCAP Coastal, LLC</w:t>
            </w:r>
          </w:p>
        </w:tc>
        <w:tc>
          <w:tcPr>
            <w:tcW w:w="1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KCAP Funding I, LLC</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-1697355</wp:posOffset>
            </wp:positionV>
            <wp:extent cx="13716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171450</wp:posOffset>
            </wp:positionV>
            <wp:extent cx="123507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20" w:hanging="352"/>
        <w:spacing w:after="0"/>
        <w:tabs>
          <w:tab w:leader="none" w:pos="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wholly-owned portfolio company that is not consolidated for financial reporting purposes.</w:t>
      </w:r>
    </w:p>
    <w:p>
      <w:pPr>
        <w:spacing w:after="0" w:line="184" w:lineRule="exact"/>
        <w:rPr>
          <w:rFonts w:ascii="Times New Roman" w:cs="Times New Roman" w:eastAsia="Times New Roman" w:hAnsi="Times New Roman"/>
          <w:sz w:val="18"/>
          <w:szCs w:val="18"/>
          <w:color w:val="auto"/>
        </w:rPr>
      </w:pPr>
    </w:p>
    <w:p>
      <w:pPr>
        <w:ind w:left="420" w:hanging="352"/>
        <w:spacing w:after="0"/>
        <w:tabs>
          <w:tab w:leader="none" w:pos="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Katonah Management Holdings LLC.</w:t>
      </w:r>
    </w:p>
    <w:p>
      <w:pPr>
        <w:spacing w:after="0" w:line="184" w:lineRule="exact"/>
        <w:rPr>
          <w:rFonts w:ascii="Times New Roman" w:cs="Times New Roman" w:eastAsia="Times New Roman" w:hAnsi="Times New Roman"/>
          <w:sz w:val="18"/>
          <w:szCs w:val="18"/>
          <w:color w:val="auto"/>
        </w:rPr>
      </w:pPr>
    </w:p>
    <w:p>
      <w:pPr>
        <w:ind w:left="420" w:hanging="352"/>
        <w:spacing w:after="0"/>
        <w:tabs>
          <w:tab w:leader="none" w:pos="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Commodore Holdings, L.L.C.</w:t>
      </w:r>
    </w:p>
    <w:p>
      <w:pPr>
        <w:spacing w:after="0" w:line="184" w:lineRule="exact"/>
        <w:rPr>
          <w:rFonts w:ascii="Times New Roman" w:cs="Times New Roman" w:eastAsia="Times New Roman" w:hAnsi="Times New Roman"/>
          <w:sz w:val="18"/>
          <w:szCs w:val="18"/>
          <w:color w:val="auto"/>
        </w:rPr>
      </w:pPr>
    </w:p>
    <w:p>
      <w:pPr>
        <w:ind w:left="420" w:hanging="352"/>
        <w:spacing w:after="0"/>
        <w:tabs>
          <w:tab w:leader="none" w:pos="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KCAP Senior Funding I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4370070</wp:posOffset>
            </wp:positionV>
            <wp:extent cx="683450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S-8 333-218594) pertaining to the 2017 Equity Incentive and 2017 Non-Employee Director Plans of KCAP Financial, Inc. of our reports dated February 26, 2019, with respect to the consolidated financial statements of KCAP Financial, Inc., and the effectiveness of internal control over financial reporting of KCAP Financial, Inc., included in its Annual Report (Form 10-K) for the year ended December 31, 2018,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S-8 333-218594) pertaining to the 2017 Equity Incentive and 2017 Non-Employee Director Plans of KCAP Financial, Inc. of our report dated March 7, 2018, with respect to the combined financial statements of the Asset Manager Affiliates, included in KCAP Financial Inc.’s Annual Report (Form 10-K) for the year ended December 31, 2017,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S-8 333-218594) pertaining to the 2017 Equity Incentive and 2017 Non-Employee Director Plans of KCAP Financial, Inc. of our report dated March 9, 2017, with respect to the financial statements of Katonah 2007-I CLO Ltd., included in KCAP Financial Inc.’s Annual Report (Form 10-K) for the year ended December 31, 2016,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5" w:name="page196"/>
    <w:bookmarkEnd w:id="195"/>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ind w:right="679"/>
        <w:spacing w:after="0" w:line="226" w:lineRule="auto"/>
        <w:rPr>
          <w:sz w:val="20"/>
          <w:szCs w:val="20"/>
          <w:color w:val="auto"/>
        </w:rPr>
      </w:pPr>
      <w:r>
        <w:rPr>
          <w:rFonts w:ascii="Times New Roman" w:cs="Times New Roman" w:eastAsia="Times New Roman" w:hAnsi="Times New Roman"/>
          <w:sz w:val="18"/>
          <w:szCs w:val="18"/>
          <w:b w:val="1"/>
          <w:bCs w:val="1"/>
          <w:color w:val="auto"/>
        </w:rPr>
        <w:t>RULE 13a-14(a) and 15d-14(a) UNDER THE SECURITIES EXCHANGE ACT OF 1934,</w:t>
      </w: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AS AMENDED</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Dayl W. Pearson, certify that:</w:t>
      </w:r>
    </w:p>
    <w:p>
      <w:pPr>
        <w:spacing w:after="0" w:line="171" w:lineRule="exact"/>
        <w:rPr>
          <w:sz w:val="20"/>
          <w:szCs w:val="20"/>
          <w:color w:val="auto"/>
        </w:rPr>
      </w:pPr>
    </w:p>
    <w:p>
      <w:pPr>
        <w:ind w:left="780" w:hanging="352"/>
        <w:spacing w:after="0"/>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KCAP Financial, Inc. (the “registrant”);</w:t>
      </w:r>
    </w:p>
    <w:p>
      <w:pPr>
        <w:spacing w:after="0" w:line="157" w:lineRule="exact"/>
        <w:rPr>
          <w:rFonts w:ascii="Times New Roman" w:cs="Times New Roman" w:eastAsia="Times New Roman" w:hAnsi="Times New Roman"/>
          <w:sz w:val="18"/>
          <w:szCs w:val="18"/>
          <w:color w:val="auto"/>
        </w:rPr>
      </w:pPr>
    </w:p>
    <w:p>
      <w:pPr>
        <w:jc w:val="both"/>
        <w:ind w:left="780" w:right="839" w:hanging="352"/>
        <w:spacing w:after="0" w:line="266" w:lineRule="auto"/>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780" w:right="759" w:hanging="352"/>
        <w:spacing w:after="0" w:line="266" w:lineRule="auto"/>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780" w:right="759" w:hanging="352"/>
        <w:spacing w:after="0" w:line="261" w:lineRule="auto"/>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8"/>
          <w:szCs w:val="18"/>
          <w:color w:val="auto"/>
        </w:rPr>
      </w:pPr>
    </w:p>
    <w:p>
      <w:pPr>
        <w:ind w:left="1140" w:right="879" w:hanging="351"/>
        <w:spacing w:after="0" w:line="261" w:lineRule="auto"/>
        <w:tabs>
          <w:tab w:leader="none" w:pos="11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ind w:left="1140" w:right="1239" w:hanging="351"/>
        <w:spacing w:after="0" w:line="261" w:lineRule="auto"/>
        <w:tabs>
          <w:tab w:leader="none" w:pos="11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jc w:val="both"/>
        <w:ind w:left="1140" w:right="839" w:hanging="351"/>
        <w:spacing w:after="0" w:line="266" w:lineRule="auto"/>
        <w:tabs>
          <w:tab w:leader="none" w:pos="11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140" w:right="839" w:hanging="351"/>
        <w:spacing w:after="0" w:line="261" w:lineRule="auto"/>
        <w:tabs>
          <w:tab w:leader="none" w:pos="11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780" w:right="839" w:hanging="352"/>
        <w:spacing w:after="0" w:line="266" w:lineRule="auto"/>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140" w:right="879" w:hanging="351"/>
        <w:spacing w:after="0" w:line="266" w:lineRule="auto"/>
        <w:tabs>
          <w:tab w:leader="none" w:pos="11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140" w:right="1099" w:hanging="351"/>
        <w:spacing w:after="0" w:line="282" w:lineRule="auto"/>
        <w:tabs>
          <w:tab w:leader="none" w:pos="11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60"/>
        <w:spacing w:after="0"/>
        <w:tabs>
          <w:tab w:leader="none" w:pos="4260" w:val="left"/>
        </w:tabs>
        <w:rPr>
          <w:sz w:val="20"/>
          <w:szCs w:val="20"/>
          <w:color w:val="auto"/>
        </w:rPr>
      </w:pPr>
      <w:r>
        <w:rPr>
          <w:rFonts w:ascii="Times New Roman" w:cs="Times New Roman" w:eastAsia="Times New Roman" w:hAnsi="Times New Roman"/>
          <w:sz w:val="18"/>
          <w:szCs w:val="18"/>
          <w:color w:val="auto"/>
        </w:rPr>
        <w:t>Date: February 26, 2019</w:t>
      </w:r>
      <w:r>
        <w:rPr>
          <w:sz w:val="20"/>
          <w:szCs w:val="20"/>
          <w:color w:val="auto"/>
        </w:rPr>
        <w:tab/>
      </w:r>
      <w:r>
        <w:rPr>
          <w:rFonts w:ascii="Times New Roman" w:cs="Times New Roman" w:eastAsia="Times New Roman" w:hAnsi="Times New Roman"/>
          <w:sz w:val="18"/>
          <w:szCs w:val="18"/>
          <w:color w:val="auto"/>
        </w:rPr>
        <w:t>By: /s/ D</w:t>
      </w:r>
      <w:r>
        <w:rPr>
          <w:rFonts w:ascii="Times New Roman" w:cs="Times New Roman" w:eastAsia="Times New Roman" w:hAnsi="Times New Roman"/>
          <w:sz w:val="12"/>
          <w:szCs w:val="12"/>
          <w:color w:val="auto"/>
        </w:rPr>
        <w:t>AYL</w:t>
      </w:r>
      <w:r>
        <w:rPr>
          <w:rFonts w:ascii="Times New Roman" w:cs="Times New Roman" w:eastAsia="Times New Roman" w:hAnsi="Times New Roman"/>
          <w:sz w:val="18"/>
          <w:szCs w:val="18"/>
          <w:color w:val="auto"/>
        </w:rPr>
        <w:t xml:space="preserve"> W. P</w:t>
      </w:r>
      <w:r>
        <w:rPr>
          <w:rFonts w:ascii="Times New Roman" w:cs="Times New Roman" w:eastAsia="Times New Roman" w:hAnsi="Times New Roman"/>
          <w:sz w:val="12"/>
          <w:szCs w:val="12"/>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51435</wp:posOffset>
            </wp:positionV>
            <wp:extent cx="230695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9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Dayl W. Pearson</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558800</wp:posOffset>
            </wp:positionV>
            <wp:extent cx="683450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196" w:name="page197"/>
    <w:bookmarkEnd w:id="196"/>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ind w:right="679"/>
        <w:spacing w:after="0" w:line="226" w:lineRule="auto"/>
        <w:rPr>
          <w:sz w:val="20"/>
          <w:szCs w:val="20"/>
          <w:color w:val="auto"/>
        </w:rPr>
      </w:pPr>
      <w:r>
        <w:rPr>
          <w:rFonts w:ascii="Times New Roman" w:cs="Times New Roman" w:eastAsia="Times New Roman" w:hAnsi="Times New Roman"/>
          <w:sz w:val="18"/>
          <w:szCs w:val="18"/>
          <w:b w:val="1"/>
          <w:bCs w:val="1"/>
          <w:color w:val="auto"/>
        </w:rPr>
        <w:t>RULE 13a-14(a) and 15d-14(a) UNDER THE SECURITIES EXCHANGE ACT OF 1934,</w:t>
      </w: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AS AMENDED</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Edward U. Gilpin, certify that:</w:t>
      </w:r>
    </w:p>
    <w:p>
      <w:pPr>
        <w:spacing w:after="0" w:line="171" w:lineRule="exact"/>
        <w:rPr>
          <w:sz w:val="20"/>
          <w:szCs w:val="20"/>
          <w:color w:val="auto"/>
        </w:rPr>
      </w:pPr>
    </w:p>
    <w:p>
      <w:pPr>
        <w:ind w:left="780" w:hanging="352"/>
        <w:spacing w:after="0"/>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KCAP Financial, Inc.(the “registrant”);</w:t>
      </w:r>
    </w:p>
    <w:p>
      <w:pPr>
        <w:spacing w:after="0" w:line="157" w:lineRule="exact"/>
        <w:rPr>
          <w:rFonts w:ascii="Times New Roman" w:cs="Times New Roman" w:eastAsia="Times New Roman" w:hAnsi="Times New Roman"/>
          <w:sz w:val="18"/>
          <w:szCs w:val="18"/>
          <w:color w:val="auto"/>
        </w:rPr>
      </w:pPr>
    </w:p>
    <w:p>
      <w:pPr>
        <w:jc w:val="both"/>
        <w:ind w:left="780" w:right="839" w:hanging="352"/>
        <w:spacing w:after="0" w:line="266" w:lineRule="auto"/>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780" w:right="759" w:hanging="352"/>
        <w:spacing w:after="0" w:line="266" w:lineRule="auto"/>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780" w:right="759" w:hanging="352"/>
        <w:spacing w:after="0" w:line="261" w:lineRule="auto"/>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8"/>
          <w:szCs w:val="18"/>
          <w:color w:val="auto"/>
        </w:rPr>
      </w:pPr>
    </w:p>
    <w:p>
      <w:pPr>
        <w:ind w:left="1140" w:right="879" w:hanging="351"/>
        <w:spacing w:after="0" w:line="261"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ind w:left="1140" w:right="1239" w:hanging="351"/>
        <w:spacing w:after="0" w:line="261"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jc w:val="both"/>
        <w:ind w:left="1140" w:right="839" w:hanging="351"/>
        <w:spacing w:after="0" w:line="266"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140" w:right="839" w:hanging="351"/>
        <w:spacing w:after="0" w:line="261"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780" w:right="839" w:hanging="352"/>
        <w:spacing w:after="0" w:line="266" w:lineRule="auto"/>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140" w:right="879" w:hanging="351"/>
        <w:spacing w:after="0" w:line="266"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140" w:right="1099" w:hanging="351"/>
        <w:spacing w:after="0" w:line="282"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60"/>
        <w:spacing w:after="0"/>
        <w:tabs>
          <w:tab w:leader="none" w:pos="4260" w:val="left"/>
        </w:tabs>
        <w:rPr>
          <w:sz w:val="20"/>
          <w:szCs w:val="20"/>
          <w:color w:val="auto"/>
        </w:rPr>
      </w:pPr>
      <w:r>
        <w:rPr>
          <w:rFonts w:ascii="Times New Roman" w:cs="Times New Roman" w:eastAsia="Times New Roman" w:hAnsi="Times New Roman"/>
          <w:sz w:val="18"/>
          <w:szCs w:val="18"/>
          <w:color w:val="auto"/>
        </w:rPr>
        <w:t>Date February 26, 2019</w:t>
      </w:r>
      <w:r>
        <w:rPr>
          <w:sz w:val="20"/>
          <w:szCs w:val="20"/>
          <w:color w:val="auto"/>
        </w:rPr>
        <w:tab/>
      </w:r>
      <w:r>
        <w:rPr>
          <w:rFonts w:ascii="Times New Roman" w:cs="Times New Roman" w:eastAsia="Times New Roman" w:hAnsi="Times New Roman"/>
          <w:sz w:val="18"/>
          <w:szCs w:val="18"/>
          <w:color w:val="auto"/>
        </w:rPr>
        <w:t>By: /s/ E</w:t>
      </w:r>
      <w:r>
        <w:rPr>
          <w:rFonts w:ascii="Times New Roman" w:cs="Times New Roman" w:eastAsia="Times New Roman" w:hAnsi="Times New Roman"/>
          <w:sz w:val="12"/>
          <w:szCs w:val="12"/>
          <w:color w:val="auto"/>
        </w:rPr>
        <w:t>DWARD</w:t>
      </w:r>
      <w:r>
        <w:rPr>
          <w:rFonts w:ascii="Times New Roman" w:cs="Times New Roman" w:eastAsia="Times New Roman" w:hAnsi="Times New Roman"/>
          <w:sz w:val="18"/>
          <w:szCs w:val="18"/>
          <w:color w:val="auto"/>
        </w:rPr>
        <w:t xml:space="preserve"> U. G</w:t>
      </w:r>
      <w:r>
        <w:rPr>
          <w:rFonts w:ascii="Times New Roman" w:cs="Times New Roman" w:eastAsia="Times New Roman" w:hAnsi="Times New Roman"/>
          <w:sz w:val="12"/>
          <w:szCs w:val="12"/>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51435</wp:posOffset>
            </wp:positionV>
            <wp:extent cx="23069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9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Edward U. Gilpin</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558800</wp:posOffset>
            </wp:positionV>
            <wp:extent cx="683450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197" w:name="page198"/>
    <w:bookmarkEnd w:id="197"/>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ind w:right="679"/>
        <w:spacing w:after="0" w:line="226" w:lineRule="auto"/>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jc w:val="center"/>
        <w:ind w:right="679"/>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4" w:lineRule="exact"/>
        <w:rPr>
          <w:sz w:val="20"/>
          <w:szCs w:val="20"/>
          <w:color w:val="auto"/>
        </w:rPr>
      </w:pPr>
    </w:p>
    <w:p>
      <w:pPr>
        <w:ind w:left="60" w:right="77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KCAP Financial, Inc.(the “Company”) on Form 10-K for the year ended December 31, 2018 (the “Report”), I, Dayl W. Pearson, President and Chief Executive Officer of the Company, certify, pursuant to 18 U.S.C. §1350, as adopted pursuant to §906 of the Sarbanes-Oxley Act of 2002, that:</w:t>
      </w:r>
    </w:p>
    <w:p>
      <w:pPr>
        <w:spacing w:after="0" w:line="126" w:lineRule="exact"/>
        <w:rPr>
          <w:sz w:val="20"/>
          <w:szCs w:val="20"/>
          <w:color w:val="auto"/>
        </w:rPr>
      </w:pPr>
    </w:p>
    <w:p>
      <w:pPr>
        <w:ind w:left="780" w:right="1079" w:hanging="352"/>
        <w:spacing w:after="0" w:line="282" w:lineRule="auto"/>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780" w:right="839" w:hanging="352"/>
        <w:spacing w:after="0" w:line="282" w:lineRule="auto"/>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60"/>
        <w:spacing w:after="0"/>
        <w:tabs>
          <w:tab w:leader="none" w:pos="4260" w:val="left"/>
        </w:tabs>
        <w:rPr>
          <w:sz w:val="20"/>
          <w:szCs w:val="20"/>
          <w:color w:val="auto"/>
        </w:rPr>
      </w:pPr>
      <w:r>
        <w:rPr>
          <w:rFonts w:ascii="Times New Roman" w:cs="Times New Roman" w:eastAsia="Times New Roman" w:hAnsi="Times New Roman"/>
          <w:sz w:val="18"/>
          <w:szCs w:val="18"/>
          <w:color w:val="auto"/>
        </w:rPr>
        <w:t>Date: February 26, 2019</w:t>
      </w:r>
      <w:r>
        <w:rPr>
          <w:sz w:val="20"/>
          <w:szCs w:val="20"/>
          <w:color w:val="auto"/>
        </w:rPr>
        <w:tab/>
      </w:r>
      <w:r>
        <w:rPr>
          <w:rFonts w:ascii="Times New Roman" w:cs="Times New Roman" w:eastAsia="Times New Roman" w:hAnsi="Times New Roman"/>
          <w:sz w:val="18"/>
          <w:szCs w:val="18"/>
          <w:color w:val="auto"/>
        </w:rPr>
        <w:t>By: /s/ D</w:t>
      </w:r>
      <w:r>
        <w:rPr>
          <w:rFonts w:ascii="Times New Roman" w:cs="Times New Roman" w:eastAsia="Times New Roman" w:hAnsi="Times New Roman"/>
          <w:sz w:val="12"/>
          <w:szCs w:val="12"/>
          <w:color w:val="auto"/>
        </w:rPr>
        <w:t>AYL</w:t>
      </w:r>
      <w:r>
        <w:rPr>
          <w:rFonts w:ascii="Times New Roman" w:cs="Times New Roman" w:eastAsia="Times New Roman" w:hAnsi="Times New Roman"/>
          <w:sz w:val="18"/>
          <w:szCs w:val="18"/>
          <w:color w:val="auto"/>
        </w:rPr>
        <w:t xml:space="preserve"> W. P</w:t>
      </w:r>
      <w:r>
        <w:rPr>
          <w:rFonts w:ascii="Times New Roman" w:cs="Times New Roman" w:eastAsia="Times New Roman" w:hAnsi="Times New Roman"/>
          <w:sz w:val="12"/>
          <w:szCs w:val="12"/>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51435</wp:posOffset>
            </wp:positionV>
            <wp:extent cx="230695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8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Dayl W. Pearson</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4778375</wp:posOffset>
            </wp:positionV>
            <wp:extent cx="6834505"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198" w:name="page199"/>
    <w:bookmarkEnd w:id="198"/>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ind w:right="679"/>
        <w:spacing w:after="0" w:line="226" w:lineRule="auto"/>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jc w:val="center"/>
        <w:ind w:right="679"/>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4" w:lineRule="exact"/>
        <w:rPr>
          <w:sz w:val="20"/>
          <w:szCs w:val="20"/>
          <w:color w:val="auto"/>
        </w:rPr>
      </w:pPr>
    </w:p>
    <w:p>
      <w:pPr>
        <w:ind w:left="60" w:right="77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KCAP Financial, Inc.(the “Company”) on Form 10-K for the year ended December 31, 2018 (the “Report”), I, Edward U. Gilpin, Chief Financial Officer of the Company, certify, pursuant to 18 U.S.C. §1350, as adopted pursuant to §906 of the Sarbanes-Oxley Act of 2002, that:</w:t>
      </w:r>
    </w:p>
    <w:p>
      <w:pPr>
        <w:spacing w:after="0" w:line="126" w:lineRule="exact"/>
        <w:rPr>
          <w:sz w:val="20"/>
          <w:szCs w:val="20"/>
          <w:color w:val="auto"/>
        </w:rPr>
      </w:pPr>
    </w:p>
    <w:p>
      <w:pPr>
        <w:ind w:left="780" w:right="1079" w:hanging="352"/>
        <w:spacing w:after="0" w:line="282" w:lineRule="auto"/>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780" w:right="839" w:hanging="352"/>
        <w:spacing w:after="0" w:line="282" w:lineRule="auto"/>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60"/>
        <w:spacing w:after="0"/>
        <w:tabs>
          <w:tab w:leader="none" w:pos="4260" w:val="left"/>
        </w:tabs>
        <w:rPr>
          <w:sz w:val="20"/>
          <w:szCs w:val="20"/>
          <w:color w:val="auto"/>
        </w:rPr>
      </w:pPr>
      <w:r>
        <w:rPr>
          <w:rFonts w:ascii="Times New Roman" w:cs="Times New Roman" w:eastAsia="Times New Roman" w:hAnsi="Times New Roman"/>
          <w:sz w:val="18"/>
          <w:szCs w:val="18"/>
          <w:color w:val="auto"/>
        </w:rPr>
        <w:t>Date: February 26, 2019</w:t>
      </w:r>
      <w:r>
        <w:rPr>
          <w:sz w:val="20"/>
          <w:szCs w:val="20"/>
          <w:color w:val="auto"/>
        </w:rPr>
        <w:tab/>
      </w:r>
      <w:r>
        <w:rPr>
          <w:rFonts w:ascii="Times New Roman" w:cs="Times New Roman" w:eastAsia="Times New Roman" w:hAnsi="Times New Roman"/>
          <w:sz w:val="18"/>
          <w:szCs w:val="18"/>
          <w:color w:val="auto"/>
        </w:rPr>
        <w:t>By: /s/ E</w:t>
      </w:r>
      <w:r>
        <w:rPr>
          <w:rFonts w:ascii="Times New Roman" w:cs="Times New Roman" w:eastAsia="Times New Roman" w:hAnsi="Times New Roman"/>
          <w:sz w:val="12"/>
          <w:szCs w:val="12"/>
          <w:color w:val="auto"/>
        </w:rPr>
        <w:t>DWARD</w:t>
      </w:r>
      <w:r>
        <w:rPr>
          <w:rFonts w:ascii="Times New Roman" w:cs="Times New Roman" w:eastAsia="Times New Roman" w:hAnsi="Times New Roman"/>
          <w:sz w:val="18"/>
          <w:szCs w:val="18"/>
          <w:color w:val="auto"/>
        </w:rPr>
        <w:t xml:space="preserve"> U. G</w:t>
      </w:r>
      <w:r>
        <w:rPr>
          <w:rFonts w:ascii="Times New Roman" w:cs="Times New Roman" w:eastAsia="Times New Roman" w:hAnsi="Times New Roman"/>
          <w:sz w:val="12"/>
          <w:szCs w:val="12"/>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51435</wp:posOffset>
            </wp:positionV>
            <wp:extent cx="230695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8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Edward U. Gilpin</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4778375</wp:posOffset>
            </wp:positionV>
            <wp:extent cx="6834505"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9019"/>
      </w:cols>
      <w:pgMar w:left="1440" w:top="10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6">
    <w:nsid w:val="3DC240FB"/>
    <w:multiLevelType w:val="hybridMultilevel"/>
    <w:lvl w:ilvl="0">
      <w:lvlJc w:val="left"/>
      <w:lvlText w:val="•"/>
      <w:numFmt w:val="bullet"/>
      <w:start w:val="1"/>
    </w:lvl>
    <w:lvl w:ilvl="1">
      <w:lvlJc w:val="left"/>
      <w:lvlText w:val="(%2)"/>
      <w:numFmt w:val="lowerRoman"/>
      <w:start w:val="3"/>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lvl w:ilvl="1">
      <w:lvlJc w:val="left"/>
      <w:lvlText w:val="◦"/>
      <w:numFmt w:val="bullet"/>
      <w:start w:val="1"/>
    </w:lvl>
  </w:abstractNum>
  <w:abstractNum w:abstractNumId="19">
    <w:nsid w:val="75C6C33A"/>
    <w:multiLevelType w:val="hybridMultilevel"/>
    <w:lvl w:ilvl="0">
      <w:lvlJc w:val="left"/>
      <w:lvlText w:val="(%1)"/>
      <w:numFmt w:val="lowerRoman"/>
      <w:start w:val="1"/>
    </w:lvl>
  </w:abstractNum>
  <w:abstractNum w:abstractNumId="20">
    <w:nsid w:val="12E685FB"/>
    <w:multiLevelType w:val="hybridMultilevel"/>
    <w:lvl w:ilvl="0">
      <w:lvlJc w:val="left"/>
      <w:lvlText w:val="(%1)"/>
      <w:numFmt w:val="lowerRoman"/>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lowerRoman"/>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emdash "/>
      <w:numFmt w:val="bullet"/>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3"/>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2"/>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lowerRoman"/>
      <w:start w:val="2"/>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lowerRoman"/>
      <w:start w:val="3"/>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lowerLetter"/>
      <w:start w:val="1"/>
    </w:lvl>
    <w:lvl w:ilvl="1">
      <w:lvlJc w:val="left"/>
      <w:lvlText w:val="%2."/>
      <w:numFmt w:val="decimal"/>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3"/>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7"/>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upperLetter"/>
      <w:start w:val="44"/>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lowerRoman"/>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4"/>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56" Type="http://schemas.openxmlformats.org/officeDocument/2006/relationships/image" Target="media/image732.png"/><Relationship Id="rId757" Type="http://schemas.openxmlformats.org/officeDocument/2006/relationships/image" Target="media/image733.png"/><Relationship Id="rId758" Type="http://schemas.openxmlformats.org/officeDocument/2006/relationships/image" Target="media/image734.png"/><Relationship Id="rId759" Type="http://schemas.openxmlformats.org/officeDocument/2006/relationships/image" Target="media/image735.png"/><Relationship Id="rId760" Type="http://schemas.openxmlformats.org/officeDocument/2006/relationships/image" Target="media/image736.png"/><Relationship Id="rId761" Type="http://schemas.openxmlformats.org/officeDocument/2006/relationships/image" Target="media/image737.png"/><Relationship Id="rId762" Type="http://schemas.openxmlformats.org/officeDocument/2006/relationships/image" Target="media/image738.png"/><Relationship Id="rId763" Type="http://schemas.openxmlformats.org/officeDocument/2006/relationships/image" Target="media/image739.png"/><Relationship Id="rId764" Type="http://schemas.openxmlformats.org/officeDocument/2006/relationships/image" Target="media/image740.png"/><Relationship Id="rId765" Type="http://schemas.openxmlformats.org/officeDocument/2006/relationships/image" Target="media/image741.png"/><Relationship Id="rId766" Type="http://schemas.openxmlformats.org/officeDocument/2006/relationships/image" Target="media/image742.png"/><Relationship Id="rId767" Type="http://schemas.openxmlformats.org/officeDocument/2006/relationships/image" Target="media/image743.png"/><Relationship Id="rId768" Type="http://schemas.openxmlformats.org/officeDocument/2006/relationships/image" Target="media/image744.png"/><Relationship Id="rId769" Type="http://schemas.openxmlformats.org/officeDocument/2006/relationships/image" Target="media/image745.png"/><Relationship Id="rId770" Type="http://schemas.openxmlformats.org/officeDocument/2006/relationships/image" Target="media/image746.png"/><Relationship Id="rId771" Type="http://schemas.openxmlformats.org/officeDocument/2006/relationships/image" Target="media/image747.png"/><Relationship Id="rId772" Type="http://schemas.openxmlformats.org/officeDocument/2006/relationships/image" Target="media/image748.png"/><Relationship Id="rId739" Type="http://schemas.openxmlformats.org/officeDocument/2006/relationships/hyperlink" Target="http://www.sec.gov/Archives/edgar/data/1372807/000119312506204545/dex99a.htm" TargetMode="External"/><Relationship Id="rId740" Type="http://schemas.openxmlformats.org/officeDocument/2006/relationships/hyperlink" Target="http://www.sec.gov/Archives/edgar/data/1372807/000114420418064543/tv509148_ex3-1.htm" TargetMode="External"/><Relationship Id="rId741" Type="http://schemas.openxmlformats.org/officeDocument/2006/relationships/hyperlink" Target="http://www.sec.gov/Archives/edgar/data/1372807/000119312506204545/dex99d1.htm" TargetMode="External"/><Relationship Id="rId742" Type="http://schemas.openxmlformats.org/officeDocument/2006/relationships/hyperlink" Target="http://www.sec.gov/Archives/edgar/data/1372807/000119312506238694/dex99e.htm" TargetMode="External"/><Relationship Id="rId743" Type="http://schemas.openxmlformats.org/officeDocument/2006/relationships/hyperlink" Target="http://www.sec.gov/Archives/edgar/data/1372807/000114420412054349/v323537_ex99d3.htm" TargetMode="External"/><Relationship Id="rId744" Type="http://schemas.openxmlformats.org/officeDocument/2006/relationships/hyperlink" Target="http://www.sec.gov/Archives/edgar/data/1372807/000114420417042730/v473026_ex99-d6.htm" TargetMode="External"/><Relationship Id="rId745" Type="http://schemas.openxmlformats.org/officeDocument/2006/relationships/hyperlink" Target="http://www.sec.gov/Archives/edgar/data/1372807/000114420417042730/v473026_ex99-h1.htm" TargetMode="External"/><Relationship Id="rId746" Type="http://schemas.openxmlformats.org/officeDocument/2006/relationships/hyperlink" Target="http://www.sec.gov/Archives/edgar/data/1372807/000114420417031688/v468124_exh4x3.htm" TargetMode="External"/><Relationship Id="rId747" Type="http://schemas.openxmlformats.org/officeDocument/2006/relationships/hyperlink" Target="http://www.sec.gov/Archives/edgar/data/1372807/000114420417031688/v468124_exh4x4.htm" TargetMode="External"/><Relationship Id="rId748" Type="http://schemas.openxmlformats.org/officeDocument/2006/relationships/hyperlink" Target="http://www.sec.gov/Archives/edgar/data/1372807/000119312506238694/dex99i2.htm" TargetMode="External"/><Relationship Id="rId749" Type="http://schemas.openxmlformats.org/officeDocument/2006/relationships/hyperlink" Target="http://www.sec.gov/Archives/edgar/data/1372807/000119312506238694/dex99j.htm" TargetMode="External"/><Relationship Id="rId750" Type="http://schemas.openxmlformats.org/officeDocument/2006/relationships/hyperlink" Target="http://www.sec.gov/Archives/edgar/data/1372807/000114420415028000/v409464_ex10-1.htm" TargetMode="External"/><Relationship Id="rId751" Type="http://schemas.openxmlformats.org/officeDocument/2006/relationships/hyperlink" Target="http://www.sec.gov/Archives/edgar/data/1372807/000119312506241542/dex99k11.htm" TargetMode="External"/><Relationship Id="rId752" Type="http://schemas.openxmlformats.org/officeDocument/2006/relationships/hyperlink" Target="http://www.sec.gov/Archives/edgar/data/1372807/000114420417037522/v471098_ex10-1.htm" TargetMode="External"/><Relationship Id="rId753" Type="http://schemas.openxmlformats.org/officeDocument/2006/relationships/hyperlink" Target="http://www.sec.gov/Archives/edgar/data/1372807/000114420419000689/tv510177_ex2-1.htm" TargetMode="External"/><Relationship Id="rId754" Type="http://schemas.openxmlformats.org/officeDocument/2006/relationships/hyperlink" Target="http://www.sec.gov/Archives/edgar/data/1372807/000114420418065744/tv509583_ex10-1.htm" TargetMode="External"/><Relationship Id="rId755" Type="http://schemas.openxmlformats.org/officeDocument/2006/relationships/hyperlink" Target="http://www.sec.gov/Archives/edgar/data/1372807/000114420418065744/tv509583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2019-12-28T16:03:37Z</dcterms:created>
  <dcterms:modified xsi:type="dcterms:W3CDTF">2019-12-28T16:03:37Z</dcterms:modified>
</cp:coreProperties>
</file>