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1" w:lineRule="exact"/>
        <w:rPr>
          <w:sz w:val="24"/>
          <w:szCs w:val="24"/>
          <w:color w:val="auto"/>
        </w:rPr>
      </w:pPr>
    </w:p>
    <w:p>
      <w:pPr>
        <w:ind w:left="660" w:right="152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66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38735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20"/>
          </w:cols>
          <w:pgMar w:left="240" w:top="742" w:right="339" w:bottom="1440" w:gutter="0" w:footer="0" w:header="0"/>
        </w:sectPr>
      </w:pPr>
    </w:p>
    <w:p>
      <w:pPr>
        <w:spacing w:after="0" w:line="35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020" w:space="720"/>
            <w:col w:w="3580"/>
          </w:cols>
          <w:pgMar w:left="240" w:top="742" w:right="33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320"/>
          </w:cols>
          <w:pgMar w:left="240" w:top="742" w:right="339" w:bottom="1440" w:gutter="0" w:footer="0" w:header="0"/>
          <w:type w:val="continuous"/>
        </w:sect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6"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742" w:right="3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800" w:space="720"/>
            <w:col w:w="4420" w:space="720"/>
            <w:col w:w="2540" w:space="720"/>
            <w:col w:w="400"/>
          </w:cols>
          <w:pgMar w:left="240" w:top="742"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5">
            <w:col w:w="1800" w:space="720"/>
            <w:col w:w="100" w:space="480"/>
            <w:col w:w="3840" w:space="720"/>
            <w:col w:w="2540" w:space="720"/>
            <w:col w:w="400"/>
          </w:cols>
          <w:pgMar w:left="240" w:top="742" w:right="339" w:bottom="1440" w:gutter="0" w:footer="0" w:header="0"/>
          <w:type w:val="continuous"/>
        </w:sectPr>
      </w:pPr>
    </w:p>
    <w:p>
      <w:pPr>
        <w:spacing w:after="0" w:line="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November 2, 2015 was 37,100,825.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4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20" w:type="dxa"/>
            <w:vAlign w:val="bottom"/>
            <w:gridSpan w:val="1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20" w:type="dxa"/>
            <w:vAlign w:val="bottom"/>
            <w:gridSpan w:val="12"/>
            <w:shd w:val="clear" w:color="auto" w:fill="CCEEFF"/>
          </w:tcPr>
          <w:p>
            <w:pPr>
              <w:jc w:val="center"/>
              <w:ind w:right="2320"/>
              <w:spacing w:after="0"/>
              <w:rPr>
                <w:sz w:val="20"/>
                <w:szCs w:val="20"/>
                <w:color w:val="auto"/>
              </w:rPr>
            </w:pPr>
            <w:r>
              <w:rPr>
                <w:rFonts w:ascii="Arial" w:cs="Arial" w:eastAsia="Arial" w:hAnsi="Arial"/>
                <w:sz w:val="18"/>
                <w:szCs w:val="18"/>
                <w:b w:val="1"/>
                <w:bCs w:val="1"/>
                <w:color w:val="auto"/>
                <w:w w:val="95"/>
              </w:rPr>
              <w:t>Part I. Financial Information</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2015 (unaudited) and December 31,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(unaudited) for the three and nine months ended September 30,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Changes in Net Assets (unaudited) for the nine months ended September 30,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2015 (unaudited) and December 31,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Financial Highlights (unaudited) for the nine months ended September 30, 2015 and 2014</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0" w:type="dxa"/>
            <w:vAlign w:val="bottom"/>
            <w:gridSpan w:val="11"/>
            <w:shd w:val="clear" w:color="auto" w:fill="CCEEFF"/>
          </w:tcPr>
          <w:p>
            <w:pPr>
              <w:jc w:val="center"/>
              <w:ind w:right="3540"/>
              <w:spacing w:after="0" w:line="176" w:lineRule="exact"/>
              <w:rPr>
                <w:rFonts w:ascii="Arial" w:cs="Arial" w:eastAsia="Arial" w:hAnsi="Arial"/>
                <w:sz w:val="18"/>
                <w:szCs w:val="18"/>
                <w:b w:val="1"/>
                <w:bCs w:val="1"/>
                <w:color w:val="0000EE"/>
                <w:w w:val="97"/>
              </w:rPr>
            </w:pPr>
            <w:hyperlink w:anchor="page83">
              <w:r>
                <w:rPr>
                  <w:rFonts w:ascii="Arial" w:cs="Arial" w:eastAsia="Arial" w:hAnsi="Arial"/>
                  <w:sz w:val="18"/>
                  <w:szCs w:val="18"/>
                  <w:b w:val="1"/>
                  <w:bCs w:val="1"/>
                  <w:color w:val="0000EE"/>
                  <w:w w:val="97"/>
                </w:rPr>
                <w:t>Part II.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1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00" w:type="dxa"/>
            <w:vAlign w:val="bottom"/>
          </w:tcPr>
          <w:p>
            <w:pPr>
              <w:ind w:left="4680"/>
              <w:spacing w:after="0"/>
              <w:rPr>
                <w:sz w:val="20"/>
                <w:szCs w:val="20"/>
                <w:color w:val="auto"/>
              </w:rPr>
            </w:pPr>
            <w:r>
              <w:rPr>
                <w:rFonts w:ascii="Arial" w:cs="Arial" w:eastAsia="Arial" w:hAnsi="Arial"/>
                <w:sz w:val="18"/>
                <w:szCs w:val="18"/>
                <w:b w:val="1"/>
                <w:bCs w:val="1"/>
                <w:color w:val="auto"/>
              </w:rPr>
              <w:t>KCAP FINANCIAL, INC.</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0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840" w:type="dxa"/>
            <w:vAlign w:val="bottom"/>
            <w:gridSpan w:val="4"/>
          </w:tcPr>
          <w:p>
            <w:pPr>
              <w:ind w:left="200"/>
              <w:spacing w:after="0"/>
              <w:rPr>
                <w:sz w:val="20"/>
                <w:szCs w:val="20"/>
                <w:color w:val="auto"/>
              </w:rPr>
            </w:pPr>
            <w:r>
              <w:rPr>
                <w:rFonts w:ascii="Arial" w:cs="Arial" w:eastAsia="Arial" w:hAnsi="Arial"/>
                <w:sz w:val="18"/>
                <w:szCs w:val="18"/>
                <w:b w:val="1"/>
                <w:bCs w:val="1"/>
                <w:color w:val="auto"/>
                <w:w w:val="96"/>
              </w:rPr>
              <w:t>September 30, 2015</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2015 - $3,345,723; 2014 - $1,602,741)</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3,345,723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Debt securities (cost: 2015 - $306,613,274; 2014 - $322,884,934)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296,284,441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320,143,170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2015 - $80,790,584; 2014 - $85,355,897)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63,682,491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2015 - $5,497,863; 2014 - $5,533,293)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3,038,291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3,375,206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2015 - $8,514,487; 2014 - $8,828,812)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6,936,653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Asset Manager Affiliates (cost: 2015 - $57,189,159; 2014 - $60,292,677)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64,121,000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2015 - $461,951,090; 2014 - $484,498,354)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437,408,599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479,706,494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1,566,274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8,334,124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2,229,547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2,634,589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4,735,669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5,417,725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456,908,802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510,446,797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Convertible Notes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33,647,000</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38,647,000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41,400,000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7"/>
              </w:rPr>
              <w:t>Notes issued by KCAP Senior Funding I, LLC (net of discount: 2015 - $3,060,315; 2014 - $3,512,407)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144,289,685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143,837,593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1,797,885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860,939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Payable to officers and directors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Shareholder distribution payable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9,080,373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222,308,920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255,130,096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37,088,923 issued, and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w w:val="92"/>
              </w:rPr>
              <w:t>37,052,575 outstanding at September 30, 2015, and 36,775,127 common shares issued and outstanding at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370,526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364,371,732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362,411,830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Excess distribution of net investment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(22,013,276)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(25,579,865)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(81,788,040)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(75,512,134)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(26,121,123)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(6,370,881)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Treasury stock at cost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(219,937)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234,599,882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255,316,701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456,908,802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510,446,797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ASSET VALUE PER COMMON SHARE</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6,302,777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5,391,997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18,380,536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15,812,747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3,684,802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3,374,704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11,624,644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9,013,831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230,529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821,042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1,547,069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1,424,415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4,196,483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4,181,347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412,772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263,074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investment income</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11,779,348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10,835,248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35,292,863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30,604,440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3,007,283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2,891,724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8,965,252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892,119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1,431,825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3,022,393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3,921,913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566,320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2,638,931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112,109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326,561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other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469,481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315,769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1,459,447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5,238,268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5,317,747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16,412,584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16,023,996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6,541,080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5,517,501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18,880,279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14,580,444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(losses) from investment transactions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(6,231,759)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(2,141,591)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(6,133,352)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(1,896,806)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(depreciation) appreciation 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(6,334,456)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7,420,256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(7,587,070)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7,919,575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(605,432)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1,215,992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(868,703)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(261,695)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(11,986,471)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(5,891,498)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(8,402,287)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(301,488)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(8,863,069)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5,110,585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(5,101,483)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6,961,675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(16,217,632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4,860,563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(19,750,242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11,247,088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6"/>
              </w:rPr>
              <w:t>Net realized and unrealized appreciation (depreciation) on investments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(22,449,391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2,718,972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(25,883,594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9,350,282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Realized losses on extinguishments of debt</w:t>
            </w: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(142,554)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(142,554)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(Decrease) Increase In Stockholders’ Equity Resulting From</w:t>
            </w: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(16,050,865)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8,236,473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(7,145,869)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23,930,726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Net (Decrease) Increase In Stockholders' Equity Resulting from</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Operations per Common Share: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37,046,906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33,746,159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36,923,212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33,497,934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37,046,906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40,125,660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36,923,212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39,877,326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18,880,279</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14,580,444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(6,133,352)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(142,554)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(19,750,242)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11,247,088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(decrease) increase in net assets resulting from operations</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(7,145,869)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ordinary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(15,313,691)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(16,603,434)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Return of capital</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(15,313,691)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(16,603,434)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(Repurchase) issuance of common stock for: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(220,301)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811,517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561,662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1,151,525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1,742,741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255,316,701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250,369,693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assets at end of period (including undistributed net investment income of $0 in 2015 and $0 in 2014)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234,599,882</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259,027,074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37,052,575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33,753,672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(7,145,869)</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23,930,726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(decrease) increase in stockholder’s equity resulting from operations to net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provided by in operating activities: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realized losses on investment transactions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6,133,352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1,896,806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19,750,242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(100,476,581)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4"/>
              </w:rPr>
              <w:t>(165,876,071)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111,864,151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169,182,675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(accretion) amortization on investments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6,123,977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4,311,245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452,092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897,566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(1,097,244)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1,151,525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payable for open trades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(18,293,725)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(480,726)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assets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(increase) in due from affiliates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392,820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due to affiliates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282,411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(1,181,580)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(1,421,978)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18,156,900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26,239,924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Issuance of restricted shares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(23,584,369)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Repurchase of Convertible Notes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Decrease (increase) in restricted cash</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10,991,426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(1,364,637)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(17,811,424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(25,738,115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345,476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501,809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1,220,798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3,433,675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1,566,274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8,320,809</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8,547,252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811,517</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561,662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9, 10</w:t>
      </w:r>
    </w:p>
    <w:p>
      <w:pPr>
        <w:ind w:left="22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29" w:lineRule="exact"/>
        <w:rPr>
          <w:sz w:val="20"/>
          <w:szCs w:val="20"/>
          <w:color w:val="auto"/>
        </w:rPr>
      </w:pPr>
    </w:p>
    <w:p>
      <w:pPr>
        <w:ind w:left="220" w:right="160" w:hanging="206"/>
        <w:spacing w:after="0" w:line="210" w:lineRule="auto"/>
        <w:rPr>
          <w:sz w:val="20"/>
          <w:szCs w:val="20"/>
          <w:color w:val="auto"/>
        </w:rPr>
      </w:pPr>
      <w:r>
        <w:rPr>
          <w:rFonts w:ascii="Arial" w:cs="Arial" w:eastAsia="Arial" w:hAnsi="Arial"/>
          <w:sz w:val="18"/>
          <w:szCs w:val="18"/>
          <w:color w:val="auto"/>
        </w:rPr>
        <w:t>4L Technologies Inc. (fka Clover Holdings, Inc.)</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w:t>
      </w:r>
      <w:r>
        <w:rPr>
          <w:rFonts w:ascii="Arial" w:cs="Arial" w:eastAsia="Arial" w:hAnsi="Arial"/>
          <w:sz w:val="18"/>
          <w:szCs w:val="18"/>
          <w:i w:val="1"/>
          <w:iCs w:val="1"/>
          <w:color w:val="auto"/>
        </w:rPr>
        <w:t>Consumer goods: Non-durable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9, 10</w:t>
      </w:r>
    </w:p>
    <w:p>
      <w:pPr>
        <w:ind w:left="220"/>
        <w:spacing w:after="0"/>
        <w:rPr>
          <w:sz w:val="20"/>
          <w:szCs w:val="20"/>
          <w:color w:val="auto"/>
        </w:rPr>
      </w:pPr>
      <w:r>
        <w:rPr>
          <w:rFonts w:ascii="Arial" w:cs="Arial" w:eastAsia="Arial" w:hAnsi="Arial"/>
          <w:sz w:val="18"/>
          <w:szCs w:val="18"/>
          <w:i w:val="1"/>
          <w:iCs w:val="1"/>
          <w:color w:val="auto"/>
        </w:rPr>
        <w:t>Consumer goods: Durable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ind w:left="22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10</w:t>
      </w:r>
    </w:p>
    <w:p>
      <w:pPr>
        <w:ind w:left="22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9"/>
              </w:rPr>
              <w:t>Loan 5.8% Cash, 1.0% Libor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Floor, Due 2/22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2,970,355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9"/>
              </w:rPr>
              <w:t>Loan 5.5% Cash, 1.0% Libor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Floor, Due 5/20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2,772,000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2,750,704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2,661,673</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First Lien Bond — 10.5%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7"/>
              </w:rPr>
              <w:t>06/2019 - 00753CAE2 10.5%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Cash, Due 6/19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2,976,651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2,317,500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 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Cash, 1.0% Libor Floor, Due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1,002,149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w:t>
            </w: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 B</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Term Loan 4.3% Cash, 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Libor Floor, Due 6/22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1,246,875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1,243,869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1,248,627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-2323465</wp:posOffset>
            </wp:positionV>
            <wp:extent cx="7246620"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-1748790</wp:posOffset>
            </wp:positionV>
            <wp:extent cx="724662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-1174115</wp:posOffset>
            </wp:positionV>
            <wp:extent cx="724662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-462280</wp:posOffset>
            </wp:positionV>
            <wp:extent cx="724662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-2906395</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9, 10</w:t>
            </w: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Beverage, Food and Tobacco</w:t>
            </w: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Loan (First Lien) 6.0% Cash,</w:t>
            </w: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 Libor Floor, Due 8/21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3,980,330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Anaren, Inc.</w:t>
            </w:r>
            <w:r>
              <w:rPr>
                <w:rFonts w:ascii="Arial" w:cs="Arial" w:eastAsia="Arial" w:hAnsi="Arial"/>
                <w:sz w:val="23"/>
                <w:szCs w:val="23"/>
                <w:color w:val="auto"/>
                <w:vertAlign w:val="superscript"/>
              </w:rPr>
              <w:t>9, 10</w:t>
            </w:r>
          </w:p>
        </w:tc>
        <w:tc>
          <w:tcPr>
            <w:tcW w:w="32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Aerospace and Defense</w:t>
            </w: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Loan (First Lien) 5.5% Cash,</w:t>
            </w: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 Libor Floor, Due 2/21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1,965,000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1,949,825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Aristotle Corporation, The</w:t>
            </w:r>
            <w:r>
              <w:rPr>
                <w:rFonts w:ascii="Arial" w:cs="Arial" w:eastAsia="Arial" w:hAnsi="Arial"/>
                <w:sz w:val="23"/>
                <w:szCs w:val="23"/>
                <w:color w:val="auto"/>
                <w:vertAlign w:val="superscript"/>
              </w:rPr>
              <w:t>9, 10</w:t>
            </w:r>
          </w:p>
        </w:tc>
        <w:tc>
          <w:tcPr>
            <w:tcW w:w="32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Consumer goods: Non-durable</w:t>
            </w: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Loan 5.5% Cash, 1.0% Libor</w:t>
            </w: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Floor, Due 6/21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3,990,000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3,970,809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3,970,050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Asurion, LLC (fka Asurion Corporation)</w:t>
            </w:r>
            <w:r>
              <w:rPr>
                <w:rFonts w:ascii="Arial" w:cs="Arial" w:eastAsia="Arial" w:hAnsi="Arial"/>
                <w:sz w:val="23"/>
                <w:szCs w:val="23"/>
                <w:color w:val="auto"/>
                <w:vertAlign w:val="superscript"/>
              </w:rPr>
              <w:t>9, 10</w:t>
            </w:r>
          </w:p>
        </w:tc>
        <w:tc>
          <w:tcPr>
            <w:tcW w:w="32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Banking, Finance, Insurance &amp; Real Estate</w:t>
            </w: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Incremental Tranche B-1 Term</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Loan 5.0% Cash, 1.3% Libor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Floor, Due 5/19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941,254</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945,393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Asurion, LLC (fka Asurion Corporation)</w:t>
            </w:r>
            <w:r>
              <w:rPr>
                <w:rFonts w:ascii="Arial" w:cs="Arial" w:eastAsia="Arial" w:hAnsi="Arial"/>
                <w:sz w:val="23"/>
                <w:szCs w:val="23"/>
                <w:color w:val="auto"/>
                <w:vertAlign w:val="superscript"/>
              </w:rPr>
              <w:t>9, 10</w:t>
            </w:r>
          </w:p>
        </w:tc>
        <w:tc>
          <w:tcPr>
            <w:tcW w:w="32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Banking, Finance, Insurance &amp; Real Estate</w:t>
            </w: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Incremental Tranche B-4 Term</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Loan 5.0% Cash, 1.0% Libor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3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Floor, Due 8/22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898,299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893,894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851,561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5</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Avalign Technologies,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Junior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9.3%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2,985,494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Bankruptcy Management Solutions,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BarBri, Inc. (Gemini Holdings,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2,731,875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2,723,181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BBB Industries US Holdings,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2,932,990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Bellisio Foods, Inc. </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8"/>
              </w:rPr>
              <w:t>Senior Secured Loan — U.S.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B Loans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1,941,681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1,935,177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Bestop,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Bestop,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1,576,690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10.625% - 08/2018 -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143818AA0 144A</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10.6% Cash, Due 8/18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1,511,590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CCS Intermediate Holdings,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2,957,569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Cengage Learning Acquisitions, Inc. (fka TL Acquisitions,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2,979,950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2,974,213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Checkout Holding Corp. (fka Catalina Marketing)</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983,596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849,250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08"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Consolidated Communications, Inc.</w:t>
            </w:r>
            <w:r>
              <w:rPr>
                <w:rFonts w:ascii="Arial" w:cs="Arial" w:eastAsia="Arial" w:hAnsi="Arial"/>
                <w:sz w:val="22"/>
                <w:szCs w:val="22"/>
                <w:color w:val="auto"/>
                <w:vertAlign w:val="superscript"/>
              </w:rPr>
              <w:t>10</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2,969,773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2,979,451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CRGT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3,937,421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3,883,316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Crowley Holdings Preferred,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Preferred Stock — 12.000%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12/2049 - Series A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Securities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2.0% PIK, Due</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10,359,873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10,359,873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10,681,029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Crowne Group,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8.8% Cash, 1.0%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3,014,477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CT Technologies Intermediate Holdings, Inc. (Smart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Corp.) (aka HealthPort)</w:t>
            </w:r>
            <w:r>
              <w:rPr>
                <w:rFonts w:ascii="Arial" w:cs="Arial" w:eastAsia="Arial" w:hAnsi="Arial"/>
                <w:sz w:val="25"/>
                <w:szCs w:val="25"/>
                <w:color w:val="auto"/>
                <w:vertAlign w:val="superscript"/>
              </w:rPr>
              <w:t>9, 10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2,977,538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2,948,937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 - 09/2019 – PIK Note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 Cash, 16.0% PIK, Due</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3,884,871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3,688,411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Subordinated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 - 09/2019 - Senior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Note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12.0% Cash, 4.0% PIK, Due</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4,435,792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4,420,467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2,495,280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ELO Touch Solutions,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8.0% Cash, 1.5%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1,586,611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1,545,105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EWT Holdings III Corp. (fka WTG Holdings III Corp.)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3,984,260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Fender Musical Instruments Corporation</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1,630,443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1,639,197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1,630,443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576"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FHC Health Systems, Inc.</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3,887,607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3,852,677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10.8%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2,766,004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Getty Images,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4.8%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2,168,441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2,174,087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GK Holdings, Inc. (aka Global Knowledge)</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1,472,798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GK Holdings, Inc. (aka Global Knowledge)</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2,481,250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2,459,141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9.0%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3,943,818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Gold Standard Baking,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2,493,750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2,482,053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Grande Communications Networks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3,910,079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3,914,563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8.5% Cash, 1.5%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2,897,657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13.8% Cash, Due 7/18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6,916,737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Gymboree Corporation., The</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1.5%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2/18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1,421,105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Hargray Communications Group, Inc. (HCP Acquisition</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LLC)</w:t>
            </w:r>
            <w:r>
              <w:rPr>
                <w:rFonts w:ascii="Arial" w:cs="Arial" w:eastAsia="Arial" w:hAnsi="Arial"/>
                <w:sz w:val="12"/>
                <w:szCs w:val="12"/>
                <w:color w:val="auto"/>
              </w:rPr>
              <w:t>9, 10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2,927,271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2,908,947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2,928,442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B-3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1.5%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3,303,125</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3,282,743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B-4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1,434,375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1,429,354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1,975,937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3,919,537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3,946,307</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091" w:gutter="0" w:footer="0" w:header="0"/>
        </w:sectPr>
      </w:pPr>
    </w:p>
    <w:p>
      <w:pPr>
        <w:spacing w:after="0"/>
        <w:rPr>
          <w:sz w:val="20"/>
          <w:szCs w:val="20"/>
          <w:color w:val="auto"/>
        </w:rPr>
      </w:pPr>
      <w:r>
        <w:rPr>
          <w:rFonts w:ascii="Arial" w:cs="Arial" w:eastAsia="Arial" w:hAnsi="Arial"/>
          <w:sz w:val="18"/>
          <w:szCs w:val="18"/>
          <w:color w:val="auto"/>
        </w:rPr>
        <w:t>Hunter Defense Technologies,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Architectural Products, Inc.</w:t>
      </w:r>
      <w:r>
        <w:rPr>
          <w:rFonts w:ascii="Arial" w:cs="Arial" w:eastAsia="Arial" w:hAnsi="Arial"/>
          <w:sz w:val="30"/>
          <w:szCs w:val="30"/>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Kellermeyer Bergensons Services,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 Corp.)</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MB Aerospace ACP Holdings III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-121920</wp:posOffset>
            </wp:positionV>
            <wp:extent cx="724662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 Cash, 1.0% Libor Floor,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8/19</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2,850,000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2,827,819</w:t>
            </w:r>
          </w:p>
        </w:tc>
        <w:tc>
          <w:tcPr>
            <w:tcW w:w="1100" w:type="dxa"/>
            <w:vAlign w:val="bottom"/>
          </w:tcPr>
          <w:p>
            <w:pPr>
              <w:jc w:val="right"/>
              <w:spacing w:after="0"/>
              <w:rPr>
                <w:sz w:val="20"/>
                <w:szCs w:val="20"/>
                <w:color w:val="auto"/>
              </w:rPr>
            </w:pPr>
            <w:r>
              <w:rPr>
                <w:rFonts w:ascii="Arial" w:cs="Arial" w:eastAsia="Arial" w:hAnsi="Arial"/>
                <w:sz w:val="18"/>
                <w:szCs w:val="18"/>
                <w:color w:val="auto"/>
              </w:rPr>
              <w:t>2,722,605</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B-1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5.3%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8/20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2,969,848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2,959,523</w:t>
            </w:r>
          </w:p>
        </w:tc>
        <w:tc>
          <w:tcPr>
            <w:tcW w:w="1100" w:type="dxa"/>
            <w:vAlign w:val="bottom"/>
          </w:tcPr>
          <w:p>
            <w:pPr>
              <w:jc w:val="right"/>
              <w:spacing w:after="0"/>
              <w:rPr>
                <w:sz w:val="20"/>
                <w:szCs w:val="20"/>
                <w:color w:val="auto"/>
              </w:rPr>
            </w:pPr>
            <w:r>
              <w:rPr>
                <w:rFonts w:ascii="Arial" w:cs="Arial" w:eastAsia="Arial" w:hAnsi="Arial"/>
                <w:sz w:val="18"/>
                <w:szCs w:val="18"/>
                <w:color w:val="auto"/>
              </w:rPr>
              <w:t>2,967,769</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0.0% Cash, 3.3% PIK, 2.5%</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Libor Floor, Due 5/15</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247,636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228,563</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6.0%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10/21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1,985,000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1,967,713</w:t>
            </w:r>
          </w:p>
        </w:tc>
        <w:tc>
          <w:tcPr>
            <w:tcW w:w="1100" w:type="dxa"/>
            <w:vAlign w:val="bottom"/>
          </w:tcPr>
          <w:p>
            <w:pPr>
              <w:jc w:val="right"/>
              <w:spacing w:after="0"/>
              <w:rPr>
                <w:sz w:val="20"/>
                <w:szCs w:val="20"/>
                <w:color w:val="auto"/>
              </w:rPr>
            </w:pPr>
            <w:r>
              <w:rPr>
                <w:rFonts w:ascii="Arial" w:cs="Arial" w:eastAsia="Arial" w:hAnsi="Arial"/>
                <w:sz w:val="18"/>
                <w:szCs w:val="18"/>
                <w:color w:val="auto"/>
              </w:rPr>
              <w:t>1,960,188</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4.8%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8/21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1,485,000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1,478,731</w:t>
            </w:r>
          </w:p>
        </w:tc>
        <w:tc>
          <w:tcPr>
            <w:tcW w:w="1100" w:type="dxa"/>
            <w:vAlign w:val="bottom"/>
          </w:tcPr>
          <w:p>
            <w:pPr>
              <w:jc w:val="right"/>
              <w:spacing w:after="0"/>
              <w:rPr>
                <w:sz w:val="20"/>
                <w:szCs w:val="20"/>
                <w:color w:val="auto"/>
              </w:rPr>
            </w:pPr>
            <w:r>
              <w:rPr>
                <w:rFonts w:ascii="Arial" w:cs="Arial" w:eastAsia="Arial" w:hAnsi="Arial"/>
                <w:sz w:val="18"/>
                <w:szCs w:val="18"/>
                <w:color w:val="auto"/>
              </w:rPr>
              <w:t>1,454,506</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Dollar</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E-1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4.5%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5/18</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2,969,773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2,963,987</w:t>
            </w:r>
          </w:p>
        </w:tc>
        <w:tc>
          <w:tcPr>
            <w:tcW w:w="1100" w:type="dxa"/>
            <w:vAlign w:val="bottom"/>
          </w:tcPr>
          <w:p>
            <w:pPr>
              <w:jc w:val="right"/>
              <w:spacing w:after="0"/>
              <w:rPr>
                <w:sz w:val="20"/>
                <w:szCs w:val="20"/>
                <w:color w:val="auto"/>
              </w:rPr>
            </w:pPr>
            <w:r>
              <w:rPr>
                <w:rFonts w:ascii="Arial" w:cs="Arial" w:eastAsia="Arial" w:hAnsi="Arial"/>
                <w:sz w:val="18"/>
                <w:szCs w:val="18"/>
                <w:color w:val="auto"/>
              </w:rPr>
              <w:t>2,966,372</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New</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5.0%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2/20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3,430,263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3,437,455</w:t>
            </w:r>
          </w:p>
        </w:tc>
        <w:tc>
          <w:tcPr>
            <w:tcW w:w="1100" w:type="dxa"/>
            <w:vAlign w:val="bottom"/>
          </w:tcPr>
          <w:p>
            <w:pPr>
              <w:jc w:val="right"/>
              <w:spacing w:after="0"/>
              <w:rPr>
                <w:sz w:val="20"/>
                <w:szCs w:val="20"/>
                <w:color w:val="auto"/>
              </w:rPr>
            </w:pPr>
            <w:r>
              <w:rPr>
                <w:rFonts w:ascii="Arial" w:cs="Arial" w:eastAsia="Arial" w:hAnsi="Arial"/>
                <w:sz w:val="18"/>
                <w:szCs w:val="18"/>
                <w:color w:val="auto"/>
              </w:rPr>
              <w:t>3,313,291</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Dollar</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5.0%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5/19</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3,642,024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3,619,743</w:t>
            </w:r>
          </w:p>
        </w:tc>
        <w:tc>
          <w:tcPr>
            <w:tcW w:w="1100" w:type="dxa"/>
            <w:vAlign w:val="bottom"/>
          </w:tcPr>
          <w:p>
            <w:pPr>
              <w:jc w:val="right"/>
              <w:spacing w:after="0"/>
              <w:rPr>
                <w:sz w:val="20"/>
                <w:szCs w:val="20"/>
                <w:color w:val="auto"/>
              </w:rPr>
            </w:pPr>
            <w:r>
              <w:rPr>
                <w:rFonts w:ascii="Arial" w:cs="Arial" w:eastAsia="Arial" w:hAnsi="Arial"/>
                <w:sz w:val="18"/>
                <w:szCs w:val="18"/>
                <w:color w:val="auto"/>
              </w:rPr>
              <w:t>3,642,024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-4844415</wp:posOffset>
            </wp:positionV>
            <wp:extent cx="7246620"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-4132580</wp:posOffset>
            </wp:positionV>
            <wp:extent cx="7246620" cy="574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-3421380</wp:posOffset>
            </wp:positionV>
            <wp:extent cx="7246620"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-2709545</wp:posOffset>
            </wp:positionV>
            <wp:extent cx="7246620"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-1997710</wp:posOffset>
            </wp:positionV>
            <wp:extent cx="7246620" cy="57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-1285875</wp:posOffset>
            </wp:positionV>
            <wp:extent cx="7246620" cy="574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500"/>
            <w:col w:w="6720"/>
          </w:cols>
          <w:pgMar w:left="240" w:top="904" w:right="239" w:bottom="1091"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91"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3,902,594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MGOC, Inc. (fka Media General, Inc.)</w:t>
            </w:r>
            <w:r>
              <w:rPr>
                <w:rFonts w:ascii="Arial" w:cs="Arial" w:eastAsia="Arial" w:hAnsi="Arial"/>
                <w:sz w:val="23"/>
                <w:szCs w:val="23"/>
                <w:color w:val="auto"/>
                <w:vertAlign w:val="superscript"/>
              </w:rPr>
              <w:t>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2,717,813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2,720,774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Millennium Health, LLC (fka Millennium Laboratories,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2,969,925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2,969,925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A-1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2,380,576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2,361,697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A-2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2,098,176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2,080,808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2,056,633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992,502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984,316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2,091,954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2,064,716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3,795,448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3,763,274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3,677,409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NM Z Parent Inc. (aka Zep,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3,491,250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3,503,317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Novetta,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2,722,500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2,699,157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Novitex Acquisition, LLC (fka ARSloane Acquisition,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Tranche B-2 Term Loan (First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7.5%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971,079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902,698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Onex Carestream Finance LP</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9.5%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 2013)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1,882,721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1,888,026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Otter Products, LLC (OtterBox Holdings,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2,754,168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2,735,107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Ozburn-Hessey Holding Company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6.8%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3,485,681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3,479,849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3,828,571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3,796,579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Construction &amp; Building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1,980,681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1,967,757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Quad-C JH Holdings Inc. (aka Joerns Healthcare)</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6.2%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3,927,029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Ravn Air Group,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2,487,820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Reynolds Group Holdings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Containers, Packaging and Glass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Incremental U.S.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Roscoe Medical,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11.3% Cash, Due 9/19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6,651,467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6,391,130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Rovi Solutions Corporation / Rovi Guides, Inc.</w:t>
            </w:r>
            <w:r>
              <w:rPr>
                <w:rFonts w:ascii="Arial" w:cs="Arial" w:eastAsia="Arial" w:hAnsi="Arial"/>
                <w:sz w:val="22"/>
                <w:szCs w:val="22"/>
                <w:color w:val="auto"/>
                <w:vertAlign w:val="superscript"/>
              </w:rPr>
              <w:t>10</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2,969,925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2,936,592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Sandy Creek Energy Associates, L.P.</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2,729,107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2,719,110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SGF Produce Holding Corp.(Frozsun,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2,174,827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2,162,053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SGF Produce Holding Corp.(Frozsun,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4,907,181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4,910,983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Stafford Logistics, Inc.(dba Custom Ecology,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7.5%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2,861,935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2,844,078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Sun Products Corporation, The (fka Huish Detergents Inc.)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Non-durable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3,882,654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3,862,633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Tank Partners Holdings,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Senior Secured Loan — Loan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6.6% Cash, 3.5% PIK, 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Libor Floor, Due 8/19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10,665,282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10,520,547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8,939,640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TPF II Power, LLC (TPF II Covert Midco,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2,958,405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Trimaran Advisors,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Related Party Loan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 Cash, Due 11/17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TRSO I,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11.0%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991,092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TWCC Holding Corp.</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1,003,459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956,300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TWCC Holding Corp.</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B-1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0.8%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2/20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824,541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U.S. Shipping Corp (fka U.S. Shipping Partners LP)</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B-2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1,496,250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1,495,078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USJ-IMECO Holding Company,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3,924,953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Vantiv, LLC (fka Fifth Third Processing Solutions, LLC)</w:t>
            </w:r>
            <w:r>
              <w:rPr>
                <w:rFonts w:ascii="Arial" w:cs="Arial" w:eastAsia="Arial" w:hAnsi="Arial"/>
                <w:sz w:val="23"/>
                <w:szCs w:val="23"/>
                <w:color w:val="auto"/>
                <w:vertAlign w:val="superscript"/>
              </w:rPr>
              <w:t>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1,693,520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1,697,226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9, 10</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3,097,474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3,061,567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Vestcom International, Inc. (fka Vector Investment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9, 10</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2,997,400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2,987,671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2,929,359</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224" w:lineRule="auto"/>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00" w:lineRule="exact"/>
        <w:rPr>
          <w:sz w:val="20"/>
          <w:szCs w:val="20"/>
          <w:color w:val="auto"/>
        </w:rPr>
      </w:pPr>
    </w:p>
    <w:p>
      <w:pPr>
        <w:spacing w:after="0" w:line="289" w:lineRule="exact"/>
        <w:rPr>
          <w:sz w:val="20"/>
          <w:szCs w:val="20"/>
          <w:color w:val="auto"/>
        </w:rPr>
      </w:pPr>
    </w:p>
    <w:p>
      <w:pPr>
        <w:ind w:left="140" w:right="940" w:hanging="129"/>
        <w:spacing w:after="0" w:line="347" w:lineRule="auto"/>
        <w:rPr>
          <w:sz w:val="20"/>
          <w:szCs w:val="20"/>
          <w:color w:val="auto"/>
        </w:rPr>
      </w:pPr>
      <w:r>
        <w:rPr>
          <w:rFonts w:ascii="Arial" w:cs="Arial" w:eastAsia="Arial" w:hAnsi="Arial"/>
          <w:sz w:val="16"/>
          <w:szCs w:val="16"/>
          <w:b w:val="1"/>
          <w:bCs w:val="1"/>
          <w:color w:val="auto"/>
        </w:rPr>
        <w:t>Total Investment in Debt Securities (126% of net asset value at fair value)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-121920</wp:posOffset>
            </wp:positionV>
            <wp:extent cx="7246620" cy="574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 Cash, 1.0% Libor Floor,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Due 11/18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2,949,755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2,930,768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2,949,755</w:t>
            </w:r>
          </w:p>
        </w:tc>
        <w:tc>
          <w:tcPr>
            <w:tcW w:w="0" w:type="dxa"/>
            <w:vAlign w:val="bottom"/>
          </w:tcPr>
          <w:p>
            <w:pPr>
              <w:spacing w:after="0"/>
              <w:rPr>
                <w:sz w:val="1"/>
                <w:szCs w:val="1"/>
                <w:color w:val="auto"/>
              </w:rPr>
            </w:pPr>
          </w:p>
        </w:tc>
      </w:tr>
      <w:tr>
        <w:trPr>
          <w:trHeight w:val="41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6.3%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11/18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3,933,007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3,908,280</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3,933,007</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Unsecured Bond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9.000% - 05/2017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9.0% Cash, Due 5/17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5,006,206</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4,337,500</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Unsecured Bond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9.000% - 05/2017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gridSpan w:val="2"/>
          </w:tcPr>
          <w:p>
            <w:pPr>
              <w:spacing w:after="0"/>
              <w:rPr>
                <w:sz w:val="20"/>
                <w:szCs w:val="20"/>
                <w:color w:val="auto"/>
              </w:rPr>
            </w:pPr>
            <w:r>
              <w:rPr>
                <w:rFonts w:ascii="Arial" w:cs="Arial" w:eastAsia="Arial" w:hAnsi="Arial"/>
                <w:sz w:val="18"/>
                <w:szCs w:val="18"/>
                <w:color w:val="auto"/>
              </w:rPr>
              <w:t>9.0% Cash, Due 5/17</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3,003,723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2,602,500</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308,374,718</w:t>
            </w: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306,613,274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296,284,441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-1482725</wp:posOffset>
            </wp:positionV>
            <wp:extent cx="7246620" cy="43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-908685</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-316865</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-2203450</wp:posOffset>
            </wp:positionV>
            <wp:extent cx="724662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3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Ownership/Shares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Series A Preferred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5, 9, 12</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5, 9, 12</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1,217,563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(3% of net asset value at fair value)</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8,514,487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6,936,653</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Katonah IX CLO Ltd</w:t>
      </w:r>
      <w:r>
        <w:rPr>
          <w:rFonts w:ascii="Arial" w:cs="Arial" w:eastAsia="Arial" w:hAnsi="Arial"/>
          <w:sz w:val="30"/>
          <w:szCs w:val="30"/>
          <w:color w:val="auto"/>
          <w:vertAlign w:val="superscript"/>
        </w:rPr>
        <w:t>3, 6, 14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30"/>
          <w:szCs w:val="30"/>
          <w:color w:val="auto"/>
          <w:vertAlign w:val="superscript"/>
        </w:rPr>
        <w:t>3, 6, 14</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Katonah 2007-I CLO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Trimaran CLO VII,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2012-1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2013- 1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3, 6</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Investment in CLO Subordinated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14</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2400" w:type="dxa"/>
            <w:vAlign w:val="bottom"/>
            <w:gridSpan w:val="3"/>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Subordinated Securities,</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effective interest 12.0%, 1/21</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2,488,323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362,691</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Preferred Shares,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N/M, 5/15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1,366,357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Preferred Shares,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2.2%, 1/19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1,172,498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Securities,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effective interest 17.7%, 4/20</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9,074,951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2,600,000</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Preferred Shares,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27.5%, 4/22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23,975,870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23,233,837</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Income Notes,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46.0%, 6/21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1,349,606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2,024,945</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4.0%, 12/23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7,154,268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4,295,666</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12.9%, 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6,559,985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6,561,900</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7.6%, 4/26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9,264,284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7,251,390</w:t>
            </w:r>
          </w:p>
        </w:tc>
        <w:tc>
          <w:tcPr>
            <w:tcW w:w="0" w:type="dxa"/>
            <w:vAlign w:val="bottom"/>
          </w:tcPr>
          <w:p>
            <w:pPr>
              <w:spacing w:after="0"/>
              <w:rPr>
                <w:sz w:val="1"/>
                <w:szCs w:val="1"/>
                <w:color w:val="auto"/>
              </w:rPr>
            </w:pPr>
          </w:p>
        </w:tc>
      </w:tr>
      <w:tr>
        <w:trPr>
          <w:trHeight w:val="216"/>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interest 28.7.%, 11/25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1,643,183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2,290,600</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gridSpan w:val="3"/>
          </w:tcPr>
          <w:p>
            <w:pPr>
              <w:spacing w:after="0"/>
              <w:rPr>
                <w:sz w:val="20"/>
                <w:szCs w:val="20"/>
                <w:color w:val="auto"/>
              </w:rPr>
            </w:pPr>
            <w:r>
              <w:rPr>
                <w:rFonts w:ascii="Arial" w:cs="Arial" w:eastAsia="Arial" w:hAnsi="Arial"/>
                <w:sz w:val="18"/>
                <w:szCs w:val="18"/>
                <w:color w:val="auto"/>
              </w:rPr>
              <w:t>interest 5.9%, 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8,374,214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6,932,673</w:t>
            </w: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00" w:type="dxa"/>
            <w:vAlign w:val="bottom"/>
            <w:gridSpan w:val="3"/>
          </w:tcPr>
          <w:p>
            <w:pPr>
              <w:spacing w:after="0"/>
              <w:rPr>
                <w:sz w:val="20"/>
                <w:szCs w:val="20"/>
                <w:color w:val="auto"/>
              </w:rPr>
            </w:pPr>
            <w:r>
              <w:rPr>
                <w:rFonts w:ascii="Arial" w:cs="Arial" w:eastAsia="Arial" w:hAnsi="Arial"/>
                <w:sz w:val="18"/>
                <w:szCs w:val="18"/>
                <w:color w:val="auto"/>
              </w:rPr>
              <w:t>interest 9.9%, 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9,442,080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84,862,554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65,480,782</w:t>
            </w:r>
          </w:p>
        </w:tc>
        <w:tc>
          <w:tcPr>
            <w:tcW w:w="0" w:type="dxa"/>
            <w:vAlign w:val="bottom"/>
          </w:tcPr>
          <w:p>
            <w:pPr>
              <w:spacing w:after="0"/>
              <w:rPr>
                <w:sz w:val="1"/>
                <w:szCs w:val="1"/>
                <w:color w:val="auto"/>
              </w:rPr>
            </w:pPr>
          </w:p>
        </w:tc>
      </w:tr>
      <w:tr>
        <w:trPr>
          <w:trHeight w:val="642"/>
        </w:trPr>
        <w:tc>
          <w:tcPr>
            <w:tcW w:w="2300" w:type="dxa"/>
            <w:vAlign w:val="bottom"/>
            <w:gridSpan w:val="2"/>
          </w:tcPr>
          <w:p>
            <w:pPr>
              <w:ind w:left="9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-3987165</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-3249295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-2649220</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-2049145</wp:posOffset>
            </wp:positionV>
            <wp:extent cx="724662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-1311275</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-711200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-4733290</wp:posOffset>
            </wp:positionV>
            <wp:extent cx="724662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980" w:space="720"/>
            <w:col w:w="6620"/>
          </w:cols>
          <w:pgMar w:left="24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CLO Rated-Note Investment</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- 04/2026 - E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14889FAC7</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 Value of $1,525,000</w:t>
            </w: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spacing w:after="0"/>
              <w:rPr>
                <w:sz w:val="22"/>
                <w:szCs w:val="22"/>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4/26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1,425,893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1,240,000</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1,425,893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1,240,000</w:t>
            </w:r>
          </w:p>
        </w:tc>
      </w:tr>
      <w:tr>
        <w:trPr>
          <w:trHeight w:val="210"/>
        </w:trPr>
        <w:tc>
          <w:tcPr>
            <w:tcW w:w="5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5"/>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Fund Securities</w:t>
            </w:r>
          </w:p>
        </w:tc>
        <w:tc>
          <w:tcPr>
            <w:tcW w:w="27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8"/>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(28% of net asset value at fair value)</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86,288,447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66,720,782</w:t>
            </w:r>
          </w:p>
        </w:tc>
      </w:tr>
      <w:tr>
        <w:trPr>
          <w:trHeight w:val="20"/>
        </w:trPr>
        <w:tc>
          <w:tcPr>
            <w:tcW w:w="5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right="940"/>
        <w:spacing w:after="0" w:line="333" w:lineRule="auto"/>
        <w:rPr>
          <w:sz w:val="20"/>
          <w:szCs w:val="20"/>
          <w:color w:val="auto"/>
        </w:rPr>
      </w:pPr>
      <w:r>
        <w:rPr>
          <w:rFonts w:ascii="Arial" w:cs="Arial" w:eastAsia="Arial" w:hAnsi="Arial"/>
          <w:sz w:val="17"/>
          <w:szCs w:val="17"/>
          <w:b w:val="1"/>
          <w:bCs w:val="1"/>
          <w:color w:val="auto"/>
        </w:rPr>
        <w:t xml:space="preserve">Portfolio Company / Principal Business </w:t>
      </w:r>
      <w:r>
        <w:rPr>
          <w:rFonts w:ascii="Arial" w:cs="Arial" w:eastAsia="Arial" w:hAnsi="Arial"/>
          <w:sz w:val="17"/>
          <w:szCs w:val="17"/>
          <w:color w:val="auto"/>
        </w:rPr>
        <w:t>Asset Manager Affiliates</w:t>
      </w:r>
      <w:r>
        <w:rPr>
          <w:rFonts w:ascii="Arial" w:cs="Arial" w:eastAsia="Arial" w:hAnsi="Arial"/>
          <w:sz w:val="27"/>
          <w:szCs w:val="27"/>
          <w:color w:val="auto"/>
          <w:vertAlign w:val="superscript"/>
        </w:rPr>
        <w:t>9, 11</w:t>
      </w:r>
    </w:p>
    <w:p>
      <w:pPr>
        <w:spacing w:after="0" w:line="68" w:lineRule="exact"/>
        <w:rPr>
          <w:sz w:val="20"/>
          <w:szCs w:val="20"/>
          <w:color w:val="auto"/>
        </w:rPr>
      </w:pPr>
    </w:p>
    <w:p>
      <w:pPr>
        <w:ind w:left="140" w:right="540" w:hanging="129"/>
        <w:spacing w:after="0" w:line="347" w:lineRule="auto"/>
        <w:rPr>
          <w:sz w:val="20"/>
          <w:szCs w:val="20"/>
          <w:color w:val="auto"/>
        </w:rPr>
      </w:pPr>
      <w:r>
        <w:rPr>
          <w:rFonts w:ascii="Arial" w:cs="Arial" w:eastAsia="Arial" w:hAnsi="Arial"/>
          <w:sz w:val="16"/>
          <w:szCs w:val="16"/>
          <w:b w:val="1"/>
          <w:bCs w:val="1"/>
          <w:color w:val="auto"/>
        </w:rPr>
        <w:t>Total Investment in Asset Manager Affiliates (27% of net asset value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Deposits and Money Market Account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color w:val="auto"/>
                <w:w w:val="92"/>
                <w:vertAlign w:val="superscript"/>
              </w:rPr>
              <w:t>2</w:t>
            </w:r>
          </w:p>
        </w:tc>
        <w:tc>
          <w:tcPr>
            <w:tcW w:w="0" w:type="dxa"/>
            <w:vAlign w:val="bottom"/>
          </w:tcPr>
          <w:p>
            <w:pPr>
              <w:spacing w:after="0"/>
              <w:rPr>
                <w:sz w:val="1"/>
                <w:szCs w:val="1"/>
                <w:color w:val="auto"/>
              </w:rPr>
            </w:pPr>
          </w:p>
        </w:tc>
      </w:tr>
      <w:tr>
        <w:trPr>
          <w:trHeight w:val="234"/>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00" w:type="dxa"/>
            <w:vAlign w:val="bottom"/>
            <w:gridSpan w:val="2"/>
          </w:tcPr>
          <w:p>
            <w:pPr>
              <w:spacing w:after="0"/>
              <w:rPr>
                <w:sz w:val="20"/>
                <w:szCs w:val="20"/>
                <w:color w:val="auto"/>
              </w:rPr>
            </w:pPr>
            <w:r>
              <w:rPr>
                <w:rFonts w:ascii="Arial" w:cs="Arial" w:eastAsia="Arial" w:hAnsi="Arial"/>
                <w:sz w:val="18"/>
                <w:szCs w:val="18"/>
                <w:color w:val="auto"/>
              </w:rPr>
              <w:t>Asset Management Company</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100.0%  $</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57,189,159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64,121,000</w:t>
            </w:r>
          </w:p>
        </w:tc>
        <w:tc>
          <w:tcPr>
            <w:tcW w:w="0" w:type="dxa"/>
            <w:vAlign w:val="bottom"/>
          </w:tcPr>
          <w:p>
            <w:pPr>
              <w:spacing w:after="0"/>
              <w:rPr>
                <w:sz w:val="1"/>
                <w:szCs w:val="1"/>
                <w:color w:val="auto"/>
              </w:rPr>
            </w:pPr>
          </w:p>
        </w:tc>
      </w:tr>
      <w:tr>
        <w:trPr>
          <w:trHeight w:val="729"/>
        </w:trPr>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57,189,159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64,121,000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-334010</wp:posOffset>
            </wp:positionV>
            <wp:extent cx="7246620"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-642620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Yield</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Par /Amortized Cost</w:t>
            </w:r>
          </w:p>
        </w:tc>
        <w:tc>
          <w:tcPr>
            <w:tcW w:w="1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JP Morgan Business Money Market</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54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8, 9</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249,216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3,096,507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 in Time Deposit and Money Market</w:t>
            </w: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Accounts</w:t>
            </w: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 of net asset value at fair value)</w:t>
            </w: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3,345,723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54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Total Investments</w:t>
            </w:r>
            <w:r>
              <w:rPr>
                <w:rFonts w:ascii="Arial" w:cs="Arial" w:eastAsia="Arial" w:hAnsi="Arial"/>
                <w:sz w:val="27"/>
                <w:szCs w:val="27"/>
                <w:b w:val="1"/>
                <w:bCs w:val="1"/>
                <w:color w:val="auto"/>
                <w:vertAlign w:val="superscript"/>
              </w:rPr>
              <w:t>4</w:t>
            </w: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(186% of net asset value at fair value)</w:t>
            </w: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461,951,090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437,408,599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8" w:name="page19"/>
    <w:bookmarkEnd w:id="18"/>
    <w:p>
      <w:pPr>
        <w:jc w:val="both"/>
        <w:ind w:left="430" w:hanging="430"/>
        <w:spacing w:after="0" w:line="221" w:lineRule="auto"/>
        <w:tabs>
          <w:tab w:leader="none" w:pos="43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430"/>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September 30, 2015. As noted in the table above, 78% (based on par) of debt securities contain LIBOR floors which range between .75% and 3.00%.</w:t>
      </w:r>
    </w:p>
    <w:p>
      <w:pPr>
        <w:ind w:left="430" w:hanging="430"/>
        <w:spacing w:after="0" w:line="181" w:lineRule="auto"/>
        <w:tabs>
          <w:tab w:leader="none" w:pos="43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September 30, 2015, as determined by the Company’s Board of Directors.</w:t>
      </w:r>
    </w:p>
    <w:p>
      <w:pPr>
        <w:ind w:left="430" w:hanging="430"/>
        <w:spacing w:after="0" w:line="180" w:lineRule="auto"/>
        <w:tabs>
          <w:tab w:leader="none" w:pos="43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430" w:hanging="430"/>
        <w:spacing w:after="0" w:line="181" w:lineRule="auto"/>
        <w:tabs>
          <w:tab w:leader="none" w:pos="43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$480 million. The aggregate gross unrealized appreciation is</w:t>
      </w:r>
    </w:p>
    <w:p>
      <w:pPr>
        <w:spacing w:after="0" w:line="2" w:lineRule="exact"/>
        <w:rPr>
          <w:sz w:val="20"/>
          <w:szCs w:val="20"/>
          <w:color w:val="auto"/>
        </w:rPr>
      </w:pPr>
    </w:p>
    <w:p>
      <w:pPr>
        <w:ind w:left="430" w:right="720"/>
        <w:spacing w:after="0" w:line="249" w:lineRule="auto"/>
        <w:rPr>
          <w:sz w:val="20"/>
          <w:szCs w:val="20"/>
          <w:color w:val="auto"/>
        </w:rPr>
      </w:pPr>
      <w:r>
        <w:rPr>
          <w:rFonts w:ascii="Arial" w:cs="Arial" w:eastAsia="Arial" w:hAnsi="Arial"/>
          <w:sz w:val="18"/>
          <w:szCs w:val="18"/>
          <w:color w:val="auto"/>
        </w:rPr>
        <w:t>approximately $9.7 million, the aggregate gross unrealized depreciation is approximately $52.7 million, and the net unrealized depreciation is approximately $43.0 million.</w:t>
      </w:r>
    </w:p>
    <w:p>
      <w:pPr>
        <w:ind w:left="430" w:hanging="430"/>
        <w:spacing w:after="0" w:line="181" w:lineRule="auto"/>
        <w:tabs>
          <w:tab w:leader="none" w:pos="43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430" w:hanging="430"/>
        <w:spacing w:after="0" w:line="180" w:lineRule="auto"/>
        <w:tabs>
          <w:tab w:leader="none" w:pos="43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30" w:hanging="430"/>
        <w:spacing w:after="0" w:line="181" w:lineRule="auto"/>
        <w:tabs>
          <w:tab w:leader="none" w:pos="43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30" w:hanging="430"/>
        <w:spacing w:after="0" w:line="180" w:lineRule="auto"/>
        <w:tabs>
          <w:tab w:leader="none" w:pos="43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30" w:hanging="430"/>
        <w:spacing w:after="0" w:line="180" w:lineRule="auto"/>
        <w:tabs>
          <w:tab w:leader="none" w:pos="43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430" w:right="460" w:hanging="430"/>
        <w:spacing w:after="0" w:line="187" w:lineRule="auto"/>
        <w:tabs>
          <w:tab w:leader="none" w:pos="43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As of September 30, 2015, this investment is owned by KCAP Senior Funding I, LLC and was pledged to secure KCAP Senior Funding I, LLC’s obligation.</w:t>
      </w:r>
    </w:p>
    <w:p>
      <w:pPr>
        <w:ind w:left="430" w:right="100" w:hanging="430"/>
        <w:spacing w:after="0" w:line="214" w:lineRule="auto"/>
        <w:tabs>
          <w:tab w:leader="none" w:pos="43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3" w:lineRule="exact"/>
        <w:rPr>
          <w:rFonts w:ascii="Arial" w:cs="Arial" w:eastAsia="Arial" w:hAnsi="Arial"/>
          <w:sz w:val="30"/>
          <w:szCs w:val="30"/>
          <w:color w:val="auto"/>
          <w:vertAlign w:val="superscript"/>
        </w:rPr>
      </w:pPr>
    </w:p>
    <w:p>
      <w:pPr>
        <w:ind w:left="430" w:hanging="430"/>
        <w:spacing w:after="0" w:line="180" w:lineRule="auto"/>
        <w:tabs>
          <w:tab w:leader="none" w:pos="43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430" w:right="40" w:hanging="430"/>
        <w:spacing w:after="0" w:line="214" w:lineRule="auto"/>
        <w:tabs>
          <w:tab w:leader="none" w:pos="43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30"/>
          <w:szCs w:val="30"/>
          <w:color w:val="auto"/>
          <w:vertAlign w:val="superscript"/>
        </w:rPr>
      </w:pPr>
    </w:p>
    <w:p>
      <w:pPr>
        <w:ind w:left="430" w:hanging="430"/>
        <w:spacing w:after="0" w:line="180" w:lineRule="auto"/>
        <w:tabs>
          <w:tab w:leader="none" w:pos="43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transaction.</w:t>
      </w:r>
    </w:p>
    <w:p>
      <w:pPr>
        <w:spacing w:after="0" w:line="200" w:lineRule="exact"/>
        <w:rPr>
          <w:sz w:val="20"/>
          <w:szCs w:val="20"/>
          <w:color w:val="auto"/>
        </w:rPr>
      </w:pPr>
    </w:p>
    <w:p>
      <w:pPr>
        <w:spacing w:after="0" w:line="2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0"/>
          </w:cols>
          <w:pgMar w:left="270" w:top="908"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4L Technologies Inc. (fka Clover Holdings, Inc.)</w:t>
            </w:r>
            <w:r>
              <w:rPr>
                <w:rFonts w:ascii="Arial" w:cs="Arial" w:eastAsia="Arial" w:hAnsi="Arial"/>
                <w:sz w:val="18"/>
                <w:szCs w:val="18"/>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Non-durable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5/20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2,793,000</w:t>
            </w:r>
          </w:p>
        </w:tc>
        <w:tc>
          <w:tcPr>
            <w:tcW w:w="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2,768,057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2,723,175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First Lien Bond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Durable</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10.5% Cash, Due 6/19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2,962,507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Advantage Sales &amp; Marketing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1,002,384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Alaska Communications Systems Holdings,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1.5% Libor Floor, Due 10/16</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5,200,227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5,193,935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5,200,227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Alere Inc. (fka IM US Holdings, LLC)</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B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2,992,277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2,988,629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2,972,947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AmSurg Corp.</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0.8% Libor Floor, Due 7/21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2,992,481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2,992,481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2,975,020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Anaren,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2/21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1,962,587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1,955,250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Asurion, LLC (fka Asurion Corporation)</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w w:val="99"/>
              </w:rPr>
              <w:t>Senior Secured Loan — Incremental Tranche B-1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Banking, Finance, Insurance &amp; Real Estate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5/19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1,917,430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1,932,331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1,896,549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AZ Chem US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Chemicals, Plastics and Rubber</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6/21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467,123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464,966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457,977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6/18</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700,227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700,227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BarBri, Inc. (Gemini Holdings, Inc.)</w:t>
            </w:r>
            <w:r>
              <w:rPr>
                <w:rFonts w:ascii="Arial" w:cs="Arial" w:eastAsia="Arial" w:hAnsi="Arial"/>
                <w:sz w:val="18"/>
                <w:szCs w:val="18"/>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Consumer</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7/19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2,872,500</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2,861,557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2,835,158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BBB Industries US Holdings,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Automotive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11/21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2,941,316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Bellisio Foods, Inc. </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U.S. Term B Loans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8/19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2,239,551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2,230,586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2,235,071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Blue Coat Systems,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New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5/19</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467,636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468,971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456,530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Carolina Beverage Group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Bond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10.6% Cash, Due 8/18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1,515,584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1,552,500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CCS Intermediate Holdings,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2,992,500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2,978,364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2,940,131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Arial" w:cs="Arial" w:eastAsia="Arial" w:hAnsi="Arial"/>
                <w:sz w:val="13"/>
                <w:szCs w:val="13"/>
                <w:color w:val="auto"/>
              </w:rPr>
              <w:t>Cengage Learning Acquisitions, Inc. (fka TL Acquisitions, Inc.)</w:t>
            </w:r>
            <w:r>
              <w:rPr>
                <w:rFonts w:ascii="Arial" w:cs="Arial" w:eastAsia="Arial" w:hAnsi="Arial"/>
                <w:sz w:val="20"/>
                <w:szCs w:val="20"/>
                <w:color w:val="auto"/>
                <w:vertAlign w:val="superscript"/>
              </w:rPr>
              <w:t>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11</w:t>
            </w:r>
          </w:p>
        </w:tc>
        <w:tc>
          <w:tcPr>
            <w:tcW w:w="3900" w:type="dxa"/>
            <w:vAlign w:val="bottom"/>
            <w:gridSpan w:val="4"/>
            <w:shd w:val="clear" w:color="auto" w:fill="CCEEFF"/>
          </w:tcPr>
          <w:p>
            <w:pPr>
              <w:ind w:left="120"/>
              <w:spacing w:after="0" w:line="152" w:lineRule="exact"/>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Advertising, Printing &amp; Publishing</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3/20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2,987,475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2,980,768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2,963,829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Charter Communications Operating, LLC (aka CCO Safari LLC)</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G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Broadcasting &amp; Subscription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0.8% Libor Floor, Due 9/21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3,022,408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3,022,980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Checkout Holding Corp.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Advertising, Printing &amp; Publishing</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4/21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990,534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951,474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Consolidated Communications, Inc.</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3,003,588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2,976,538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CRGT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2,940,000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Crowley Holdings Preferred,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Preferred Stock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Transportation: Cargo</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10.0% Cash, 2.0% PIK, Due 12/49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10,206,016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10,206,016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10,418,302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Crowne Group, LLC</w:t>
            </w:r>
            <w:r>
              <w:rPr>
                <w:rFonts w:ascii="Arial" w:cs="Arial" w:eastAsia="Arial" w:hAnsi="Arial"/>
                <w:sz w:val="18"/>
                <w:szCs w:val="18"/>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Automotive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9/20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3,990,000</w:t>
            </w: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3,932,506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3,838,779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CSM Bakery Solutions Limited (fka CSM Bakery Supplies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80" w:type="dxa"/>
            <w:vAlign w:val="bottom"/>
            <w:shd w:val="clear" w:color="auto" w:fill="CCEEFF"/>
          </w:tcPr>
          <w:p>
            <w:pPr>
              <w:spacing w:after="0" w:line="179" w:lineRule="exact"/>
              <w:rPr>
                <w:sz w:val="20"/>
                <w:szCs w:val="20"/>
                <w:color w:val="auto"/>
              </w:rPr>
            </w:pPr>
            <w:r>
              <w:rPr>
                <w:rFonts w:ascii="Arial" w:cs="Arial" w:eastAsia="Arial" w:hAnsi="Arial"/>
                <w:sz w:val="13"/>
                <w:szCs w:val="13"/>
                <w:color w:val="auto"/>
              </w:rPr>
              <w:t>Limited)</w:t>
            </w:r>
            <w:r>
              <w:rPr>
                <w:rFonts w:ascii="Arial" w:cs="Arial" w:eastAsia="Arial" w:hAnsi="Arial"/>
                <w:sz w:val="20"/>
                <w:szCs w:val="20"/>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8.8%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3,016,357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CSM Bakery Solutions Limited (fka CSM Bakery Supplies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80" w:type="dxa"/>
            <w:vAlign w:val="bottom"/>
            <w:shd w:val="clear" w:color="auto" w:fill="CCEEFF"/>
          </w:tcPr>
          <w:p>
            <w:pPr>
              <w:spacing w:after="0" w:line="179" w:lineRule="exact"/>
              <w:rPr>
                <w:sz w:val="20"/>
                <w:szCs w:val="20"/>
                <w:color w:val="auto"/>
              </w:rPr>
            </w:pPr>
            <w:r>
              <w:rPr>
                <w:rFonts w:ascii="Arial" w:cs="Arial" w:eastAsia="Arial" w:hAnsi="Arial"/>
                <w:sz w:val="13"/>
                <w:szCs w:val="13"/>
                <w:color w:val="auto"/>
              </w:rPr>
              <w:t>Limited)</w:t>
            </w:r>
            <w:r>
              <w:rPr>
                <w:rFonts w:ascii="Arial" w:cs="Arial" w:eastAsia="Arial" w:hAnsi="Arial"/>
                <w:sz w:val="20"/>
                <w:szCs w:val="20"/>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2,623,371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2,622,454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2,570,903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CT Technologies Intermediate Holdings, Inc. (Smart Holdings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80" w:type="dxa"/>
            <w:vAlign w:val="bottom"/>
            <w:shd w:val="clear" w:color="auto" w:fill="CCEEFF"/>
          </w:tcPr>
          <w:p>
            <w:pPr>
              <w:spacing w:after="0" w:line="179" w:lineRule="exact"/>
              <w:rPr>
                <w:sz w:val="20"/>
                <w:szCs w:val="20"/>
                <w:color w:val="auto"/>
              </w:rPr>
            </w:pPr>
            <w:r>
              <w:rPr>
                <w:rFonts w:ascii="Arial" w:cs="Arial" w:eastAsia="Arial" w:hAnsi="Arial"/>
                <w:sz w:val="13"/>
                <w:szCs w:val="13"/>
                <w:color w:val="auto"/>
              </w:rPr>
              <w:t>Corp.)</w:t>
            </w:r>
            <w:r>
              <w:rPr>
                <w:rFonts w:ascii="Arial" w:cs="Arial" w:eastAsia="Arial" w:hAnsi="Arial"/>
                <w:sz w:val="20"/>
                <w:szCs w:val="20"/>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2,970,271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2,988,750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Unsecured Bond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13.0% PIK, Due 9/19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3,457,795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3,221,771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3,386,218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Subordinated Bond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12.0% Cash, 1.0% PIK, Due 9/19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4,314,949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4,295,544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4,240,301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DJO Finance LLC (ReAble Therapeutics Fin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New Tranche B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9/17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2,063,574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2,063,574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2,022,303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Drew Marine Group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Transportation: Cargo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8.0%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5/21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2,494,654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2,523,250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8.0%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1.5% Libor Floor, Due 6/18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1,726,036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1,677,698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1,642,496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EWT Holdings III Corp. (fka WTG Holdings III Corp.)</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Environmental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8.5%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3,982,390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4,033,200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Fender Musical Instruments Corporation</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4/19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2,002,536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2,012,321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1,982,110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FHC Health Systems,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3,407,143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3,373,191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3,381,589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8"/>
                <w:szCs w:val="18"/>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Banking, Finance, Insurance &amp; Real Estate</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10.8% Cash, 1.3% Libor Floor, Due 4/19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2,796,448</w:t>
            </w: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2,759,556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2,782,466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First Data Corporation</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2018 New Dollar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Banking, Finance, Insurance &amp; Real Estate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3.7%</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968,906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982,190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Getty Images,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Advertising, Printing &amp; Publishing</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10/19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2,185,164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2,187,551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2,012,165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Global Tel*Link Corporation</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9.0%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11/20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3,935,659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3,889,200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Grande Communications Networks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5/20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3,940,040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3,944,690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3,938,464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Grifols Worldwide Operations Limited</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U.S. Tranche B Term Loam</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3.2%</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Due 2/21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2,992,462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2,970,236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2,956,298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8.5%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1.5% Libor Floor, Due 1/18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2,947,500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2,911,129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2,947,500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13.8% Cash, Due 7/18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6,894,754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7,105,000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Gymboree Corporation., The</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Retail</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1.5% Libor Floor, Due 2/18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1,421,105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1,390,786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935,563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Hargray Communications Group, Inc. (HCP Acquisition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Broadcasting &amp; Subscription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2,930,662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2,908,645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2,928,611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Harland Clarke Holdings Corp. (fka Clarke American Corp.)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Tranche B-3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Advertising, Printing &amp; Publishing</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1.5% Libor Floor, Due 5/18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3,368,750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3,343,813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3,385,594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Harland Clarke Holdings Corp. (fka Clarke American Corp.)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Tranche B-4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Advertising, Printing &amp; Publishing</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8/19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1,462,500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1,456,384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1,458,661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3" w:name="page24"/>
    <w:bookmarkEnd w:id="23"/>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9</w:t>
      </w:r>
    </w:p>
    <w:p>
      <w:pPr>
        <w:ind w:left="340"/>
        <w:spacing w:after="0"/>
        <w:rPr>
          <w:sz w:val="20"/>
          <w:szCs w:val="20"/>
          <w:color w:val="auto"/>
        </w:rPr>
      </w:pPr>
      <w:r>
        <w:rPr>
          <w:rFonts w:ascii="Arial" w:cs="Arial" w:eastAsia="Arial" w:hAnsi="Arial"/>
          <w:sz w:val="14"/>
          <w:szCs w:val="14"/>
          <w:i w:val="1"/>
          <w:iCs w:val="1"/>
          <w:color w:val="auto"/>
        </w:rPr>
        <w:t>Forest Products &amp; Paper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Forest Products &amp; Paper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Integra Telecom Holdings, Inc.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3"/>
          <w:szCs w:val="23"/>
          <w:color w:val="auto"/>
          <w:vertAlign w:val="superscript"/>
        </w:rPr>
        <w:t>7, 9</w:t>
      </w:r>
    </w:p>
    <w:p>
      <w:pPr>
        <w:ind w:left="340"/>
        <w:spacing w:after="0"/>
        <w:rPr>
          <w:sz w:val="20"/>
          <w:szCs w:val="20"/>
          <w:color w:val="auto"/>
        </w:rPr>
      </w:pPr>
      <w:r>
        <w:rPr>
          <w:rFonts w:ascii="Arial" w:cs="Arial" w:eastAsia="Arial" w:hAnsi="Arial"/>
          <w:sz w:val="14"/>
          <w:szCs w:val="14"/>
          <w:i w:val="1"/>
          <w:iCs w:val="1"/>
          <w:color w:val="auto"/>
        </w:rPr>
        <w:t>Metals &amp; Mining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Kellermeyer Bergensons Services, LLC</w:t>
      </w:r>
      <w:r>
        <w:rPr>
          <w:rFonts w:ascii="Arial" w:cs="Arial" w:eastAsia="Arial" w:hAnsi="Arial"/>
          <w:sz w:val="23"/>
          <w:szCs w:val="23"/>
          <w:color w:val="auto"/>
          <w:vertAlign w:val="superscript"/>
        </w:rPr>
        <w:t>9</w:t>
      </w:r>
    </w:p>
    <w:p>
      <w:pPr>
        <w:ind w:left="340"/>
        <w:spacing w:after="0"/>
        <w:rPr>
          <w:sz w:val="20"/>
          <w:szCs w:val="20"/>
          <w:color w:val="auto"/>
        </w:rPr>
      </w:pPr>
      <w:r>
        <w:rPr>
          <w:rFonts w:ascii="Arial" w:cs="Arial" w:eastAsia="Arial" w:hAnsi="Arial"/>
          <w:sz w:val="14"/>
          <w:szCs w:val="14"/>
          <w:i w:val="1"/>
          <w:iCs w:val="1"/>
          <w:color w:val="auto"/>
        </w:rPr>
        <w:t>Services: Business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Landslide Holdings, Inc. (Crimson Acquisition Corp.)</w:t>
      </w:r>
      <w:r>
        <w:rPr>
          <w:rFonts w:ascii="Arial" w:cs="Arial" w:eastAsia="Arial" w:hAnsi="Arial"/>
          <w:sz w:val="21"/>
          <w:szCs w:val="21"/>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Media General, Inc.</w:t>
      </w:r>
      <w:r>
        <w:rPr>
          <w:rFonts w:ascii="Arial" w:cs="Arial" w:eastAsia="Arial" w:hAnsi="Arial"/>
          <w:sz w:val="23"/>
          <w:szCs w:val="23"/>
          <w:color w:val="auto"/>
          <w:vertAlign w:val="superscript"/>
        </w:rPr>
        <w:t>11</w:t>
      </w:r>
    </w:p>
    <w:p>
      <w:pPr>
        <w:ind w:left="34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3"/>
          <w:szCs w:val="23"/>
          <w:color w:val="auto"/>
          <w:vertAlign w:val="superscript"/>
        </w:rPr>
        <w:t>9, 11</w:t>
      </w:r>
    </w:p>
    <w:p>
      <w:pPr>
        <w:ind w:left="34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color w:val="auto"/>
                <w:w w:val="95"/>
                <w:vertAlign w:val="superscript"/>
              </w:rPr>
              <w:t>2</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80" w:type="dxa"/>
            <w:vAlign w:val="bottom"/>
            <w:gridSpan w:val="3"/>
          </w:tcPr>
          <w:p>
            <w:pPr>
              <w:spacing w:after="0"/>
              <w:rPr>
                <w:sz w:val="20"/>
                <w:szCs w:val="20"/>
                <w:color w:val="auto"/>
              </w:rPr>
            </w:pPr>
            <w:r>
              <w:rPr>
                <w:rFonts w:ascii="Arial" w:cs="Arial" w:eastAsia="Arial" w:hAnsi="Arial"/>
                <w:sz w:val="14"/>
                <w:szCs w:val="14"/>
                <w:color w:val="auto"/>
              </w:rPr>
              <w:t>Junior Secured Loan — Initial Term Loan (Second Lien)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10.0% Cash, 1.0% Libor Floor, Due 5/21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5"/>
                <w:szCs w:val="15"/>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1,972,727</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1,999,000</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5/20</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3,980,000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3,944,324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3,943,523</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6.5%</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8/19</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2,962,500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2,934,961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2,988,866</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1.3% Libor Floor, Due 2/19</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2,992,386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2,981,164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2,919,461</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Due 5/15</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247,636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228,563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10/21</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1,980,432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1,990,000</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8/21</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1,496,250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1,489,134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1,488,769</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Dollar Term E-1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5/18</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2,992,443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2,984,962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2,956,279</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New Term Loan (First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2/20</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3,456,381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3,464,859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3,451,197</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Dollar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5/19</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3,910,979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3,939,212</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7/20</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3,003,750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2,972,805</w:t>
            </w:r>
          </w:p>
        </w:tc>
        <w:tc>
          <w:tcPr>
            <w:tcW w:w="0" w:type="dxa"/>
            <w:vAlign w:val="bottom"/>
          </w:tcPr>
          <w:p>
            <w:pPr>
              <w:spacing w:after="0"/>
              <w:rPr>
                <w:sz w:val="1"/>
                <w:szCs w:val="1"/>
                <w:color w:val="auto"/>
              </w:rPr>
            </w:pPr>
          </w:p>
        </w:tc>
      </w:tr>
      <w:tr>
        <w:trPr>
          <w:trHeight w:val="304"/>
        </w:trPr>
        <w:tc>
          <w:tcPr>
            <w:tcW w:w="37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6.5%</w:t>
            </w: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12/19</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3,960,000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3,927,435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3,804,372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-3310890</wp:posOffset>
            </wp:positionV>
            <wp:extent cx="72466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-3001645</wp:posOffset>
            </wp:positionV>
            <wp:extent cx="72466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-2693035</wp:posOffset>
            </wp:positionV>
            <wp:extent cx="72466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-2384425</wp:posOffset>
            </wp:positionV>
            <wp:extent cx="72466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-2075815</wp:posOffset>
            </wp:positionV>
            <wp:extent cx="724662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-1767205</wp:posOffset>
            </wp:positionV>
            <wp:extent cx="72466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-1457960</wp:posOffset>
            </wp:positionV>
            <wp:extent cx="724662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-1149350</wp:posOffset>
            </wp:positionV>
            <wp:extent cx="72466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-840740</wp:posOffset>
            </wp:positionV>
            <wp:extent cx="724662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-532130</wp:posOffset>
            </wp:positionV>
            <wp:extent cx="724662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-223520</wp:posOffset>
            </wp:positionV>
            <wp:extent cx="724662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-3627755</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60" w:space="660"/>
            <w:col w:w="7300"/>
          </w:cols>
          <w:pgMar w:left="240" w:top="88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Millennium Health, LLC (fka Millennium Laboratories, LLC)</w:t>
            </w:r>
            <w:r>
              <w:rPr>
                <w:rFonts w:ascii="Arial" w:cs="Arial" w:eastAsia="Arial" w:hAnsi="Arial"/>
                <w:sz w:val="18"/>
                <w:szCs w:val="18"/>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Tranche B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4/21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2,992,481</w:t>
            </w:r>
          </w:p>
        </w:tc>
        <w:tc>
          <w:tcPr>
            <w:tcW w:w="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2,992,481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Nielsen &amp; Bainbrige,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8/20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990,487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Nielsen &amp; Bainbrige,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Durable</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10.3% Cash, 1.0% Libor Floor, Due 8/21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1,971,249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Nielsen &amp; Bainbrige,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8/20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2,971,460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2,889,600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Novetta,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10/20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2,743,125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2,716,093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2,743,125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Novitex Acquisition, LLC (fka ARSloane Acquisition,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Tranche B-2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7/20</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990,019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980,923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950,418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Onex Carestream Finance LP</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9.5%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1,992,920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Onex Carestream Finance LP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 2013)</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1,973,333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1,980,022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1,969,219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Orbitz Worldwide, Inc.</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Tranche C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Hotel, Gaming &amp; Leisure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4/21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2,992,481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2,992,481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2,961,315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Otter Products, LLC (OtterBox Holdings,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2,992,481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2,968,458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2,966,297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Ozburn-Hessey Holding Company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Transportation: Cargo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5/19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3,512,426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3,503,687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3,544,389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Amortized Cost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PGX Holdings, Inc.</w:t>
            </w:r>
            <w:r>
              <w:rPr>
                <w:rFonts w:ascii="Arial" w:cs="Arial" w:eastAsia="Arial" w:hAnsi="Arial"/>
                <w:sz w:val="18"/>
                <w:szCs w:val="18"/>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Services: Consumer</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9/20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3,936,815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3,917,363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Post Holdings, Inc.</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Series A Incremental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0.8% Libor Floor, Due 6/21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2,992,481</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2,985,129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2,983,130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PQ Corporation</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2014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Chemicals, Plastics and Rubber</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8/17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2,992,366</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2,992,366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2,943,740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PSC Industrial Holdings Corp.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Environmental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1,980,119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Puerto Rico Cable Acquisition Company Inc. (D/B/A Choice TV)</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Broadcasting &amp; Subscription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7/18</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909,069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910,287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Puerto Rico Cable Acquisition Company Inc. (D/B/A Choice</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80" w:type="dxa"/>
            <w:vAlign w:val="bottom"/>
            <w:shd w:val="clear" w:color="auto" w:fill="CCEEFF"/>
          </w:tcPr>
          <w:p>
            <w:pPr>
              <w:spacing w:after="0" w:line="179" w:lineRule="exact"/>
              <w:rPr>
                <w:sz w:val="20"/>
                <w:szCs w:val="20"/>
                <w:color w:val="auto"/>
              </w:rPr>
            </w:pPr>
            <w:r>
              <w:rPr>
                <w:rFonts w:ascii="Arial" w:cs="Arial" w:eastAsia="Arial" w:hAnsi="Arial"/>
                <w:sz w:val="20"/>
                <w:szCs w:val="20"/>
                <w:color w:val="auto"/>
                <w:vertAlign w:val="subscript"/>
              </w:rPr>
              <w:t>TV)</w:t>
            </w:r>
            <w:r>
              <w:rPr>
                <w:rFonts w:ascii="Arial" w:cs="Arial" w:eastAsia="Arial" w:hAnsi="Arial"/>
                <w:sz w:val="10"/>
                <w:szCs w:val="10"/>
                <w:color w:val="auto"/>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Broadcasting &amp; Subscription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2,727,206</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2,717,359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2,727,206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QoL Meds,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7/20</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498,750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496,449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480,296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Quad-C JH Holdings Inc. (aka Joerns Healthcare)</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 A</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5/20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3,953,083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3,786,174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Restorix Health,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Unsecured Loan — Delayed Draw</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10.0% Cash, 1.5% PIK, Due 6/18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2,003,587</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2,003,587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2,003,587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Restorix Health,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Unsecured Loan — Subordinated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10.0% Cash, 1.5% PIK, Due 6/18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8,063,397</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8,063,397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8,063,397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Reynolds Group Holdings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Incremental U.S.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Containers, Packaging and Glass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12/18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2,992,443</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2,992,443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2,946,734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Amortized Cost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Roscoe Medical, Inc.</w:t>
            </w:r>
            <w:r>
              <w:rPr>
                <w:rFonts w:ascii="Arial" w:cs="Arial" w:eastAsia="Arial" w:hAnsi="Arial"/>
                <w:sz w:val="18"/>
                <w:szCs w:val="18"/>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11.3% Cash, Due 9/19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6,642,367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6,499,000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Rovi Solutions Corporation / Rovi Guides, Inc.</w:t>
            </w:r>
            <w:r>
              <w:rPr>
                <w:rFonts w:ascii="Arial" w:cs="Arial" w:eastAsia="Arial" w:hAnsi="Arial"/>
                <w:sz w:val="19"/>
                <w:szCs w:val="19"/>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0.8% Libor Floor, Due 7/21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2,992,481</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2,954,531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2,936,387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Safenet,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High Tech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3/20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2,977,500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2,951,435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Sandy Creek Energy Associates, L.P.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Utilities: Electric</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11/20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2,844,544</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2,832,599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2,794,053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SGF Produce Holding Corp.(Frozsun,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3/19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2,191,289</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2,175,642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2,191,289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SGF Produce Holding Corp.(Frozsun,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Beverage, Food and Tobacco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3/19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3,440,528</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3,429,224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3,440,528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Stafford Logistics, Inc.(dba Custom Ecology,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Environmental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6/19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2,861,935</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2,840,504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2,858,501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Sun Products Corporation, The (fka Huish Detergents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Tranche B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Non-durable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1.3% Libor Floor, Due 3/20</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3,910,711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3,887,178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3,656,515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Amortized Cost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8"/>
                <w:szCs w:val="18"/>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Energy: Oil &amp; Gas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9.8%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3.5% PIK, 3.0% Libor Floor, Due 8/19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10,385,331</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10,212,907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9,866,065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TPF II Power, LLC (TPF II Covert Midco,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Utilities: Electric</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10/21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3,026,933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3,009,375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Trimaran Advisors, L.L.C.</w:t>
            </w:r>
            <w:r>
              <w:rPr>
                <w:rFonts w:ascii="Arial" w:cs="Arial" w:eastAsia="Arial" w:hAnsi="Arial"/>
                <w:sz w:val="19"/>
                <w:szCs w:val="19"/>
                <w:color w:val="auto"/>
                <w:vertAlign w:val="superscript"/>
              </w:rPr>
              <w:t>9, 12</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Unsecured Loan — Revolving Credit Facility</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Portfolio Company Loan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9.0%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23,000,000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TRSO I, Inc.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Energy: Oil &amp; Gas</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11.0% Cash, 1.0% Libor Floor, Due 12/17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988,097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961,300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Broadcasting &amp; Subscription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6/20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1,004,005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961,670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Media: Broadcasting &amp; Subscription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3.5%</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0.8% Libor Floor, Due 2/17</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906,653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910,624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887,060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Univar Inc.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Chemicals, Plastics and Rubber</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1.5% Libor Floor, Due 6/17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2,894,577</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2,890,893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2,808,536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USJ-IMECO Holding Company,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Transportation: Cargo</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7.0%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4/20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3,970,000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3,952,343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9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Vantiv, LLC (fka Fifth Third Processing Solutions, LLC)</w:t>
            </w:r>
            <w:r>
              <w:rPr>
                <w:rFonts w:ascii="Arial" w:cs="Arial" w:eastAsia="Arial" w:hAnsi="Arial"/>
                <w:sz w:val="18"/>
                <w:szCs w:val="18"/>
                <w:color w:val="auto"/>
                <w:vertAlign w:val="superscript"/>
              </w:rPr>
              <w:t>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Banking, Finance, Insurance &amp; Real Estate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3.8%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0.8% Libor Floor, Due 6/21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1,994,987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1,999,927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1,978,160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Verdesian Life Sciences,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Environmental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7/20</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975,012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961,553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938,547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Verdesian Life Sciences,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Environmental Industries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7/20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3,221,243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3,178,026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3,100,769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Vestcom International, Inc. (fka Vector Investment Holdings,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80" w:type="dxa"/>
            <w:vAlign w:val="bottom"/>
            <w:shd w:val="clear" w:color="auto" w:fill="CCEEFF"/>
          </w:tcPr>
          <w:p>
            <w:pPr>
              <w:spacing w:after="0" w:line="179" w:lineRule="exact"/>
              <w:rPr>
                <w:sz w:val="20"/>
                <w:szCs w:val="20"/>
                <w:color w:val="auto"/>
              </w:rPr>
            </w:pPr>
            <w:r>
              <w:rPr>
                <w:rFonts w:ascii="Arial" w:cs="Arial" w:eastAsia="Arial" w:hAnsi="Arial"/>
                <w:sz w:val="13"/>
                <w:szCs w:val="13"/>
                <w:color w:val="auto"/>
              </w:rPr>
              <w:t>Inc.)</w:t>
            </w:r>
            <w:r>
              <w:rPr>
                <w:rFonts w:ascii="Arial" w:cs="Arial" w:eastAsia="Arial" w:hAnsi="Arial"/>
                <w:sz w:val="20"/>
                <w:szCs w:val="20"/>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Retail</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5.3%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9/21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2,866,953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2,843,300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2,838,284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Weiman Products,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Non-durable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11/18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2,972,255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2,948,574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2,972,255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Weiman Products, LLC</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Consumer goods: Non-durable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6.3%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11/18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3,963,007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3,932,167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3,963,007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WideOpenWest Finance, LLC</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Telecommunications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4.8%</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1.0% Libor Floor, Due 4/19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2,954,887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2,971,397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2,941,974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WireCo WorldGroup Inc. </w:t>
            </w:r>
            <w:r>
              <w:rPr>
                <w:rFonts w:ascii="Arial" w:cs="Arial" w:eastAsia="Arial" w:hAnsi="Arial"/>
                <w:sz w:val="19"/>
                <w:szCs w:val="19"/>
                <w:color w:val="auto"/>
                <w:vertAlign w:val="superscript"/>
              </w:rPr>
              <w:t>9</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Unsecured Bond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Capital Equipment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9.0%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Due 5/17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4,991,504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WireCo WorldGroup Inc. </w:t>
            </w:r>
            <w:r>
              <w:rPr>
                <w:rFonts w:ascii="Arial" w:cs="Arial" w:eastAsia="Arial" w:hAnsi="Arial"/>
                <w:sz w:val="19"/>
                <w:szCs w:val="19"/>
                <w:color w:val="auto"/>
                <w:vertAlign w:val="superscript"/>
              </w:rPr>
              <w:t>9, 11</w:t>
            </w:r>
          </w:p>
        </w:tc>
        <w:tc>
          <w:tcPr>
            <w:tcW w:w="3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Senior Unsecured Bond —</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Capital Equipment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3"/>
              </w:rPr>
              <w:t>9.0%</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Due 5/17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2,994,903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Debt Securities</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(125% of net asset value at fair value)</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324,808,055</w:t>
            </w:r>
          </w:p>
        </w:tc>
        <w:tc>
          <w:tcPr>
            <w:tcW w:w="1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322,884,934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320,143,170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Ownership/Shares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6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00" w:type="dxa"/>
            <w:vAlign w:val="bottom"/>
            <w:tcBorders>
              <w:top w:val="single" w:sz="8" w:color="CCEEFF"/>
            </w:tcBorders>
            <w:shd w:val="clear" w:color="auto" w:fill="CCEEFF"/>
          </w:tcPr>
          <w:p>
            <w:pPr>
              <w:spacing w:after="0"/>
              <w:rPr>
                <w:sz w:val="14"/>
                <w:szCs w:val="14"/>
                <w:color w:val="auto"/>
              </w:rPr>
            </w:pPr>
          </w:p>
        </w:tc>
        <w:tc>
          <w:tcPr>
            <w:tcW w:w="3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Partnership Interests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Aerospace and Defense</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Preferred Interests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250,961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648,764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 Warrants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B Warrants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C Warrants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2013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314,325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391,932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Caribe Media Inc. (fka Caribe Information Investments</w:t>
            </w:r>
          </w:p>
        </w:tc>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line="179"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5, 9</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Media: Advertising, Printing &amp; Publishing</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359,765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624,304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 Warrants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258,940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746,964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Services: Business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1,079,617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3, 5,</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Capital Equipment</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 Shares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1,500</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2,351,329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Hotel, Gaming &amp; Leisure</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Ownership/Shares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6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8"/>
                <w:szCs w:val="18"/>
                <w:color w:val="auto"/>
                <w:vertAlign w:val="superscript"/>
              </w:rPr>
              <w:t>5, 9</w:t>
            </w:r>
          </w:p>
        </w:tc>
        <w:tc>
          <w:tcPr>
            <w:tcW w:w="100" w:type="dxa"/>
            <w:vAlign w:val="bottom"/>
            <w:tcBorders>
              <w:top w:val="single" w:sz="8" w:color="CCEEFF"/>
            </w:tcBorders>
            <w:shd w:val="clear" w:color="auto" w:fill="CCEEFF"/>
          </w:tcPr>
          <w:p>
            <w:pPr>
              <w:spacing w:after="0"/>
              <w:rPr>
                <w:sz w:val="14"/>
                <w:szCs w:val="14"/>
                <w:color w:val="auto"/>
              </w:rPr>
            </w:pPr>
          </w:p>
        </w:tc>
        <w:tc>
          <w:tcPr>
            <w:tcW w:w="3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Healthcare &amp; Pharmaceuticals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 Units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Energy: Oil &amp; Gas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573,750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Energy: Oil &amp; Gas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Warrants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185,204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99,752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Energy: Oil &amp; Gas</w:t>
            </w: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1,788,886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9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3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(3% of net asset value at fair value)</w:t>
            </w:r>
          </w:p>
        </w:tc>
        <w:tc>
          <w:tcPr>
            <w:tcW w:w="3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8,828,812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8,119,681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Securities, Preferred</w:t>
            </w: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Shares and Income Notes Investments</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Percentage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78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Ownership</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2,254,638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1,015,334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3,563,252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2,755,267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1,262,496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8,910,471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4,863,001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23,471,779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25,191,782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1,292,698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1,531,142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Notes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1,399,074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2,084,394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7,994,677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5,793,924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2013- 1 Ltd.</w:t>
            </w:r>
            <w:r>
              <w:rPr>
                <w:rFonts w:ascii="Arial" w:cs="Arial" w:eastAsia="Arial" w:hAnsi="Arial"/>
                <w:sz w:val="29"/>
                <w:szCs w:val="29"/>
                <w:color w:val="auto"/>
                <w:vertAlign w:val="superscript"/>
              </w:rPr>
              <w:t>3, 6</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7,492,702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7,874,910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10,473,628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8,867,176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29"/>
                <w:szCs w:val="29"/>
                <w:color w:val="auto"/>
                <w:vertAlign w:val="superscript"/>
              </w:rPr>
              <w:t>3</w:t>
            </w:r>
          </w:p>
        </w:tc>
        <w:tc>
          <w:tcPr>
            <w:tcW w:w="3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2,263,321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2,506,075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Pr>
          <w:p>
            <w:pPr>
              <w:spacing w:after="0" w:line="269"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3, 6</w:t>
            </w: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9,862,799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8,761,500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Total Investment in CLO Subordinated Securities, Preferred Shares and Income Notes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85,554,372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72,014,902</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4"/>
              </w:rPr>
              <w:t>Percentage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8"/>
              </w:rPr>
              <w:t>Ownership</w:t>
            </w: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Amortized Cost</w:t>
            </w: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auto"/>
              <w:right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2"/>
                <w:szCs w:val="22"/>
                <w:color w:val="auto"/>
                <w:vertAlign w:val="superscript"/>
              </w:rPr>
              <w:t>3, 6</w:t>
            </w:r>
          </w:p>
        </w:tc>
        <w:tc>
          <w:tcPr>
            <w:tcW w:w="3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Class F Notes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Borders>
              <w:right w:val="single" w:sz="8" w:color="CCEEFF"/>
            </w:tcBorders>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 of $4,500,000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Borders>
              <w:right w:val="single" w:sz="8" w:color="CCEEFF"/>
            </w:tcBorders>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12/23</w:t>
            </w:r>
          </w:p>
        </w:tc>
        <w:tc>
          <w:tcPr>
            <w:tcW w:w="128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3,917,442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Class E Notes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Par Value of $1,525,000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Due 4/26</w:t>
            </w: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1,417,376</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0" w:type="dxa"/>
            <w:vAlign w:val="bottom"/>
            <w:tcBorders>
              <w:top w:val="single" w:sz="8" w:color="CCEEFF"/>
              <w:right w:val="single" w:sz="8" w:color="CCEEFF"/>
            </w:tcBorders>
            <w:shd w:val="clear" w:color="auto" w:fill="CCEEFF"/>
          </w:tcPr>
          <w:p>
            <w:pPr>
              <w:spacing w:after="0"/>
              <w:rPr>
                <w:sz w:val="20"/>
                <w:szCs w:val="20"/>
                <w:color w:val="auto"/>
              </w:rPr>
            </w:pPr>
          </w:p>
        </w:tc>
        <w:tc>
          <w:tcPr>
            <w:tcW w:w="3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5,334,818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0" w:type="dxa"/>
            <w:vAlign w:val="bottom"/>
            <w:tcBorders>
              <w:top w:val="single" w:sz="8" w:color="CCEEFF"/>
              <w:right w:val="single" w:sz="8" w:color="CCEEFF"/>
            </w:tcBorders>
            <w:shd w:val="clear" w:color="auto" w:fill="CCEEFF"/>
          </w:tcPr>
          <w:p>
            <w:pPr>
              <w:spacing w:after="0"/>
              <w:rPr>
                <w:sz w:val="20"/>
                <w:szCs w:val="20"/>
                <w:color w:val="auto"/>
              </w:rPr>
            </w:pPr>
          </w:p>
        </w:tc>
        <w:tc>
          <w:tcPr>
            <w:tcW w:w="3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b w:val="1"/>
                <w:bCs w:val="1"/>
                <w:color w:val="auto"/>
              </w:rPr>
              <w:t>Total Investment in CLO Fund Securities</w:t>
            </w: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00" w:type="dxa"/>
            <w:vAlign w:val="bottom"/>
          </w:tcPr>
          <w:p>
            <w:pPr>
              <w:ind w:left="320"/>
              <w:spacing w:after="0"/>
              <w:rPr>
                <w:sz w:val="20"/>
                <w:szCs w:val="20"/>
                <w:color w:val="auto"/>
              </w:rPr>
            </w:pPr>
            <w:r>
              <w:rPr>
                <w:rFonts w:ascii="Arial" w:cs="Arial" w:eastAsia="Arial" w:hAnsi="Arial"/>
                <w:sz w:val="18"/>
                <w:szCs w:val="18"/>
                <w:b w:val="1"/>
                <w:bCs w:val="1"/>
                <w:color w:val="auto"/>
              </w:rPr>
              <w:t>(30% of net asset value at fair value)</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90,889,190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77,514,902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Percentage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Ownership</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right w:val="single" w:sz="8" w:color="auto"/>
            </w:tcBorders>
            <w:shd w:val="clear" w:color="auto" w:fill="000000"/>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right w:val="single" w:sz="8" w:color="CCEEFF"/>
            </w:tcBorders>
            <w:shd w:val="clear" w:color="auto" w:fill="CCEEFF"/>
          </w:tcPr>
          <w:p>
            <w:pPr>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6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60,292,677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72,326,000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 Affiliates</w:t>
            </w:r>
          </w:p>
        </w:tc>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(28% of net asset value at fair value)</w:t>
            </w:r>
          </w:p>
        </w:tc>
        <w:tc>
          <w:tcPr>
            <w:tcW w:w="3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60,292,677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72,326,000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Par / Amortized</w:t>
            </w: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b w:val="1"/>
                <w:bCs w:val="1"/>
                <w:color w:val="auto"/>
              </w:rPr>
              <w:t>Yield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right w:val="single" w:sz="8" w:color="auto"/>
            </w:tcBorders>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right w:val="single" w:sz="8" w:color="CCEEFF"/>
            </w:tcBorders>
            <w:shd w:val="clear" w:color="auto" w:fill="CCEEFF"/>
          </w:tcPr>
          <w:p>
            <w:pPr>
              <w:spacing w:after="0" w:line="250"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8"/>
                <w:szCs w:val="28"/>
                <w:color w:val="auto"/>
                <w:vertAlign w:val="superscript"/>
              </w:rPr>
              <w:t>8, 9</w:t>
            </w: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3560" w:type="dxa"/>
            <w:vAlign w:val="bottom"/>
            <w:gridSpan w:val="2"/>
          </w:tcPr>
          <w:p>
            <w:pPr>
              <w:spacing w:after="0"/>
              <w:rPr>
                <w:sz w:val="20"/>
                <w:szCs w:val="20"/>
                <w:color w:val="auto"/>
              </w:rPr>
            </w:pPr>
            <w:r>
              <w:rPr>
                <w:rFonts w:ascii="Arial" w:cs="Arial" w:eastAsia="Arial" w:hAnsi="Arial"/>
                <w:sz w:val="18"/>
                <w:szCs w:val="18"/>
                <w:color w:val="auto"/>
              </w:rPr>
              <w:t>Money Market Account</w:t>
            </w: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1,353,636</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1,353,636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right w:val="single" w:sz="8" w:color="CCEEFF"/>
            </w:tcBorders>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5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Total Investment in Time Deposit and Money Market Accounts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00" w:type="dxa"/>
            <w:vAlign w:val="bottom"/>
          </w:tcPr>
          <w:p>
            <w:pPr>
              <w:ind w:left="320"/>
              <w:spacing w:after="0"/>
              <w:rPr>
                <w:sz w:val="20"/>
                <w:szCs w:val="20"/>
                <w:color w:val="auto"/>
              </w:rPr>
            </w:pPr>
            <w:r>
              <w:rPr>
                <w:rFonts w:ascii="Arial" w:cs="Arial" w:eastAsia="Arial" w:hAnsi="Arial"/>
                <w:sz w:val="18"/>
                <w:szCs w:val="18"/>
                <w:b w:val="1"/>
                <w:bCs w:val="1"/>
                <w:color w:val="auto"/>
              </w:rPr>
              <w:t>(1% of net asset value at fair value)</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1,602,741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CEEFF"/>
              <w:right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000" w:type="dxa"/>
            <w:vAlign w:val="bottom"/>
          </w:tcPr>
          <w:p>
            <w:pPr>
              <w:spacing w:after="0" w:line="239" w:lineRule="exact"/>
              <w:rPr>
                <w:sz w:val="20"/>
                <w:szCs w:val="20"/>
                <w:color w:val="auto"/>
              </w:rPr>
            </w:pPr>
            <w:r>
              <w:rPr>
                <w:rFonts w:ascii="Arial" w:cs="Arial" w:eastAsia="Arial" w:hAnsi="Arial"/>
                <w:sz w:val="17"/>
                <w:szCs w:val="17"/>
                <w:b w:val="1"/>
                <w:bCs w:val="1"/>
                <w:color w:val="auto"/>
              </w:rPr>
              <w:t>Total Investments</w:t>
            </w:r>
            <w:r>
              <w:rPr>
                <w:rFonts w:ascii="Arial" w:cs="Arial" w:eastAsia="Arial" w:hAnsi="Arial"/>
                <w:sz w:val="27"/>
                <w:szCs w:val="27"/>
                <w:b w:val="1"/>
                <w:bCs w:val="1"/>
                <w:color w:val="auto"/>
                <w:vertAlign w:val="superscript"/>
              </w:rPr>
              <w:t>4</w:t>
            </w: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00" w:type="dxa"/>
            <w:vAlign w:val="bottom"/>
          </w:tcPr>
          <w:p>
            <w:pPr>
              <w:ind w:left="320"/>
              <w:spacing w:after="0"/>
              <w:rPr>
                <w:sz w:val="20"/>
                <w:szCs w:val="20"/>
                <w:color w:val="auto"/>
              </w:rPr>
            </w:pPr>
            <w:r>
              <w:rPr>
                <w:rFonts w:ascii="Arial" w:cs="Arial" w:eastAsia="Arial" w:hAnsi="Arial"/>
                <w:sz w:val="18"/>
                <w:szCs w:val="18"/>
                <w:b w:val="1"/>
                <w:bCs w:val="1"/>
                <w:color w:val="auto"/>
              </w:rPr>
              <w:t>(188% of net asset value at fair value)</w:t>
            </w:r>
          </w:p>
        </w:tc>
        <w:tc>
          <w:tcPr>
            <w:tcW w:w="3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484,498,354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6"/>
              </w:rPr>
              <w:t>$ 479,706,494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left="432" w:hanging="432"/>
        <w:spacing w:after="0" w:line="221" w:lineRule="auto"/>
        <w:tabs>
          <w:tab w:leader="none" w:pos="432"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432"/>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December 31, 2014. As noted in the table above, 75% (based on par) of debt securities contain LIBOR floors which range between 0.75% and 3.00%.</w:t>
      </w:r>
    </w:p>
    <w:p>
      <w:pPr>
        <w:ind w:left="432" w:hanging="432"/>
        <w:spacing w:after="0" w:line="181" w:lineRule="auto"/>
        <w:tabs>
          <w:tab w:leader="none" w:pos="432"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2014, as determined by the Company’s Board of Directors.</w:t>
      </w:r>
    </w:p>
    <w:p>
      <w:pPr>
        <w:ind w:left="432" w:hanging="432"/>
        <w:spacing w:after="0" w:line="180" w:lineRule="auto"/>
        <w:tabs>
          <w:tab w:leader="none" w:pos="432"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432" w:hanging="432"/>
        <w:spacing w:after="0" w:line="181" w:lineRule="auto"/>
        <w:tabs>
          <w:tab w:leader="none" w:pos="432"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$502 million. The aggregate gross unrealized appreciation is</w:t>
      </w:r>
    </w:p>
    <w:p>
      <w:pPr>
        <w:spacing w:after="0" w:line="2" w:lineRule="exact"/>
        <w:rPr>
          <w:sz w:val="20"/>
          <w:szCs w:val="20"/>
          <w:color w:val="auto"/>
        </w:rPr>
      </w:pPr>
    </w:p>
    <w:p>
      <w:pPr>
        <w:ind w:left="432" w:right="640"/>
        <w:spacing w:after="0" w:line="249" w:lineRule="auto"/>
        <w:rPr>
          <w:sz w:val="20"/>
          <w:szCs w:val="20"/>
          <w:color w:val="auto"/>
        </w:rPr>
      </w:pPr>
      <w:r>
        <w:rPr>
          <w:rFonts w:ascii="Arial" w:cs="Arial" w:eastAsia="Arial" w:hAnsi="Arial"/>
          <w:sz w:val="18"/>
          <w:szCs w:val="18"/>
          <w:color w:val="auto"/>
        </w:rPr>
        <w:t>approximately $15.7 million, the aggregate gross unrealized depreciation is approximately $37.7 million, and the net unrealized depreciation is approximately $22 million.</w:t>
      </w:r>
    </w:p>
    <w:p>
      <w:pPr>
        <w:ind w:left="432" w:hanging="432"/>
        <w:spacing w:after="0" w:line="181" w:lineRule="auto"/>
        <w:tabs>
          <w:tab w:leader="none" w:pos="43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432" w:hanging="432"/>
        <w:spacing w:after="0" w:line="180" w:lineRule="auto"/>
        <w:tabs>
          <w:tab w:leader="none" w:pos="43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32" w:hanging="432"/>
        <w:spacing w:after="0" w:line="181" w:lineRule="auto"/>
        <w:tabs>
          <w:tab w:leader="none" w:pos="43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32" w:hanging="432"/>
        <w:spacing w:after="0" w:line="180" w:lineRule="auto"/>
        <w:tabs>
          <w:tab w:leader="none" w:pos="43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32" w:hanging="432"/>
        <w:spacing w:after="0" w:line="180" w:lineRule="auto"/>
        <w:tabs>
          <w:tab w:leader="none" w:pos="43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432" w:hanging="432"/>
        <w:spacing w:after="0" w:line="181" w:lineRule="auto"/>
        <w:tabs>
          <w:tab w:leader="none" w:pos="43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As of December 31, 2014, this CLO Fund Security was not providing a taxable distribution.</w:t>
      </w:r>
    </w:p>
    <w:p>
      <w:pPr>
        <w:spacing w:after="0" w:line="1" w:lineRule="exact"/>
        <w:rPr>
          <w:rFonts w:ascii="Arial" w:cs="Arial" w:eastAsia="Arial" w:hAnsi="Arial"/>
          <w:sz w:val="25"/>
          <w:szCs w:val="25"/>
          <w:color w:val="auto"/>
          <w:vertAlign w:val="superscript"/>
        </w:rPr>
      </w:pPr>
    </w:p>
    <w:p>
      <w:pPr>
        <w:ind w:left="432" w:right="300" w:hanging="432"/>
        <w:spacing w:after="0" w:line="187" w:lineRule="auto"/>
        <w:tabs>
          <w:tab w:leader="none" w:pos="4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As of December 31, 2014, investment was owned by KCAP Senior Funding I, LLC and has been pledged to secure KCAP Senior Funding I, LLC’s obligations.</w:t>
      </w:r>
    </w:p>
    <w:p>
      <w:pPr>
        <w:spacing w:after="0" w:line="200" w:lineRule="exact"/>
        <w:rPr>
          <w:sz w:val="20"/>
          <w:szCs w:val="20"/>
          <w:color w:val="auto"/>
        </w:rPr>
      </w:pPr>
    </w:p>
    <w:p>
      <w:pPr>
        <w:spacing w:after="0" w:line="2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6.94</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29"/>
                <w:szCs w:val="29"/>
                <w:color w:val="auto"/>
                <w:vertAlign w:val="superscript"/>
              </w:rPr>
              <w:t>1</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6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30"/>
                <w:szCs w:val="30"/>
                <w:color w:val="auto"/>
                <w:vertAlign w:val="superscript"/>
              </w:rPr>
              <w:t>1</w:t>
            </w:r>
          </w:p>
        </w:tc>
        <w:tc>
          <w:tcPr>
            <w:tcW w:w="1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Net (decrease) increase in net assets resulting from operations</w:t>
            </w:r>
          </w:p>
        </w:tc>
        <w:tc>
          <w:tcPr>
            <w:tcW w:w="1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Distribution of ordinary income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capital</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distributions</w:t>
            </w:r>
          </w:p>
        </w:tc>
        <w:tc>
          <w:tcPr>
            <w:tcW w:w="1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relating to stock-based transactions:</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decrease in net assets relating to stock-based transactions</w:t>
            </w:r>
          </w:p>
        </w:tc>
        <w:tc>
          <w:tcPr>
            <w:tcW w:w="1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4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37,052,575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33,753,672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234,599,882</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259,027,074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227,250,480</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195,658,000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Asset coverage ratio</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226"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 w:lineRule="exact"/>
        <w:rPr>
          <w:sz w:val="20"/>
          <w:szCs w:val="20"/>
          <w:color w:val="auto"/>
        </w:rPr>
      </w:pPr>
    </w:p>
    <w:p>
      <w:pPr>
        <w:ind w:left="340" w:right="120" w:hanging="332"/>
        <w:spacing w:after="0" w:line="187"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(including any return of capital), divided by the beginning net asset value per share.</w:t>
      </w:r>
    </w:p>
    <w:p>
      <w:pPr>
        <w:ind w:left="340" w:hanging="332"/>
        <w:spacing w:after="0" w:line="181"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Total market return equals the change in the ending market price over the beginning of period price per share plus distributions (including any return of</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divided by the beginning price.</w:t>
      </w:r>
    </w:p>
    <w:p>
      <w:pPr>
        <w:ind w:left="340" w:hanging="332"/>
        <w:spacing w:after="0" w:line="186"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Not annualized. Portfolio turnover rate equals the year-to-date sales and paydowns over the average of the invested assets at fair value.</w:t>
      </w:r>
    </w:p>
    <w:p>
      <w:pPr>
        <w:spacing w:after="0" w:line="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41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our common stock, and net proceeds of $27 million.</w:t>
      </w:r>
    </w:p>
    <w:p>
      <w:pPr>
        <w:spacing w:after="0" w:line="170"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 per share, raising approximately $1.9 million in gross proceeds.</w:t>
      </w:r>
    </w:p>
    <w:p>
      <w:pPr>
        <w:spacing w:after="0" w:line="187"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right="100" w:firstLine="414"/>
        <w:spacing w:after="0" w:line="272" w:lineRule="auto"/>
        <w:rPr>
          <w:sz w:val="20"/>
          <w:szCs w:val="20"/>
          <w:color w:val="auto"/>
        </w:rPr>
      </w:pPr>
      <w:r>
        <w:rPr>
          <w:rFonts w:ascii="Arial" w:cs="Arial" w:eastAsia="Arial" w:hAnsi="Arial"/>
          <w:sz w:val="17"/>
          <w:szCs w:val="17"/>
          <w:color w:val="auto"/>
        </w:rPr>
        <w:t>As of September 30, 2015, Katonah Debt Advisors and Trimaran Advisors, as well as affiliated management companies Katonah 2007-1 Management, L.L.C., Katonah X Management, L.L.C. and Trimaran Advisors Management, L.L.C. (collectively the “Asset Manager Affiliates”), had approximately $2.7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 investment interest in the CLO Funds they manage; however, KCAP holds investments in a portion of the securities issued by the CLO Funds managed by the Asset Manager Affiliates.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41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25" w:lineRule="exact"/>
        <w:rPr>
          <w:sz w:val="20"/>
          <w:szCs w:val="20"/>
          <w:color w:val="auto"/>
        </w:rPr>
      </w:pPr>
    </w:p>
    <w:p>
      <w:pPr>
        <w:ind w:right="60" w:firstLine="41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80" w:firstLine="41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2014, as filed with the U.S. Securities and Exchange Commission (the “Commission” or the “SEC”).</w:t>
      </w:r>
    </w:p>
    <w:p>
      <w:pPr>
        <w:spacing w:after="0" w:line="188"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41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60" w:firstLine="414"/>
        <w:spacing w:after="0" w:line="259" w:lineRule="auto"/>
        <w:rPr>
          <w:sz w:val="20"/>
          <w:szCs w:val="20"/>
          <w:color w:val="auto"/>
        </w:rPr>
      </w:pPr>
      <w:r>
        <w:rPr>
          <w:rFonts w:ascii="Arial" w:cs="Arial" w:eastAsia="Arial" w:hAnsi="Arial"/>
          <w:sz w:val="18"/>
          <w:szCs w:val="18"/>
          <w:color w:val="auto"/>
        </w:rPr>
        <w:t>In addition, in accordance with Rule 3-09 of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(pursuant to Rule 3-09) is set forth in Note 5 to these consolidated financial statements.</w:t>
      </w:r>
    </w:p>
    <w:p>
      <w:pPr>
        <w:spacing w:after="0" w:line="187"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8" w:lineRule="exact"/>
        <w:rPr>
          <w:sz w:val="20"/>
          <w:szCs w:val="20"/>
          <w:color w:val="auto"/>
        </w:rPr>
      </w:pPr>
    </w:p>
    <w:p>
      <w:pPr>
        <w:ind w:right="140" w:firstLine="41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nine months ended September 30, 2015, the Company provided $69 million to portfolio companies to support their growth objectives. None of this support was contractually obligated. See also Note 8 – Commitments and Contingencies. As of September 30, 2015, the Company holds loans it has made to 80 investee companies with aggregate principal amounts of $277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nine-month-period ended September 30, 2015, the Company did not make any such introductions or lead any syndicates.</w:t>
      </w:r>
    </w:p>
    <w:p>
      <w:pPr>
        <w:spacing w:after="0" w:line="192"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In August 2014, the Financial Accounting Standards Board (“FASB”) issued Accounting Standards Update (“ASU”) 2014- 15,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2014- 15 is effective for annual periods ending after December 15, 2016, and for annual and interim periods thereafter, and early adoption is permitted. We do not expect to adopt ASU 2014-15 early, and we do not believe the standard will have a material impact on our financial statements, when adopted.</w:t>
      </w:r>
    </w:p>
    <w:p>
      <w:pPr>
        <w:spacing w:after="0" w:line="189" w:lineRule="exact"/>
        <w:rPr>
          <w:sz w:val="20"/>
          <w:szCs w:val="20"/>
          <w:color w:val="auto"/>
        </w:rPr>
      </w:pPr>
    </w:p>
    <w:p>
      <w:pPr>
        <w:ind w:right="20" w:firstLine="414"/>
        <w:spacing w:after="0" w:line="293" w:lineRule="auto"/>
        <w:rPr>
          <w:sz w:val="20"/>
          <w:szCs w:val="20"/>
          <w:color w:val="auto"/>
        </w:rPr>
      </w:pPr>
      <w:r>
        <w:rPr>
          <w:rFonts w:ascii="Arial" w:cs="Arial" w:eastAsia="Arial" w:hAnsi="Arial"/>
          <w:sz w:val="16"/>
          <w:szCs w:val="16"/>
          <w:color w:val="auto"/>
        </w:rPr>
        <w:t>In February 2015, the FASB issued Accounting Standards Update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We do not expect the adoption of ASU 2015-2 to have a material impact to the Company’s financial statements.</w:t>
      </w:r>
    </w:p>
    <w:p>
      <w:pPr>
        <w:spacing w:after="0" w:line="16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Simplifying the Presentation of Debt Issuance Costs. Under this guidance, debt issuance costs related to a recognized debt liability are to be presented as a direct deduction from the debt liability rather than as an asset on the balance sheet, consistent with debt discounts. For public business entities, the final guidance will be effective for fiscal years beginning after December 15, 2015, and interim periods within those fiscal years. Early adoption is permitted. The Company intends to adopt the new guidance beginning the first quarter of 2016.</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40" w:firstLine="414"/>
        <w:spacing w:after="0" w:line="289"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 faith determination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firstLine="414"/>
        <w:spacing w:after="0" w:line="291" w:lineRule="auto"/>
        <w:rPr>
          <w:sz w:val="20"/>
          <w:szCs w:val="20"/>
          <w:color w:val="auto"/>
        </w:rPr>
      </w:pPr>
      <w:r>
        <w:rPr>
          <w:rFonts w:ascii="Arial" w:cs="Arial" w:eastAsia="Arial" w:hAnsi="Arial"/>
          <w:sz w:val="16"/>
          <w:szCs w:val="16"/>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w:t>
      </w:r>
    </w:p>
    <w:p>
      <w:pPr>
        <w:ind w:right="300"/>
        <w:spacing w:after="0" w:line="261" w:lineRule="auto"/>
        <w:rPr>
          <w:sz w:val="20"/>
          <w:szCs w:val="20"/>
          <w:color w:val="auto"/>
        </w:rPr>
      </w:pPr>
      <w:r>
        <w:rPr>
          <w:rFonts w:ascii="Arial" w:cs="Arial" w:eastAsia="Arial" w:hAnsi="Arial"/>
          <w:sz w:val="18"/>
          <w:szCs w:val="18"/>
          <w:color w:val="auto"/>
        </w:rPr>
        <w:t>– “Investments – Fair Value Measurements” for further information relating to Level I, Level II and Level III). The guidance also required that purchases, sales, issuances and settlements be presented gross in the Level III reconciliation.</w:t>
      </w:r>
    </w:p>
    <w:p>
      <w:pPr>
        <w:spacing w:after="0" w:line="184" w:lineRule="exact"/>
        <w:rPr>
          <w:sz w:val="20"/>
          <w:szCs w:val="20"/>
          <w:color w:val="auto"/>
        </w:rPr>
      </w:pPr>
    </w:p>
    <w:p>
      <w:pPr>
        <w:ind w:right="500" w:firstLine="41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jc w:val="both"/>
        <w:ind w:right="260" w:firstLine="414"/>
        <w:spacing w:after="0" w:line="302" w:lineRule="auto"/>
        <w:rPr>
          <w:sz w:val="20"/>
          <w:szCs w:val="20"/>
          <w:color w:val="auto"/>
        </w:rPr>
      </w:pPr>
      <w:r>
        <w:rPr>
          <w:rFonts w:ascii="Arial" w:cs="Arial" w:eastAsia="Arial" w:hAnsi="Arial"/>
          <w:sz w:val="16"/>
          <w:szCs w:val="16"/>
          <w:color w:val="auto"/>
        </w:rPr>
        <w:t>The Company utilizes an independent valuation firm to provide an annual third-party review of the Company’s CLO fair value model relative to its functionality, model inputs and calculations as a reasonable method to determine CLO fair values, in the absence of Level I or Level II trading activity or observable market inputs. The independent valuation firm’s 2014 annual review concluded that the Company’s CLO model appropriately factors in all the necessary inputs required to build a CLO equity cash flow model for fair value purposes and that the inputs were being employed correctly.</w:t>
      </w:r>
    </w:p>
    <w:p>
      <w:pPr>
        <w:spacing w:after="0" w:line="154" w:lineRule="exact"/>
        <w:rPr>
          <w:sz w:val="20"/>
          <w:szCs w:val="20"/>
          <w:color w:val="auto"/>
        </w:rPr>
      </w:pPr>
    </w:p>
    <w:p>
      <w:pPr>
        <w:ind w:right="10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20" w:firstLine="41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w:t>
      </w:r>
      <w:r>
        <w:rPr>
          <w:rFonts w:ascii="Arial" w:cs="Arial" w:eastAsia="Arial" w:hAnsi="Arial"/>
          <w:sz w:val="18"/>
          <w:szCs w:val="18"/>
          <w:i w:val="1"/>
          <w:iCs w:val="1"/>
          <w:color w:val="auto"/>
        </w:rPr>
        <w:t xml:space="preserve"> </w:t>
      </w:r>
      <w:r>
        <w:rPr>
          <w:rFonts w:ascii="Arial" w:cs="Arial" w:eastAsia="Arial" w:hAnsi="Arial"/>
          <w:sz w:val="18"/>
          <w:szCs w:val="18"/>
          <w:color w:val="auto"/>
        </w:rPr>
        <w:t>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9" w:name="page40"/>
    <w:bookmarkEnd w:id="39"/>
    <w:p>
      <w:pPr>
        <w:ind w:right="100"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189"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00" w:firstLine="41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quarterly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(if any) to holders of notes issued by KCAP Senior Funding I, LLC.</w:t>
      </w:r>
    </w:p>
    <w:p>
      <w:pPr>
        <w:spacing w:after="0" w:line="170" w:lineRule="exact"/>
        <w:rPr>
          <w:sz w:val="20"/>
          <w:szCs w:val="20"/>
          <w:color w:val="auto"/>
        </w:rPr>
      </w:pPr>
    </w:p>
    <w:p>
      <w:pPr>
        <w:ind w:right="340" w:firstLine="414"/>
        <w:spacing w:after="0" w:line="308" w:lineRule="auto"/>
        <w:rPr>
          <w:sz w:val="20"/>
          <w:szCs w:val="20"/>
          <w:color w:val="auto"/>
        </w:rPr>
      </w:pPr>
      <w:r>
        <w:rPr>
          <w:rFonts w:ascii="Arial" w:cs="Arial" w:eastAsia="Arial" w:hAnsi="Arial"/>
          <w:sz w:val="17"/>
          <w:szCs w:val="17"/>
          <w:i w:val="1"/>
          <w:iCs w:val="1"/>
          <w:color w:val="auto"/>
        </w:rPr>
        <w:t>Time Deposits and Money Market Accounts</w:t>
      </w:r>
      <w:r>
        <w:rPr>
          <w:rFonts w:ascii="Arial" w:cs="Arial" w:eastAsia="Arial" w:hAnsi="Arial"/>
          <w:sz w:val="17"/>
          <w:szCs w:val="17"/>
          <w:color w:val="auto"/>
        </w:rPr>
        <w:t>. Time deposits primarily represent investments of cash held in demand deposit accounts. Money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primarily represent short term interest-bearing deposit accounts. Also includes restricted cash held under employee benefit plans.</w:t>
      </w:r>
    </w:p>
    <w:p>
      <w:pPr>
        <w:spacing w:after="0" w:line="147"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is recorded on the accrual basis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September 30, 2015, one issuer representing less than 1% of the Company’s total investments at fair value was on a non-accrual status.</w:t>
      </w:r>
    </w:p>
    <w:p>
      <w:pPr>
        <w:spacing w:after="0" w:line="193"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40" w:firstLine="41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60" w:firstLine="41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2014-1 CLO, interest is earned at a fixed spread relative to the LIBOR index.</w:t>
      </w:r>
    </w:p>
    <w:p>
      <w:pPr>
        <w:spacing w:after="0" w:line="170"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and amortized using the effective interest method over the contractual term of the borrowing.</w:t>
      </w:r>
    </w:p>
    <w:p>
      <w:pPr>
        <w:spacing w:after="0" w:line="170"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ind w:right="60" w:firstLine="41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800" w:firstLine="41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of Directors each quarter.</w:t>
      </w:r>
    </w:p>
    <w:p>
      <w:pPr>
        <w:spacing w:after="0" w:line="170" w:lineRule="exact"/>
        <w:rPr>
          <w:sz w:val="20"/>
          <w:szCs w:val="20"/>
          <w:color w:val="auto"/>
        </w:rPr>
      </w:pPr>
    </w:p>
    <w:p>
      <w:pPr>
        <w:ind w:right="360" w:firstLine="41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jc w:val="both"/>
        <w:ind w:right="140" w:firstLine="41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(decrease) increase in stockholders’ equity per share for the three and nine months ended September 30, 2015 and 2014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4"/>
                <w:szCs w:val="24"/>
                <w:color w:val="auto"/>
              </w:rPr>
            </w:pP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(16,050,865)</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8,236,473</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(7,145,869)</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23,930,726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Net decrease (increase) in net assets allocated to unvested share awards</w:t>
            </w: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303,869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(151,517)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125,136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(288,671)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Notes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1,072,050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Amortization of Capitalized Costs on Convertible Notes</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106,460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313,327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 (decrease) increase in net assets available to common stockholders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(15,746,996)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9,263,466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(7,020,733)</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27,171,532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computation</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37,046,906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33,746,159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36,923,212</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33,497,934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 – stock options</w:t>
            </w: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Convertible Notes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6,367,443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6,367,443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diluted shares computation</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37,046,906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40,125,660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36,923,212</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39,877,326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008" w:gutter="0" w:footer="0" w:header="0"/>
        </w:sectPr>
      </w:pPr>
    </w:p>
    <w:bookmarkStart w:id="42" w:name="page43"/>
    <w:bookmarkEnd w:id="42"/>
    <w:p>
      <w:pPr>
        <w:ind w:right="1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jc w:val="both"/>
        <w:ind w:right="340" w:firstLine="414"/>
        <w:spacing w:after="0" w:line="312" w:lineRule="auto"/>
        <w:rPr>
          <w:sz w:val="20"/>
          <w:szCs w:val="20"/>
          <w:color w:val="auto"/>
        </w:rPr>
      </w:pPr>
      <w:r>
        <w:rPr>
          <w:rFonts w:ascii="Arial" w:cs="Arial" w:eastAsia="Arial" w:hAnsi="Arial"/>
          <w:sz w:val="16"/>
          <w:szCs w:val="16"/>
          <w:color w:val="auto"/>
        </w:rPr>
        <w:t>There were 50,000 options to purchase shares of common stock outstanding for the three months ended September 30, 2015 and 2014. For the nine months ended September 30, 2015, the company purchased 36,348 shares of common stock in connection with the vesting of employee’s restricted stock, such shares are treated as treasury shares and reduce the weighted average shares outstanding in the computation of earnings per share.</w:t>
      </w:r>
    </w:p>
    <w:p>
      <w:pPr>
        <w:spacing w:after="0" w:line="147"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and nine months ended September 30, 2015, the effects of the convertible notes are anti-dilutive.</w:t>
      </w:r>
    </w:p>
    <w:p>
      <w:pPr>
        <w:spacing w:after="0" w:line="193"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The if-converted method of computing the dilutive effects on convertible notes assumes a conversion even if the contracted conversion price exceeds the market value of the shares. As of September 30, 2015, the current conversion rate of the Convertible Notes is approximately 134.51 shares of our common stock per $1,000 principal amount of the Convertible Notes, equivalent to a conversion price of approximately $7.43 per share of the Company’s common stock. Upon conversion, the Company may issue the full amount of common stock and retire the full amount of debt outstanding or, at its option, settle the conversion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September 30, 2015 (unaudited)</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8"/>
              </w:rPr>
              <w:t>December 31, 2014</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211,441,566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204,189,144</w:t>
            </w:r>
          </w:p>
        </w:tc>
        <w:tc>
          <w:tcPr>
            <w:tcW w:w="6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220,965,922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218,329,860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41,204,786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39,795,980</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38,664,199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38,569,006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Unsecured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23,000,000</w:t>
            </w:r>
          </w:p>
        </w:tc>
        <w:tc>
          <w:tcPr>
            <w:tcW w:w="6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33,066,984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33,066,984</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2,317,500</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4,420,467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4,221,543</w:t>
            </w:r>
          </w:p>
        </w:tc>
        <w:tc>
          <w:tcPr>
            <w:tcW w:w="6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4,295,544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4,240,301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11,698,340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10,597,995</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11,208,178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11,386,218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Senior Secured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1,511,590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1,481,250</w:t>
            </w:r>
          </w:p>
        </w:tc>
        <w:tc>
          <w:tcPr>
            <w:tcW w:w="6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1,515,584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1,552,500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86,288,448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66,720,782</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90,889,190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Equity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8,514,487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6,936,653</w:t>
            </w:r>
          </w:p>
        </w:tc>
        <w:tc>
          <w:tcPr>
            <w:tcW w:w="6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8,828,812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8,119,681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10,359,873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10,681,029</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10,206,016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10,418,302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57,189,159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64,121,000</w:t>
            </w:r>
          </w:p>
        </w:tc>
        <w:tc>
          <w:tcPr>
            <w:tcW w:w="6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60,292,677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461,951,090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437,408,599</w:t>
            </w:r>
          </w:p>
        </w:tc>
        <w:tc>
          <w:tcPr>
            <w:tcW w:w="6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484,498,354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479,706,494</w:t>
            </w:r>
          </w:p>
        </w:tc>
        <w:tc>
          <w:tcPr>
            <w:tcW w:w="20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percentage of Net Asset Value.</w:t>
      </w:r>
    </w:p>
    <w:p>
      <w:pPr>
        <w:spacing w:after="0" w:line="23" w:lineRule="exact"/>
        <w:rPr>
          <w:sz w:val="20"/>
          <w:szCs w:val="20"/>
          <w:color w:val="auto"/>
        </w:rPr>
      </w:pPr>
    </w:p>
    <w:p>
      <w:pPr>
        <w:ind w:right="6360" w:firstLine="8"/>
        <w:spacing w:after="0" w:line="323" w:lineRule="auto"/>
        <w:tabs>
          <w:tab w:leader="none" w:pos="3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200" w:firstLine="41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2015 and December 31, 2014,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114"/>
              <w:spacing w:after="0"/>
              <w:rPr>
                <w:sz w:val="20"/>
                <w:szCs w:val="20"/>
                <w:color w:val="auto"/>
              </w:rPr>
            </w:pPr>
            <w:r>
              <w:rPr>
                <w:rFonts w:ascii="Arial" w:cs="Arial" w:eastAsia="Arial" w:hAnsi="Arial"/>
                <w:sz w:val="18"/>
                <w:szCs w:val="18"/>
                <w:b w:val="1"/>
                <w:bCs w:val="1"/>
                <w:color w:val="auto"/>
              </w:rPr>
              <w:t>September 30, 2015 (unaudited)</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8"/>
              </w:rPr>
              <w:t>December 31, 2014</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680" w:type="dxa"/>
            <w:vAlign w:val="bottom"/>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820" w:type="dxa"/>
            <w:vAlign w:val="bottom"/>
          </w:tcPr>
          <w:p>
            <w:pPr>
              <w:jc w:val="right"/>
              <w:ind w:right="291"/>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9,648,347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9,069,264</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10,059,487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9,533,092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57,189,159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64,121,000</w:t>
            </w:r>
          </w:p>
        </w:tc>
        <w:tc>
          <w:tcPr>
            <w:tcW w:w="68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26.0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60,292,677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Automotive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9,932,977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9,876,215</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8,362,956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8,312,548</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6,165,678</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7,660,721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7,639,366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24,439,168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24,119,358</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17,974,974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17,883,421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9,509,929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8,437,999</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10,351,329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3,503,317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3,463,669</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6,348,226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6,210,253</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86,288,447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66,720,782</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90,889,190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1,980,681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1,982,831</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14,163,260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13,174,865</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13,876,482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13,301,207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20,393,549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20,156,836</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13,535,975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13,314,952</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2,921,622</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2,946,734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Energy: Oil &amp; Gas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14,176,843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11,509,141</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13,866,208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13,289,753</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12,784,029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12,474,510</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12,942,593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12,911,017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5,895,474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5,944,907</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5,917,051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5,942,523</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50,028,563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46,982,976</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66,186,412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65,720,782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High Tech Industries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11,802,469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11,652,643</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14,457,495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14,419,110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2,962,315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11,203,758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10,574,807</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11,318,815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11,396,027</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7,459,621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7,399,614</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14,477,078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14,409,401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Metals &amp; Mining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3,870,664</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3,773,847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Services: Business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20,706,513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20,513,356</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16,550,255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16,066,421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6,438,715</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6,752,521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Telecommunications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13,797,355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13,614,636</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22,030,434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21,865,864</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3,345,723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3,345,724</w:t>
            </w:r>
          </w:p>
        </w:tc>
        <w:tc>
          <w:tcPr>
            <w:tcW w:w="6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Transportation: Cargo</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21,755,034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22,040,544</w:t>
            </w:r>
          </w:p>
        </w:tc>
        <w:tc>
          <w:tcPr>
            <w:tcW w:w="6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20,156,700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20,455,941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2,487,820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2,487,500</w:t>
            </w:r>
          </w:p>
        </w:tc>
        <w:tc>
          <w:tcPr>
            <w:tcW w:w="6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Utilities: Electric</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5,701,134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5,346,743</w:t>
            </w:r>
          </w:p>
        </w:tc>
        <w:tc>
          <w:tcPr>
            <w:tcW w:w="68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5,859,532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5,803,428</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461,951,090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437,408,599</w:t>
            </w:r>
          </w:p>
        </w:tc>
        <w:tc>
          <w:tcPr>
            <w:tcW w:w="6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484,498,354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479,706,494</w:t>
            </w:r>
          </w:p>
        </w:tc>
        <w:tc>
          <w:tcPr>
            <w:tcW w:w="20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260" w:hanging="252"/>
        <w:spacing w:after="0" w:line="180" w:lineRule="auto"/>
        <w:tabs>
          <w:tab w:leader="none" w:pos="26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260" w:hanging="252"/>
        <w:spacing w:after="0" w:line="180" w:lineRule="auto"/>
        <w:tabs>
          <w:tab w:leader="none" w:pos="2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240" w:firstLine="41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187"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At September 30, 2015 and December 31, 2014, the total amount of non-qualifying assets was approximately 17% and 21%, respectively. The majority of non-qualifying assets were foreign investments which were approximately 15% and 16% of the Company’s total assets, respectively (including the Company’s investments in CLO Funds, which are typically domiciled outside the U.S. and represented approximately 15% and 16% of its total assets on such dates, respectively).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detail the ten largest portfolio investments (at fair value) as of September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89"/>
              </w:rPr>
              <w:t>September 30, 2015 (unaudited)</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gridSpan w:val="2"/>
            <w:vMerge w:val="continue"/>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19"/>
                <w:szCs w:val="19"/>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57,189,159</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64,121,000</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23,975,870</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23,233,837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Trimaran Credit Facility</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10,359,873</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10,681,029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12,439,015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9,442,080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10,520,547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8,939,640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2014-1 Ltd.</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9,264,284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7,251,390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Catamaran CLO 2014-2 Ltd.</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8,374,214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6,932,673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6,916,737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Catamaran CLO 2013- 1 Ltd.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6,559,985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6,561,900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168,599,684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166,813,549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December 31, 2014</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gridSpan w:val="2"/>
            <w:vMerge w:val="continue"/>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60,292,677</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00" w:type="dxa"/>
            <w:vAlign w:val="bottom"/>
            <w:vMerge w:val="continue"/>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23,471,779</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25,191,782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Trimaran Credit Facility</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10,206,016</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10,418,302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10,212,907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9,866,065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Catamaran CLO 2014-1 Ltd.</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10,473,628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8,867,176</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2014-2 Ltd.</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9,862,799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Restorix Health,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8,063,397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8,063,397</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2013- 1 Ltd.</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7,492,702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7,874,910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6,894,754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7,105,000</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169,970,659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181,474,132</w:t>
            </w:r>
          </w:p>
        </w:tc>
        <w:tc>
          <w:tcPr>
            <w:tcW w:w="2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14"/>
        <w:spacing w:after="0" w:line="308" w:lineRule="auto"/>
        <w:rPr>
          <w:sz w:val="20"/>
          <w:szCs w:val="20"/>
          <w:color w:val="auto"/>
        </w:rPr>
      </w:pPr>
      <w:r>
        <w:rPr>
          <w:rFonts w:ascii="Arial" w:cs="Arial" w:eastAsia="Arial" w:hAnsi="Arial"/>
          <w:sz w:val="17"/>
          <w:szCs w:val="17"/>
          <w:color w:val="auto"/>
        </w:rPr>
        <w:t>Excluding the Asset Manager Affiliates and CLO Fund securities, the Company’s ten largest portfolio companies represented approximately 18% and 17% of the total fair value of the Company’s investments at September 30, 2015 and December 31, 2014,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8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4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2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6" w:name="page47"/>
    <w:bookmarkEnd w:id="46"/>
    <w:p>
      <w:pPr>
        <w:ind w:right="200" w:firstLine="41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September 30, 2015 (unaudited) and December 31, 2014,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00" w:type="dxa"/>
            <w:vAlign w:val="bottom"/>
            <w:gridSpan w:val="8"/>
          </w:tcPr>
          <w:p>
            <w:pPr>
              <w:ind w:left="200"/>
              <w:spacing w:after="0"/>
              <w:rPr>
                <w:sz w:val="20"/>
                <w:szCs w:val="20"/>
                <w:color w:val="auto"/>
              </w:rPr>
            </w:pPr>
            <w:r>
              <w:rPr>
                <w:rFonts w:ascii="Arial" w:cs="Arial" w:eastAsia="Arial" w:hAnsi="Arial"/>
                <w:sz w:val="18"/>
                <w:szCs w:val="18"/>
                <w:b w:val="1"/>
                <w:bCs w:val="1"/>
                <w:color w:val="auto"/>
                <w:w w:val="89"/>
              </w:rPr>
              <w:t>As of September 30, 2015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86,392,713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209,891,728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296,284,441</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66,720,782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66,720,782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6,936,653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6,936,653</w:t>
            </w:r>
          </w:p>
        </w:tc>
        <w:tc>
          <w:tcPr>
            <w:tcW w:w="100" w:type="dxa"/>
            <w:vAlign w:val="bottom"/>
          </w:tcPr>
          <w:p>
            <w:pPr>
              <w:spacing w:after="0"/>
              <w:rPr>
                <w:sz w:val="18"/>
                <w:szCs w:val="18"/>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64,121,000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64,121,000</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89,738,436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347,670,163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437,408,599</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ind w:left="80"/>
              <w:spacing w:after="0"/>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149,124,827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171,018,343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320,143,170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77,514,902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77,514,902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8,119,681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8,119,681</w:t>
            </w: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72,326,000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72,326,000</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150,727,568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328,978,926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479,706,494</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414"/>
        <w:spacing w:after="0" w:line="342" w:lineRule="auto"/>
        <w:rPr>
          <w:sz w:val="20"/>
          <w:szCs w:val="20"/>
          <w:color w:val="auto"/>
        </w:rPr>
      </w:pPr>
      <w:r>
        <w:rPr>
          <w:rFonts w:ascii="Arial" w:cs="Arial" w:eastAsia="Arial" w:hAnsi="Arial"/>
          <w:sz w:val="16"/>
          <w:szCs w:val="16"/>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24" w:lineRule="exact"/>
        <w:rPr>
          <w:sz w:val="20"/>
          <w:szCs w:val="20"/>
          <w:color w:val="auto"/>
        </w:rPr>
      </w:pPr>
    </w:p>
    <w:p>
      <w:pPr>
        <w:ind w:right="540" w:firstLine="41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200" w:firstLine="414"/>
        <w:spacing w:after="0" w:line="276"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73"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20" w:firstLine="41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8"/>
                <w:szCs w:val="18"/>
                <w:b w:val="1"/>
                <w:bCs w:val="1"/>
                <w:color w:val="auto"/>
                <w:w w:val="90"/>
              </w:rPr>
              <w:t>Nine Months Ended September 30, 2015 (unaudited)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30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Equity</w:t>
            </w: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Securities</w:t>
            </w:r>
          </w:p>
        </w:tc>
        <w:tc>
          <w:tcPr>
            <w:tcW w:w="16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Securities</w:t>
            </w: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171,018,343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328,978,926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(9,960,953)</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(9,960,953)</w:t>
            </w: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42,920,972</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20" w:type="dxa"/>
            <w:vAlign w:val="bottom"/>
            <w:shd w:val="clear" w:color="auto" w:fill="CCEEFF"/>
          </w:tcPr>
          <w:p>
            <w:pPr>
              <w:spacing w:after="0" w:line="20" w:lineRule="exact"/>
              <w:rPr>
                <w:sz w:val="1"/>
                <w:szCs w:val="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42,920,972</w:t>
            </w:r>
          </w:p>
        </w:tc>
      </w:tr>
      <w:tr>
        <w:trPr>
          <w:trHeight w:val="201"/>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221,620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(6,433,551)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(6,211,931)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53,510,881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65,462,881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 Paydowns</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(49,362,448)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(3,872,700)</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(317,340)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(3,103,517)</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(56,656,005)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(6,246,883)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(6,219,504)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1,518,949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(6,192,986)</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(868,703)</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(5,101,483)</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(10,644,223)</w:t>
            </w:r>
          </w:p>
        </w:tc>
      </w:tr>
      <w:tr>
        <w:trPr>
          <w:trHeight w:val="21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209,891,728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66,720,782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6,936,653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64,121,000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347,670,163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unrealized 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earnings related to investments still held at reporting</w:t>
      </w:r>
    </w:p>
    <w:p>
      <w:pPr>
        <w:spacing w:after="0"/>
        <w:tabs>
          <w:tab w:leader="none" w:pos="4100" w:val="left"/>
          <w:tab w:leader="none" w:pos="4660" w:val="left"/>
          <w:tab w:leader="none" w:pos="5660" w:val="left"/>
          <w:tab w:leader="none" w:pos="6040" w:val="left"/>
          <w:tab w:leader="none" w:pos="7140" w:val="left"/>
          <w:tab w:leader="none" w:pos="7740" w:val="left"/>
          <w:tab w:leader="none" w:pos="8600" w:val="left"/>
          <w:tab w:leader="none" w:pos="9060" w:val="left"/>
          <w:tab w:leader="none" w:pos="10040" w:val="left"/>
          <w:tab w:leader="none" w:pos="10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1,518,949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(12,985,600</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(868,704)</w:t>
        <w:tab/>
        <w:t>$</w:t>
      </w:r>
      <w:r>
        <w:rPr>
          <w:sz w:val="20"/>
          <w:szCs w:val="20"/>
          <w:color w:val="auto"/>
        </w:rPr>
        <w:tab/>
      </w:r>
      <w:r>
        <w:rPr>
          <w:rFonts w:ascii="Arial" w:cs="Arial" w:eastAsia="Arial" w:hAnsi="Arial"/>
          <w:sz w:val="18"/>
          <w:szCs w:val="18"/>
          <w:color w:val="auto"/>
        </w:rPr>
        <w:t>(5,101,484)</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(17,436,839</w:t>
      </w:r>
      <w:r>
        <w:rPr>
          <w:rFonts w:ascii="Arial" w:cs="Arial" w:eastAsia="Arial" w:hAnsi="Arial"/>
          <w:sz w:val="16"/>
          <w:szCs w:val="16"/>
          <w:color w:val="auto"/>
        </w:rPr>
        <w:t>)</w:t>
      </w:r>
    </w:p>
    <w:p>
      <w:pPr>
        <w:spacing w:after="0" w:line="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¹Transfers out of Level III represent a transfer of $9,960,953 relating to debt securities for which pricing inputs, other than their quoted prices in active markets were observable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-302260</wp:posOffset>
            </wp:positionV>
            <wp:extent cx="4562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$42,920,972 relating to debt securities for which pricing inputs, other than their quoted prices in active markets were unobservable as of September 30,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 2014</w:t>
            </w: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38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Affiliate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198,097,374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364,703,993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Transfers out of Level III</w:t>
            </w:r>
          </w:p>
        </w:tc>
        <w:tc>
          <w:tcPr>
            <w:tcW w:w="200" w:type="dxa"/>
            <w:vAlign w:val="bottom"/>
          </w:tcPr>
          <w:p>
            <w:pPr>
              <w:spacing w:after="0"/>
              <w:rPr>
                <w:sz w:val="22"/>
                <w:szCs w:val="22"/>
                <w:color w:val="auto"/>
              </w:rPr>
            </w:pPr>
          </w:p>
        </w:tc>
        <w:tc>
          <w:tcPr>
            <w:tcW w:w="12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(38,990,152)</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(38,990,152)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Transfers into Level III</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1,982,110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gridSpan w:val="2"/>
            <w:shd w:val="clear" w:color="auto" w:fill="CCEEFF"/>
          </w:tcPr>
          <w:p>
            <w:pPr>
              <w:jc w:val="right"/>
              <w:ind w:right="200"/>
              <w:spacing w:after="0" w:line="68" w:lineRule="exact"/>
              <w:rPr>
                <w:sz w:val="20"/>
                <w:szCs w:val="20"/>
                <w:color w:val="auto"/>
              </w:rPr>
            </w:pPr>
            <w:r>
              <w:rPr>
                <w:rFonts w:ascii="Arial" w:cs="Arial" w:eastAsia="Arial" w:hAnsi="Arial"/>
                <w:sz w:val="7"/>
                <w:szCs w:val="7"/>
                <w:color w:val="auto"/>
              </w:rPr>
              <w:t>1,982,110</w:t>
            </w: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198,600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(11,102,015)</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(10,903,415)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132,079,152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22,421,847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2,216,847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545,979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157,263,825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Sales/Paydowns</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(121,242,093)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(10,132,500)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(6,432,086)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(142,813,990)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(9,069,550)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5,575,498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(7,136,407)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(10,630,459)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7,962,902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(8,700,148)</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7,040,153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2,064,107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8,367,014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171,018,343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328,978,926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 in unrealized gains (losses) included in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(4,908,278)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424,306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2,064,107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(3,868,659)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560"/>
        <w:spacing w:after="0" w:line="261" w:lineRule="auto"/>
        <w:rPr>
          <w:sz w:val="20"/>
          <w:szCs w:val="20"/>
          <w:color w:val="auto"/>
        </w:rPr>
      </w:pPr>
      <w:r>
        <w:rPr>
          <w:rFonts w:ascii="Arial" w:cs="Arial" w:eastAsia="Arial" w:hAnsi="Arial"/>
          <w:sz w:val="18"/>
          <w:szCs w:val="18"/>
          <w:color w:val="auto"/>
        </w:rPr>
        <w:t>¹Transfers out of Level III represent a transfer of $2,783,195 relating to debt securities for which pricing inputs, other than their quoted prices in active markets were observable as of December 31, 2013</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$34,070,557 relating to debt securities for which pricing inputs, other than their quoted prices in active markets were unobservable as of December 31, 2013.</w:t>
      </w:r>
    </w:p>
    <w:p>
      <w:pPr>
        <w:spacing w:after="0" w:line="170"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As of September 30, 2015,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$89,738,436 as of September 30, 2015.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color w:val="auto"/>
        </w:rPr>
        <w:t>As of September 30, 2015,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spacing w:after="0"/>
              <w:rPr>
                <w:sz w:val="18"/>
                <w:szCs w:val="18"/>
                <w:color w:val="auto"/>
              </w:rPr>
            </w:pPr>
          </w:p>
        </w:tc>
        <w:tc>
          <w:tcPr>
            <w:tcW w:w="2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Primary Valuation</w:t>
            </w:r>
          </w:p>
        </w:tc>
        <w:tc>
          <w:tcPr>
            <w:tcW w:w="23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Unobservable</w:t>
            </w:r>
          </w:p>
        </w:tc>
        <w:tc>
          <w:tcPr>
            <w:tcW w:w="296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2700" w:type="dxa"/>
            <w:vAlign w:val="bottom"/>
            <w:tcBorders>
              <w:left w:val="single" w:sz="8" w:color="auto"/>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0"/>
              </w:rPr>
              <w:t>Type</w:t>
            </w:r>
          </w:p>
        </w:tc>
        <w:tc>
          <w:tcPr>
            <w:tcW w:w="2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Fair Value</w:t>
            </w:r>
          </w:p>
        </w:tc>
        <w:tc>
          <w:tcPr>
            <w:tcW w:w="182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Methodology</w:t>
            </w:r>
          </w:p>
        </w:tc>
        <w:tc>
          <w:tcPr>
            <w:tcW w:w="23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Inputs</w:t>
            </w:r>
          </w:p>
        </w:tc>
        <w:tc>
          <w:tcPr>
            <w:tcW w:w="29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95"/>
        </w:trPr>
        <w:tc>
          <w:tcPr>
            <w:tcW w:w="2700" w:type="dxa"/>
            <w:vAlign w:val="bottom"/>
            <w:tcBorders>
              <w:lef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25,317,500</w:t>
            </w: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2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Multiple/Qualitative Inputs</w:t>
            </w:r>
          </w:p>
        </w:tc>
        <w:tc>
          <w:tcPr>
            <w:tcW w:w="2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88"/>
              </w:rPr>
              <w:t>Debt Securities</w:t>
            </w:r>
          </w:p>
        </w:tc>
        <w:tc>
          <w:tcPr>
            <w:tcW w:w="260" w:type="dxa"/>
            <w:vAlign w:val="bottom"/>
            <w:tcBorders>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184,573,228</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Income Approach</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Implied Discount Rate</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2.3% - 21.2% (9.2%)</w:t>
            </w:r>
          </w:p>
        </w:tc>
        <w:tc>
          <w:tcPr>
            <w:tcW w:w="0" w:type="dxa"/>
            <w:vAlign w:val="bottom"/>
          </w:tcPr>
          <w:p>
            <w:pPr>
              <w:spacing w:after="0"/>
              <w:rPr>
                <w:sz w:val="1"/>
                <w:szCs w:val="1"/>
                <w:color w:val="auto"/>
              </w:rPr>
            </w:pPr>
          </w:p>
        </w:tc>
      </w:tr>
      <w:tr>
        <w:trPr>
          <w:trHeight w:val="250"/>
        </w:trPr>
        <w:tc>
          <w:tcPr>
            <w:tcW w:w="2700" w:type="dxa"/>
            <w:vAlign w:val="bottom"/>
            <w:tcBorders>
              <w:left w:val="single" w:sz="8" w:color="auto"/>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23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70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90"/>
              </w:rPr>
              <w:t>Equity Securities</w:t>
            </w:r>
          </w:p>
        </w:tc>
        <w:tc>
          <w:tcPr>
            <w:tcW w:w="26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6,933,653</w:t>
            </w: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2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3"/>
              </w:rPr>
              <w:t>4.3x/6.5% - 13.1x/15.1% (7.2x/12.2%)</w:t>
            </w:r>
          </w:p>
        </w:tc>
        <w:tc>
          <w:tcPr>
            <w:tcW w:w="0" w:type="dxa"/>
            <w:vAlign w:val="bottom"/>
          </w:tcPr>
          <w:p>
            <w:pPr>
              <w:spacing w:after="0"/>
              <w:rPr>
                <w:sz w:val="1"/>
                <w:szCs w:val="1"/>
                <w:color w:val="auto"/>
              </w:rPr>
            </w:pPr>
          </w:p>
        </w:tc>
      </w:tr>
      <w:tr>
        <w:trPr>
          <w:trHeight w:val="136"/>
        </w:trPr>
        <w:tc>
          <w:tcPr>
            <w:tcW w:w="2700" w:type="dxa"/>
            <w:vAlign w:val="bottom"/>
            <w:tcBorders>
              <w:left w:val="single" w:sz="8" w:color="auto"/>
            </w:tcBorders>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Multiple/WAAC</w:t>
            </w:r>
          </w:p>
        </w:tc>
        <w:tc>
          <w:tcPr>
            <w:tcW w:w="2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00" w:type="dxa"/>
            <w:vAlign w:val="bottom"/>
            <w:tcBorders>
              <w:left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right w:val="single" w:sz="8" w:color="auto"/>
            </w:tcBorders>
            <w:vMerge w:val="continue"/>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Qualitative Inputs</w:t>
            </w: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 (12%)</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92"/>
              </w:rPr>
              <w:t>CLO Fund Securities</w:t>
            </w:r>
          </w:p>
        </w:tc>
        <w:tc>
          <w:tcPr>
            <w:tcW w:w="260" w:type="dxa"/>
            <w:vAlign w:val="bottom"/>
            <w:tcBorders>
              <w:right w:val="single" w:sz="8" w:color="auto"/>
            </w:tcBorders>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57,278,702</w:t>
            </w: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3"/>
              </w:rPr>
              <w:t>Discounted Cash Flow</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Probability of Default</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 - 2.5% (2.1%)</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Loss Severity</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25.0% - 25.9% (25.7%)</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Recovery Rate</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74.1% - 75.0% (74.3%)</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Prepayment Rate</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7.6% - 33.5% (26.2%)</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9,442,080</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Market Approach</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Third Party Quote</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79 (79)</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1"/>
              </w:rPr>
              <w:t>Asset Manager Affiliate</w:t>
            </w:r>
          </w:p>
        </w:tc>
        <w:tc>
          <w:tcPr>
            <w:tcW w:w="2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64,121,000</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Discounted Cash Flow</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2.11% - 12.0% (7.0%)</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2"/>
              </w:rPr>
              <w:t>Total Level III Investments</w:t>
            </w:r>
          </w:p>
        </w:tc>
        <w:tc>
          <w:tcPr>
            <w:tcW w:w="4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347,670,163</w:t>
            </w:r>
          </w:p>
        </w:tc>
        <w:tc>
          <w:tcPr>
            <w:tcW w:w="18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60" w:firstLine="8"/>
        <w:spacing w:after="0" w:line="277" w:lineRule="auto"/>
        <w:tabs>
          <w:tab w:leader="none" w:pos="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firstLine="41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jc w:val="both"/>
        <w:ind w:right="380" w:firstLine="41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120" w:firstLine="41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80" w:firstLine="41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September 30, 2015 and December 31, 2014, the Asset Manager Affiliates had approximately $2.7 billion and $3.0 billion, respectively, of par value of assets under management, and the Company’s 100% equity interest in the Asset Manager Affiliates had a fair value of approximately $64 million and $72 million, respectively.</w:t>
      </w:r>
    </w:p>
    <w:p>
      <w:pPr>
        <w:spacing w:after="0" w:line="154" w:lineRule="exact"/>
        <w:rPr>
          <w:sz w:val="20"/>
          <w:szCs w:val="20"/>
          <w:color w:val="auto"/>
        </w:rPr>
      </w:pPr>
    </w:p>
    <w:p>
      <w:pPr>
        <w:ind w:right="40" w:firstLine="414"/>
        <w:spacing w:after="0" w:line="272"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two managed funds made incentive fee distributions during the quarter ended September 30, 2015.</w:t>
      </w:r>
    </w:p>
    <w:p>
      <w:pPr>
        <w:spacing w:after="0" w:line="178" w:lineRule="exact"/>
        <w:rPr>
          <w:sz w:val="20"/>
          <w:szCs w:val="20"/>
          <w:color w:val="auto"/>
        </w:rPr>
      </w:pPr>
    </w:p>
    <w:p>
      <w:pPr>
        <w:ind w:right="60" w:firstLine="414"/>
        <w:spacing w:after="0" w:line="254" w:lineRule="auto"/>
        <w:rPr>
          <w:sz w:val="20"/>
          <w:szCs w:val="20"/>
          <w:color w:val="auto"/>
        </w:rPr>
      </w:pPr>
      <w:r>
        <w:rPr>
          <w:rFonts w:ascii="Arial" w:cs="Arial" w:eastAsia="Arial" w:hAnsi="Arial"/>
          <w:sz w:val="18"/>
          <w:szCs w:val="18"/>
          <w:color w:val="auto"/>
        </w:rPr>
        <w:t>For the three months ended September 30, 2015 and 2014, the Asset Manager Affiliates declared cash distributions of $2.3 million and $3.1 million to the Company, respectively. For the nine months ended September 30, 2015 and 2014, the Asset Manager Affiliates declared cash distributions of $7.3 million and $9.1 million to the Company, respectively. Any distributions from the Asset Manager Affiliates out of the estimated tax-basis earnings and profits are recorded as “Dividends from Asset Manager Affiliates” on the Company’s statement of operations. The Company recognized $1.5 million and $1.4 million, respectively, of Dividends from Asset Manager Affiliates in the Statement of Operations for the three months ended September 30, 2015 and 2014.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92" w:lineRule="exact"/>
        <w:rPr>
          <w:sz w:val="20"/>
          <w:szCs w:val="20"/>
          <w:color w:val="auto"/>
        </w:rPr>
      </w:pPr>
    </w:p>
    <w:p>
      <w:pPr>
        <w:jc w:val="both"/>
        <w:ind w:firstLine="41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320" w:firstLine="41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right="80" w:firstLine="414"/>
        <w:spacing w:after="0" w:line="254" w:lineRule="auto"/>
        <w:rPr>
          <w:sz w:val="20"/>
          <w:szCs w:val="20"/>
          <w:color w:val="auto"/>
        </w:rPr>
      </w:pPr>
      <w:r>
        <w:rPr>
          <w:rFonts w:ascii="Arial" w:cs="Arial" w:eastAsia="Arial" w:hAnsi="Arial"/>
          <w:sz w:val="18"/>
          <w:szCs w:val="18"/>
          <w:color w:val="auto"/>
        </w:rPr>
        <w:t>Effective January 1, 2010, the Asset Manager Affiliates adopted guidance encompassed in Accounting Standards Codification Topic 810, “Consolidation.” The adoption of this new guidance had an impact on the disclosures relating to the Asset Manager Affiliates in the Company’s SEC filings which had previously not been required, as its provisions require the Asset Manager Affiliates to consolidate certain of their managed CLO Funds that were not previously consolidated. As a result of the consolidation of the CLO Funds into the Asset Manager Affiliates, the financial results of the Asset Manager Affiliates indicate that they qualify as a “significant subsidiary” of the Company requiring the following additional disclosures. In addition, Katonah 2007-I CLO qualifies as “significant subsidiaries” of the Company and the Company is also required to make the additional disclosures about it below. These disclosures regarding the Asset Manager Affiliates and Katonah 2007-I CLO do not directly impact the financial position, results of operations, or cash flows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5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40" w:type="dxa"/>
            <w:vAlign w:val="bottom"/>
          </w:tcPr>
          <w:p>
            <w:pPr>
              <w:spacing w:after="0"/>
              <w:rPr>
                <w:sz w:val="20"/>
                <w:szCs w:val="20"/>
                <w:color w:val="auto"/>
              </w:rPr>
            </w:pPr>
          </w:p>
        </w:tc>
        <w:tc>
          <w:tcPr>
            <w:tcW w:w="222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of CLO Funds, at fair value</w:t>
            </w:r>
          </w:p>
        </w:tc>
        <w:tc>
          <w:tcPr>
            <w:tcW w:w="10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$2,832,831,349</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$2,846,659,635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163,393,198</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182,224,205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3,094,809,922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3,092,592,939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2,930,979,743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2,990,211,629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3,026,008,125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3,060,837,388</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Total Asset Manager Affiliates equity</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32,851,021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34,780,345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Appropriated retained earnings (deficit) of consolidated VIEs</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35,950,776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(3,024,793)</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0"/>
              </w:rPr>
              <w:t>For the three months ended</w:t>
            </w:r>
          </w:p>
        </w:tc>
        <w:tc>
          <w:tcPr>
            <w:tcW w:w="200" w:type="dxa"/>
            <w:vAlign w:val="bottom"/>
          </w:tcPr>
          <w:p>
            <w:pPr>
              <w:spacing w:after="0"/>
              <w:rPr>
                <w:sz w:val="19"/>
                <w:szCs w:val="19"/>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34"/>
        </w:trPr>
        <w:tc>
          <w:tcPr>
            <w:tcW w:w="4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4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investments of CLO Funds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33,864,746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31,042,540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97,413,581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89,607,622</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income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34,295,807</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32,777,736</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101,084,824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94,460,828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of CLO Fund liabilities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33,480,470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25,477,833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112,252,220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74,533,029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expenses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37,563,731</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37,468,325</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137,696,316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103,677,330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(17,200,639)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(40,493,821)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83,216,644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(50,167,488)</w:t>
            </w: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w w:val="94"/>
              </w:rPr>
              <w:t>Net (loss) income attributable to noncontrolling interests in</w:t>
            </w:r>
          </w:p>
        </w:tc>
        <w:tc>
          <w:tcPr>
            <w:tcW w:w="14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consolidated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Variable Interest Entities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(24,666,746)</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(47,301,969)</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38,468,715</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(65,558,757)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Asset Manager Affiliates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1,274,518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5,370,678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3,949,287</w:t>
            </w:r>
          </w:p>
        </w:tc>
      </w:tr>
      <w:tr>
        <w:trPr>
          <w:trHeight w:val="648"/>
        </w:trPr>
        <w:tc>
          <w:tcPr>
            <w:tcW w:w="4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color w:val="auto"/>
              </w:rPr>
              <w:t>49</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b w:val="1"/>
                <w:bCs w:val="1"/>
                <w:color w:val="auto"/>
                <w:w w:val="93"/>
              </w:rPr>
              <w:t>As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6"/>
          </w:tcPr>
          <w:p>
            <w:pPr>
              <w:ind w:left="940"/>
              <w:spacing w:after="0"/>
              <w:rPr>
                <w:sz w:val="20"/>
                <w:szCs w:val="20"/>
                <w:color w:val="auto"/>
              </w:rPr>
            </w:pPr>
            <w:r>
              <w:rPr>
                <w:rFonts w:ascii="Arial" w:cs="Arial" w:eastAsia="Arial" w:hAnsi="Arial"/>
                <w:sz w:val="18"/>
                <w:szCs w:val="18"/>
                <w:b w:val="1"/>
                <w:bCs w:val="1"/>
                <w:color w:val="auto"/>
                <w:w w:val="99"/>
              </w:rPr>
              <w:t>September 30,</w:t>
            </w:r>
          </w:p>
        </w:tc>
        <w:tc>
          <w:tcPr>
            <w:tcW w:w="2060" w:type="dxa"/>
            <w:vAlign w:val="bottom"/>
            <w:gridSpan w:val="8"/>
          </w:tcPr>
          <w:p>
            <w:pPr>
              <w:jc w:val="center"/>
              <w:ind w:right="980"/>
              <w:spacing w:after="0"/>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258,104,187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$ 273,373,948</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Cash</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9,325,472</w:t>
            </w:r>
          </w:p>
        </w:tc>
        <w:tc>
          <w:tcPr>
            <w:tcW w:w="1140" w:type="dxa"/>
            <w:vAlign w:val="bottom"/>
            <w:gridSpan w:val="6"/>
          </w:tcPr>
          <w:p>
            <w:pPr>
              <w:jc w:val="right"/>
              <w:ind w:right="80"/>
              <w:spacing w:after="0"/>
              <w:rPr>
                <w:sz w:val="20"/>
                <w:szCs w:val="20"/>
                <w:color w:val="auto"/>
              </w:rPr>
            </w:pPr>
            <w:r>
              <w:rPr>
                <w:rFonts w:ascii="Arial" w:cs="Arial" w:eastAsia="Arial" w:hAnsi="Arial"/>
                <w:sz w:val="18"/>
                <w:szCs w:val="18"/>
                <w:color w:val="auto"/>
              </w:rPr>
              <w:t>14,939,994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268,022,761</w:t>
            </w:r>
          </w:p>
        </w:tc>
        <w:tc>
          <w:tcPr>
            <w:tcW w:w="11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288,945,330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269,401,971</w:t>
            </w:r>
          </w:p>
        </w:tc>
        <w:tc>
          <w:tcPr>
            <w:tcW w:w="1140" w:type="dxa"/>
            <w:vAlign w:val="bottom"/>
            <w:gridSpan w:val="6"/>
          </w:tcPr>
          <w:p>
            <w:pPr>
              <w:jc w:val="right"/>
              <w:ind w:right="80"/>
              <w:spacing w:after="0"/>
              <w:rPr>
                <w:sz w:val="20"/>
                <w:szCs w:val="20"/>
                <w:color w:val="auto"/>
              </w:rPr>
            </w:pPr>
            <w:r>
              <w:rPr>
                <w:rFonts w:ascii="Arial" w:cs="Arial" w:eastAsia="Arial" w:hAnsi="Arial"/>
                <w:sz w:val="18"/>
                <w:szCs w:val="18"/>
                <w:color w:val="auto"/>
              </w:rPr>
              <w:t>290,699,426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269,379,642</w:t>
            </w:r>
          </w:p>
        </w:tc>
        <w:tc>
          <w:tcPr>
            <w:tcW w:w="11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292,730,723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Total Net Assets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(1,356,881)</w:t>
            </w:r>
          </w:p>
        </w:tc>
        <w:tc>
          <w:tcPr>
            <w:tcW w:w="1140" w:type="dxa"/>
            <w:vAlign w:val="bottom"/>
            <w:gridSpan w:val="6"/>
          </w:tcPr>
          <w:p>
            <w:pPr>
              <w:jc w:val="right"/>
              <w:ind w:right="20"/>
              <w:spacing w:after="0"/>
              <w:rPr>
                <w:sz w:val="20"/>
                <w:szCs w:val="20"/>
                <w:color w:val="auto"/>
              </w:rPr>
            </w:pPr>
            <w:r>
              <w:rPr>
                <w:rFonts w:ascii="Arial" w:cs="Arial" w:eastAsia="Arial" w:hAnsi="Arial"/>
                <w:sz w:val="18"/>
                <w:szCs w:val="18"/>
                <w:color w:val="auto"/>
              </w:rPr>
              <w:t>(3,785,393)</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4440" w:type="dxa"/>
            <w:vAlign w:val="bottom"/>
          </w:tcPr>
          <w:p>
            <w:pPr>
              <w:spacing w:after="0"/>
              <w:rPr>
                <w:sz w:val="24"/>
                <w:szCs w:val="24"/>
                <w:color w:val="auto"/>
              </w:rPr>
            </w:pPr>
          </w:p>
        </w:tc>
        <w:tc>
          <w:tcPr>
            <w:tcW w:w="24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Katonah 2007-I CLO Ltd.</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gridSpan w:val="9"/>
          </w:tcPr>
          <w:p>
            <w:pPr>
              <w:ind w:left="344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24"/>
                <w:szCs w:val="24"/>
                <w:color w:val="auto"/>
              </w:rPr>
            </w:pPr>
          </w:p>
        </w:tc>
        <w:tc>
          <w:tcPr>
            <w:tcW w:w="258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4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2,567,295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2,925,473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7,644,426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8,944,967</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income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2,645,492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2,554,342</w:t>
            </w:r>
          </w:p>
        </w:tc>
        <w:tc>
          <w:tcPr>
            <w:tcW w:w="220" w:type="dxa"/>
            <w:vAlign w:val="bottom"/>
          </w:tcPr>
          <w:p>
            <w:pPr>
              <w:spacing w:after="0"/>
              <w:rPr>
                <w:sz w:val="18"/>
                <w:szCs w:val="18"/>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8,029,801</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8,938,951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2,299,222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2,667,429</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6,904,401</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8,188,894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2,530,278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2,949,332</w:t>
            </w:r>
          </w:p>
        </w:tc>
        <w:tc>
          <w:tcPr>
            <w:tcW w:w="220" w:type="dxa"/>
            <w:vAlign w:val="bottom"/>
          </w:tcPr>
          <w:p>
            <w:pPr>
              <w:spacing w:after="0"/>
              <w:rPr>
                <w:sz w:val="18"/>
                <w:szCs w:val="18"/>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7,722,579</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9,144,902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529,390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5"/>
              </w:rPr>
              <w:t>(2,698,937)</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2,121,290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(9,215,396)</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4"/>
              </w:rPr>
              <w:t>Increase (decrease) in net assets resulting from operations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644,604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8"/>
                <w:szCs w:val="18"/>
                <w:color w:val="auto"/>
                <w:w w:val="95"/>
              </w:rPr>
              <w:t>(3,093,927)</w:t>
            </w:r>
          </w:p>
        </w:tc>
        <w:tc>
          <w:tcPr>
            <w:tcW w:w="220" w:type="dxa"/>
            <w:vAlign w:val="bottom"/>
          </w:tcPr>
          <w:p>
            <w:pPr>
              <w:spacing w:after="0"/>
              <w:rPr>
                <w:sz w:val="20"/>
                <w:szCs w:val="20"/>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2,428,512</w:t>
            </w:r>
          </w:p>
        </w:tc>
        <w:tc>
          <w:tcPr>
            <w:tcW w:w="4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(9,421,347)</w:t>
            </w:r>
          </w:p>
        </w:tc>
      </w:tr>
    </w:tbl>
    <w:p>
      <w:pPr>
        <w:spacing w:after="0" w:line="187" w:lineRule="exact"/>
        <w:rPr>
          <w:sz w:val="20"/>
          <w:szCs w:val="20"/>
          <w:color w:val="auto"/>
        </w:rPr>
      </w:pPr>
    </w:p>
    <w:p>
      <w:pPr>
        <w:ind w:right="40" w:firstLine="414"/>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U.S. GAAP income and taxable income by approximately $2 million per year over such period.</w:t>
      </w:r>
    </w:p>
    <w:p>
      <w:pPr>
        <w:spacing w:after="0" w:line="193" w:lineRule="exact"/>
        <w:rPr>
          <w:sz w:val="20"/>
          <w:szCs w:val="20"/>
          <w:color w:val="auto"/>
        </w:rPr>
      </w:pPr>
    </w:p>
    <w:p>
      <w:pPr>
        <w:ind w:right="120" w:firstLine="41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of approximately $1.5 million per year over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firstLine="414"/>
        <w:spacing w:after="0" w:line="253"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both September 30, 2015 and December 31, 2014, the par value of the outstanding loan was $23 million. For the three months ended September 30, 2015, and 2014, the Company recognized interest income of approximately $395,000 and $491,000, respectively, related to the Trimaran Credit Facility. For the nine months ended September 30, 2015 and 2014, the Company recognized interest income of approximately $1.2 million and $1.7 million, respectively, related Trimaran Credit Facility.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The Company’s debt obligations consist of the following:</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860" w:type="dxa"/>
            <w:vAlign w:val="bottom"/>
            <w:gridSpan w:val="4"/>
          </w:tcPr>
          <w:p>
            <w:pPr>
              <w:ind w:left="260"/>
              <w:spacing w:after="0"/>
              <w:rPr>
                <w:sz w:val="20"/>
                <w:szCs w:val="20"/>
                <w:color w:val="auto"/>
              </w:rPr>
            </w:pPr>
            <w:r>
              <w:rPr>
                <w:rFonts w:ascii="Arial" w:cs="Arial" w:eastAsia="Arial" w:hAnsi="Arial"/>
                <w:sz w:val="18"/>
                <w:szCs w:val="18"/>
                <w:b w:val="1"/>
                <w:bCs w:val="1"/>
                <w:color w:val="auto"/>
                <w:w w:val="93"/>
              </w:rPr>
              <w:t>September 30, 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(unaudited)</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due March 15, 2016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33,647,000</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7.375% Notes Due 2019</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Issued by KCAP Senior Funding I, LLC (net of discount: 2015 - $3,060,315; 2014 -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$3,512,407)</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144,289,685</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143,837,593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2015 were 4.37% and 6.71 years, respectively, and as of December 31, 2014 were 4.43% and 7.23 years,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100" w:firstLine="41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93" w:lineRule="exact"/>
        <w:rPr>
          <w:sz w:val="20"/>
          <w:szCs w:val="20"/>
          <w:color w:val="auto"/>
        </w:rPr>
      </w:pPr>
    </w:p>
    <w:p>
      <w:pPr>
        <w:ind w:right="180" w:firstLine="414"/>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September 30, 2015, the conversion rate was 134.51 shares of common stock per $1,000 principal amount of Convertible Notes, which is equivalent to a conversion price of approximately $7.43 per share of common stock. Upon conversion, the Company would issue the full amount of common stock or settle the conversion in cash, at its option, and retire the full amount of debt outstanding.</w:t>
      </w:r>
    </w:p>
    <w:p>
      <w:pPr>
        <w:spacing w:after="0" w:line="187" w:lineRule="exact"/>
        <w:rPr>
          <w:sz w:val="20"/>
          <w:szCs w:val="20"/>
          <w:color w:val="auto"/>
        </w:rPr>
      </w:pPr>
    </w:p>
    <w:p>
      <w:pPr>
        <w:jc w:val="both"/>
        <w:ind w:right="280" w:firstLine="41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will no longer apply following the effective date of any fundamental change (as defined in the indenture governing the Convertible Notes).</w:t>
      </w:r>
    </w:p>
    <w:p>
      <w:pPr>
        <w:spacing w:after="0" w:line="188"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right="40" w:firstLine="414"/>
        <w:spacing w:after="0" w:line="287" w:lineRule="auto"/>
        <w:rPr>
          <w:sz w:val="20"/>
          <w:szCs w:val="20"/>
          <w:color w:val="auto"/>
        </w:rPr>
      </w:pPr>
      <w:r>
        <w:rPr>
          <w:rFonts w:ascii="Arial" w:cs="Arial" w:eastAsia="Arial" w:hAnsi="Arial"/>
          <w:sz w:val="16"/>
          <w:szCs w:val="16"/>
          <w:color w:val="auto"/>
        </w:rPr>
        <w:t xml:space="preserve">In connection with the issuance of the Convertible Notes, the Company incurred approximately $2.4 million of debt offering costs, which are being amortized over the term of the Convertible Notes on an effective yield method, of which approximately $132,000 remains to be amortized, and is included in other assets in the consolidated balance sheets.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On October 9, 2014, the Company purchased approximately $10.4 million face value of its own Convertible Notes at $114.875 plus accrued interest. On September 23, 2015, the Company purchased $5.0 million face value of its own Convertible Notes at $102.375 plus accrued interest. KCAP subsequently surrendered these notes to the Trustee for cancellation. Due to the cash conversion option embedded in the Convertible Notes, the Company applied the guidance in ASC 470-20-40,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realized a loss on the extinguishment of this debt. For the nine months ended September 30, 2015, there was approximately a $143,000 loss on the extinguishment of debt. The indenture governing the Convertible Notes contains certain restrictive covenants, including compliance with certain provisions of the 1940 Act and conditions governing the undertaking of new debt.</w:t>
      </w:r>
    </w:p>
    <w:p>
      <w:pPr>
        <w:spacing w:after="0" w:line="173" w:lineRule="exact"/>
        <w:rPr>
          <w:sz w:val="20"/>
          <w:szCs w:val="20"/>
          <w:color w:val="auto"/>
        </w:rPr>
      </w:pPr>
    </w:p>
    <w:p>
      <w:pPr>
        <w:jc w:val="both"/>
        <w:ind w:right="360" w:firstLine="414"/>
        <w:spacing w:after="0" w:line="264" w:lineRule="auto"/>
        <w:rPr>
          <w:sz w:val="20"/>
          <w:szCs w:val="20"/>
          <w:color w:val="auto"/>
        </w:rPr>
      </w:pPr>
      <w:r>
        <w:rPr>
          <w:rFonts w:ascii="Arial" w:cs="Arial" w:eastAsia="Arial" w:hAnsi="Arial"/>
          <w:sz w:val="18"/>
          <w:szCs w:val="18"/>
          <w:color w:val="auto"/>
        </w:rPr>
        <w:t>For the three months ended September 30, 2015 and 2014, interest expense related to the Convertible Notes was approximately $842,000 and $1.1 million, respectively. For the nine months ended September 30, 2015 and 2014, interest expense related to the Convertible Notes was approximately $2.5 million and $3.2 million, respectively.</w:t>
      </w:r>
    </w:p>
    <w:p>
      <w:pPr>
        <w:spacing w:after="0" w:line="181" w:lineRule="exact"/>
        <w:rPr>
          <w:sz w:val="20"/>
          <w:szCs w:val="20"/>
          <w:color w:val="auto"/>
        </w:rPr>
      </w:pPr>
    </w:p>
    <w:p>
      <w:pPr>
        <w:jc w:val="both"/>
        <w:ind w:right="640" w:firstLine="41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September 30, 2015, the Company was in compliance with all of its debt covenants.</w:t>
      </w:r>
    </w:p>
    <w:p>
      <w:pPr>
        <w:spacing w:after="0" w:line="181"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no active trading of these notes. The estimated fair value of the Company’s outstanding Convertible Notes was approximately $34.4 million at September 30, 2015. The fair value was determined based on an indicative closing price as of September 30, 2015. The Convertible Notes are categorized as Level III following ASC 820: Fair Value.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41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September 30, 2015, the Company was in compliance with all of its debt covenants.</w:t>
      </w:r>
    </w:p>
    <w:p>
      <w:pPr>
        <w:spacing w:after="0" w:line="169" w:lineRule="exact"/>
        <w:rPr>
          <w:sz w:val="20"/>
          <w:szCs w:val="20"/>
          <w:color w:val="auto"/>
        </w:rPr>
      </w:pPr>
    </w:p>
    <w:p>
      <w:pPr>
        <w:jc w:val="both"/>
        <w:ind w:right="20" w:firstLine="414"/>
        <w:spacing w:after="0" w:line="264" w:lineRule="auto"/>
        <w:rPr>
          <w:sz w:val="20"/>
          <w:szCs w:val="20"/>
          <w:color w:val="auto"/>
        </w:rPr>
      </w:pPr>
      <w:r>
        <w:rPr>
          <w:rFonts w:ascii="Arial" w:cs="Arial" w:eastAsia="Arial" w:hAnsi="Arial"/>
          <w:sz w:val="18"/>
          <w:szCs w:val="18"/>
          <w:color w:val="auto"/>
        </w:rPr>
        <w:t>For the three months ended September 30, 2015 and 2014, interest expense related to the 7.375% Notes Due 2019 was approximately $763,000 for both periods. For the nine months ended September 30, 2015 and 2014, interest expense related to the 7.375% Notes Due 2019 was approximately $2.3 million for both periods.</w:t>
      </w:r>
    </w:p>
    <w:p>
      <w:pPr>
        <w:spacing w:after="0" w:line="181"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term of the facility on an effective yield method, of which approximately $942,000 remains to be amortized, and is recorded on the consolidated balance sheets in other assets.</w:t>
      </w:r>
    </w:p>
    <w:p>
      <w:pPr>
        <w:spacing w:after="0" w:line="181" w:lineRule="exact"/>
        <w:rPr>
          <w:sz w:val="20"/>
          <w:szCs w:val="20"/>
          <w:color w:val="auto"/>
        </w:rPr>
      </w:pPr>
    </w:p>
    <w:p>
      <w:pPr>
        <w:ind w:right="160" w:firstLine="414"/>
        <w:spacing w:after="0" w:line="259" w:lineRule="auto"/>
        <w:rPr>
          <w:sz w:val="20"/>
          <w:szCs w:val="20"/>
          <w:color w:val="auto"/>
        </w:rPr>
      </w:pPr>
      <w:r>
        <w:rPr>
          <w:rFonts w:ascii="Arial" w:cs="Arial" w:eastAsia="Arial" w:hAnsi="Arial"/>
          <w:sz w:val="18"/>
          <w:szCs w:val="18"/>
          <w:i w:val="1"/>
          <w:iCs w:val="1"/>
          <w:color w:val="auto"/>
        </w:rPr>
        <w:t>Fair Value of 7.375% Notes Due 2019</w:t>
      </w:r>
      <w:r>
        <w:rPr>
          <w:rFonts w:ascii="Arial" w:cs="Arial" w:eastAsia="Arial" w:hAnsi="Arial"/>
          <w:sz w:val="18"/>
          <w:szCs w:val="18"/>
          <w:color w:val="auto"/>
        </w:rPr>
        <w:t>. The 7.375% Notes Due 2019 were issued in a public offering on October 10, 2012 and are carried at cost.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Company’s outstanding 7.375% Notes Due 2019 was approximately $41.4 million at September 30, 2015. The fair value was determined based on the closing price on September 30, 2015 for the 7.375% Notes Due 2019. The 7.375% Notes Due 2019 are categorized as Level I under the ASC 820 Fair Value.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60" w:firstLine="41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ind w:right="260" w:firstLine="41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jc w:val="both"/>
        <w:ind w:right="720" w:firstLine="41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jc w:val="both"/>
        <w:ind w:right="220" w:firstLine="41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$30,900,000, have a rating of AAA (sf)/Aaa (sf) by Standard &amp; Poor’s Ratings Services and Moody’s Investors Service, Inc., respectively, and bear interest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three-month LIBOR plus 1.50%, Class B-2 senior secured floating rate notes which have an initial face amount of $3,600,000, a rating of AA (sf)/Aa2 (sf)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Standard &amp; Poor’s Ratings Services and Moody’s Investors Service, Inc., respectively, and bear interest at three-month LIBOR plus 3.25%, Class C-2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secured deferrable floating rate notes which have an initial face amount of $4,000,000, a rating of A (sf)/A2 (sf) by Standard &amp; Poor’s Ratings Services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Moody’s Investors Service, Inc., respectively, and bear interest at three-month LIBOR plus 4.25%, and Class D-2 secured deferrable floating rate notes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an initial face amount of $3,600,000, a rating of BBB (sf)/Baa2 (sf) by Standard &amp; Poor’s Ratings Services and Moody’s Investors Service,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and bear interest at three-month LIBOR plus 5.25%. The Depositor retained all of the subordinated Additional Issuance Securities of the Issuer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Issuance Subordinated Notes”), which have an initial face amount of $13,900,000. The Additional Issuance Subordinated Notes do not bear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and are not rated. The Additional Issuance Securities have a stated maturity date of July 20, 2024 and are subject to a non-call period until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date on the Additional Issuance Securities occurring in July 2015. The Issuer has a reinvestment period to and including the payment date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Issuance Securities occurring in July 2017, or such earlier date as is provided in the indenture relating to the Additional Issuance Securities.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Additional Issuance Offered Securities, the Company incurred issuance costs and OID costs of approximately $679,000 and $896,000,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which is included in other assets on the accompanying balance sheet.</w:t>
      </w:r>
    </w:p>
    <w:p>
      <w:pPr>
        <w:spacing w:after="0" w:line="211" w:lineRule="exact"/>
        <w:rPr>
          <w:sz w:val="20"/>
          <w:szCs w:val="20"/>
          <w:color w:val="auto"/>
        </w:rPr>
      </w:pPr>
    </w:p>
    <w:p>
      <w:pPr>
        <w:jc w:val="both"/>
        <w:ind w:right="120" w:firstLine="41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500" w:firstLine="414"/>
        <w:spacing w:after="0" w:line="329"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35" w:lineRule="exact"/>
        <w:rPr>
          <w:sz w:val="20"/>
          <w:szCs w:val="20"/>
          <w:color w:val="auto"/>
        </w:rPr>
      </w:pPr>
    </w:p>
    <w:p>
      <w:pPr>
        <w:ind w:right="200" w:firstLine="414"/>
        <w:spacing w:after="0" w:line="308" w:lineRule="auto"/>
        <w:rPr>
          <w:sz w:val="20"/>
          <w:szCs w:val="20"/>
          <w:color w:val="auto"/>
        </w:rPr>
      </w:pPr>
      <w:r>
        <w:rPr>
          <w:rFonts w:ascii="Arial" w:cs="Arial" w:eastAsia="Arial" w:hAnsi="Arial"/>
          <w:sz w:val="17"/>
          <w:szCs w:val="17"/>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47" w:lineRule="exact"/>
        <w:rPr>
          <w:sz w:val="20"/>
          <w:szCs w:val="20"/>
          <w:color w:val="auto"/>
        </w:rPr>
      </w:pPr>
    </w:p>
    <w:p>
      <w:pPr>
        <w:ind w:right="80" w:firstLine="414"/>
        <w:spacing w:after="0" w:line="297" w:lineRule="auto"/>
        <w:rPr>
          <w:sz w:val="20"/>
          <w:szCs w:val="20"/>
          <w:color w:val="auto"/>
        </w:rPr>
      </w:pPr>
      <w:r>
        <w:rPr>
          <w:rFonts w:ascii="Arial" w:cs="Arial" w:eastAsia="Arial" w:hAnsi="Arial"/>
          <w:sz w:val="16"/>
          <w:szCs w:val="16"/>
          <w:color w:val="auto"/>
        </w:rPr>
        <w:t>As of September 30, 2015, there were 71 investments in portfolio companies with a total fair value of approximately $186 million plus cash of $8.3 million, collateralizing the secured notes of the Issuer. At September 30, 2015, there were unamortized issuance costs of approximately $3.3 million included in other assets, and unamortized original issue discount, (“OID”) costs of approximately $3.1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58"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For the three months ended September 30, 2015, interest expense, including the amortization of deferred debt issuance costs and the discount on the face amount of the notes, was approximately $1.3 million consisting of stated interest expense of approximately $947,000, accreted discount of approximately $152,000, and deferred debt issuance costs of approximately $165,000. For the nine months ended September 30, 2015, interest expense, including the amortization of deferred debt issuance costs and the discount on the face amount of the notes, was approximately $3.7 million consisting of stated interest expense of approximately $2.8 million, accreted discount of approximately $452,000, and deferred debt issuance costs of approximately $485,000. As of September 30, 2015, the stated interest charged under the securitization was based on three month LIBOR at the last reset date, which was 0.29%. The classes, stated interest rates, spread over LIBOR, and stated interest expense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Stated Interest</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LIBOR Spread</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 (1)</w:t>
            </w:r>
          </w:p>
        </w:tc>
        <w:tc>
          <w:tcPr>
            <w:tcW w:w="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(basis points)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2"/>
              </w:rPr>
              <w:t>Interest 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174,416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right="2120" w:hanging="412"/>
        <w:spacing w:after="0" w:line="569" w:lineRule="auto"/>
        <w:tabs>
          <w:tab w:leader="none" w:pos="2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A Notes</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B Notes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r>
      <w:tr>
        <w:trPr>
          <w:trHeight w:val="195"/>
        </w:trPr>
        <w:tc>
          <w:tcPr>
            <w:tcW w:w="3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Senior Secured</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Senior Secured</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Type</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Floating Rate</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Floating Rate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Floating Rate</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$ 108,150,000</w:t>
            </w:r>
          </w:p>
        </w:tc>
        <w:tc>
          <w:tcPr>
            <w:tcW w:w="1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$ 12,600,000</w:t>
            </w:r>
          </w:p>
        </w:tc>
        <w:tc>
          <w:tcPr>
            <w:tcW w:w="10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$ 14,000,000</w:t>
            </w:r>
          </w:p>
        </w:tc>
        <w:tc>
          <w:tcPr>
            <w:tcW w:w="10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$ 12,600,000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"Aaa"</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"Aa2"</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rPr>
              <w:t>"A2"</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"Baa2"</w:t>
            </w:r>
          </w:p>
        </w:tc>
      </w:tr>
      <w:tr>
        <w:trPr>
          <w:trHeight w:val="220"/>
        </w:trPr>
        <w:tc>
          <w:tcPr>
            <w:tcW w:w="3120" w:type="dxa"/>
            <w:vAlign w:val="bottom"/>
            <w:gridSpan w:val="2"/>
          </w:tcPr>
          <w:p>
            <w:pPr>
              <w:spacing w:after="0"/>
              <w:rPr>
                <w:sz w:val="20"/>
                <w:szCs w:val="20"/>
                <w:color w:val="auto"/>
              </w:rPr>
            </w:pPr>
            <w:r>
              <w:rPr>
                <w:rFonts w:ascii="Arial" w:cs="Arial" w:eastAsia="Arial" w:hAnsi="Arial"/>
                <w:sz w:val="18"/>
                <w:szCs w:val="18"/>
                <w:color w:val="auto"/>
              </w:rPr>
              <w:t>Standard &amp; Poor's Rating (sf)</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rPr>
              <w:t>"AAA"</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540" w:type="dxa"/>
            <w:vAlign w:val="bottom"/>
          </w:tcPr>
          <w:p>
            <w:pPr>
              <w:jc w:val="center"/>
              <w:spacing w:after="0"/>
              <w:rPr>
                <w:sz w:val="20"/>
                <w:szCs w:val="20"/>
                <w:color w:val="auto"/>
              </w:rPr>
            </w:pPr>
            <w:r>
              <w:rPr>
                <w:rFonts w:ascii="Arial" w:cs="Arial" w:eastAsia="Arial" w:hAnsi="Arial"/>
                <w:sz w:val="18"/>
                <w:szCs w:val="18"/>
                <w:color w:val="auto"/>
              </w:rPr>
              <w:t>"BBB"</w:t>
            </w:r>
          </w:p>
        </w:tc>
      </w:tr>
      <w:tr>
        <w:trPr>
          <w:trHeight w:val="253"/>
        </w:trPr>
        <w:tc>
          <w:tcPr>
            <w:tcW w:w="3120" w:type="dxa"/>
            <w:vAlign w:val="bottom"/>
            <w:gridSpan w:val="2"/>
          </w:tcPr>
          <w:p>
            <w:pPr>
              <w:spacing w:after="0" w:line="253" w:lineRule="exact"/>
              <w:rPr>
                <w:sz w:val="20"/>
                <w:szCs w:val="20"/>
                <w:color w:val="auto"/>
              </w:rPr>
            </w:pPr>
            <w:r>
              <w:rPr>
                <w:rFonts w:ascii="Arial" w:cs="Arial" w:eastAsia="Arial" w:hAnsi="Arial"/>
                <w:sz w:val="18"/>
                <w:szCs w:val="18"/>
                <w:color w:val="auto"/>
              </w:rPr>
              <w:t>Interest Rate</w:t>
            </w:r>
            <w:r>
              <w:rPr>
                <w:rFonts w:ascii="Arial" w:cs="Arial" w:eastAsia="Arial" w:hAnsi="Arial"/>
                <w:sz w:val="29"/>
                <w:szCs w:val="29"/>
                <w:color w:val="auto"/>
                <w:vertAlign w:val="superscript"/>
              </w:rPr>
              <w:t>1</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+ 1.50 %</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+ 3.25 %</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LIBOR + 4.25 %</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LIBOR + 5.25 %</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July, 2024</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 C, D</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 D</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 and</w:t>
            </w:r>
          </w:p>
        </w:tc>
        <w:tc>
          <w:tcPr>
            <w:tcW w:w="1540" w:type="dxa"/>
            <w:vAlign w:val="bottom"/>
          </w:tcPr>
          <w:p>
            <w:pPr>
              <w:spacing w:after="0"/>
              <w:rPr>
                <w:sz w:val="18"/>
                <w:szCs w:val="18"/>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Junior Classes</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and Subordinated</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and Subordinated</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Subordinated</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Subordinated</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¹Three month LIBOR, which was 0.29% as of the last reset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60" w:type="dxa"/>
            <w:vAlign w:val="bottom"/>
            <w:gridSpan w:val="8"/>
          </w:tcPr>
          <w:p>
            <w:pPr>
              <w:jc w:val="right"/>
              <w:spacing w:after="0"/>
              <w:rPr>
                <w:sz w:val="20"/>
                <w:szCs w:val="20"/>
                <w:color w:val="auto"/>
              </w:rPr>
            </w:pPr>
            <w:r>
              <w:rPr>
                <w:rFonts w:ascii="Arial" w:cs="Arial" w:eastAsia="Arial" w:hAnsi="Arial"/>
                <w:sz w:val="18"/>
                <w:szCs w:val="18"/>
                <w:color w:val="auto"/>
                <w:w w:val="94"/>
              </w:rPr>
              <w:t>The Company’s outstanding principal amounts, carrying values and fair values of the Class A, B, C and D Notes are as follows: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90"/>
              </w:rPr>
              <w:t>September 30, 2015</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Principal Amount</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Carrying Value</w:t>
            </w:r>
          </w:p>
        </w:tc>
        <w:tc>
          <w:tcPr>
            <w:tcW w:w="1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I, LLC Class A Notes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108,150,000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105,903,831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106,527,750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KCAP Senior Funding I, LLC Class B Notes</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12,600,000</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12,338,310</w:t>
            </w:r>
          </w:p>
        </w:tc>
        <w:tc>
          <w:tcPr>
            <w:tcW w:w="1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12,363,750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I, LLC Class C Notes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14,000,000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13,709,234</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13,545,000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KCAP Senior Funding I, LLC Class D Notes</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12,600,000</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12,338,310</w:t>
            </w:r>
          </w:p>
        </w:tc>
        <w:tc>
          <w:tcPr>
            <w:tcW w:w="14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11,938,500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147,350,000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144,289,685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144,375,000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i w:val="1"/>
          <w:iCs w:val="1"/>
          <w:color w:val="auto"/>
        </w:rPr>
        <w:t xml:space="preserve">Fair Value of KCAP Senior Funding I. </w:t>
      </w:r>
      <w:r>
        <w:rPr>
          <w:rFonts w:ascii="Arial" w:cs="Arial" w:eastAsia="Arial" w:hAnsi="Arial"/>
          <w:sz w:val="17"/>
          <w:szCs w:val="17"/>
          <w:color w:val="auto"/>
        </w:rPr>
        <w:t>The Company carries the KCAP Senior Funding I Notes at cost, net of unamortized discount of $3,060,315.</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KCAP Senior Funding I Notes was approximately $144.4 million at September 30, 2015. The fair values were determined based on third party indicative values. The KCAP Senior Funding I L.L.C. Notes are categorized as Level III under ASC 820: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2015).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420"/>
        <w:spacing w:after="0"/>
        <w:rPr>
          <w:sz w:val="20"/>
          <w:szCs w:val="20"/>
          <w:color w:val="auto"/>
        </w:rPr>
      </w:pPr>
      <w:r>
        <w:rPr>
          <w:rFonts w:ascii="Arial" w:cs="Arial" w:eastAsia="Arial" w:hAnsi="Arial"/>
          <w:sz w:val="17"/>
          <w:szCs w:val="17"/>
          <w:color w:val="auto"/>
        </w:rPr>
        <w:t>The following reconciles net increase in net assets resulting from operations to taxable income for the nine months ended September 30, 2015:</w:t>
      </w:r>
    </w:p>
    <w:p>
      <w:pPr>
        <w:spacing w:after="0" w:line="24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19,750,242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1,462,401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764,244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21,106,924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3"/>
              </w:rPr>
              <w:t>Taxable income before deductions for distributions per weighted average basic shares for the period</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excess of capital losses over capital gains; (3) book-to-tax differences on CLO equity investments; and (4) other non-deductible expenses including stock compensation expense that is not currently deductible for tax purposes.</w:t>
      </w:r>
    </w:p>
    <w:p>
      <w:pPr>
        <w:spacing w:after="0" w:line="187" w:lineRule="exact"/>
        <w:rPr>
          <w:sz w:val="20"/>
          <w:szCs w:val="20"/>
          <w:color w:val="auto"/>
        </w:rPr>
      </w:pPr>
    </w:p>
    <w:p>
      <w:pPr>
        <w:ind w:firstLine="414"/>
        <w:spacing w:after="0" w:line="253"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nine months ended September 30, 2015 and 2014, the Asset Manager Affiliates declared cash distributions of $7.3 million and $9.1 million to the Company, respectively. The Company recognized $4.2 million and $4.2 million, respectively, of dividends from Asset Manager Affiliates in the Statement of Operations for the nine months ended September 30, 2015 and 2014. The difference of $3.1 million and $4.9 million, respectively, between cash distributions received and the tax-basis earnings and profits of the distributing affiliate, are recorded as an adjustment to the cost basis in the Asset Manager Affiliate (i.e. tax-basis return of capital), for the nine months ended September 30, 2015 and 2014, respectively.</w:t>
      </w:r>
    </w:p>
    <w:p>
      <w:pPr>
        <w:spacing w:after="0" w:line="197"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color w:val="auto"/>
        </w:rPr>
        <w:t>Distributions to shareholders that exceed tax distributable income (tax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Nine months ended</w:t>
            </w:r>
          </w:p>
        </w:tc>
        <w:tc>
          <w:tcPr>
            <w:tcW w:w="20" w:type="dxa"/>
            <w:vAlign w:val="bottom"/>
          </w:tcPr>
          <w:p>
            <w:pPr>
              <w:spacing w:after="0"/>
              <w:rPr>
                <w:sz w:val="18"/>
                <w:szCs w:val="18"/>
                <w:color w:val="auto"/>
              </w:rPr>
            </w:pPr>
          </w:p>
        </w:tc>
        <w:tc>
          <w:tcPr>
            <w:tcW w:w="1080" w:type="dxa"/>
            <w:vAlign w:val="bottom"/>
            <w:gridSpan w:val="4"/>
          </w:tcPr>
          <w:p>
            <w:pPr>
              <w:ind w:left="4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0"/>
              </w:rPr>
              <w:t>September 30,</w:t>
            </w:r>
          </w:p>
        </w:tc>
        <w:tc>
          <w:tcPr>
            <w:tcW w:w="1100" w:type="dxa"/>
            <w:vAlign w:val="bottom"/>
            <w:gridSpan w:val="5"/>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10"/>
        </w:trPr>
        <w:tc>
          <w:tcPr>
            <w:tcW w:w="35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Distributions paid from:</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Ordinary income</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15,313,691</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26,807,154</w:t>
            </w:r>
          </w:p>
        </w:tc>
        <w:tc>
          <w:tcPr>
            <w:tcW w:w="40" w:type="dxa"/>
            <w:vAlign w:val="bottom"/>
          </w:tcPr>
          <w:p>
            <w:pPr>
              <w:spacing w:after="0"/>
              <w:rPr>
                <w:sz w:val="18"/>
                <w:szCs w:val="18"/>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7,972,633</w:t>
            </w:r>
          </w:p>
        </w:tc>
        <w:tc>
          <w:tcPr>
            <w:tcW w:w="40" w:type="dxa"/>
            <w:vAlign w:val="bottom"/>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15,313,691</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1</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34,779,787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3720" w:hanging="5632"/>
        <w:spacing w:after="0" w:line="778" w:lineRule="auto"/>
        <w:tabs>
          <w:tab w:leader="none" w:pos="2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the first quarter distribution paid in April and the second quarter distribution paid in July.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right="220" w:firstLine="414"/>
        <w:spacing w:after="0" w:line="264" w:lineRule="auto"/>
        <w:rPr>
          <w:sz w:val="20"/>
          <w:szCs w:val="20"/>
          <w:color w:val="auto"/>
        </w:rPr>
      </w:pPr>
      <w:r>
        <w:rPr>
          <w:rFonts w:ascii="Arial" w:cs="Arial" w:eastAsia="Arial" w:hAnsi="Arial"/>
          <w:sz w:val="18"/>
          <w:szCs w:val="18"/>
          <w:color w:val="auto"/>
        </w:rPr>
        <w:t>At September 30, 2015, the Company had a net capital loss carryforward of $82.9 million to offset net capital gains, to the extent provided by federal tax law. Of the net capital loss carryforward, $32.0 million will begin to expire in the tax year ending December 31, 2015. Of the net capital loss carryforward, $50.9 million is not subject to expiration under the RIC Modernization Act of 2010.</w:t>
      </w:r>
    </w:p>
    <w:p>
      <w:pPr>
        <w:spacing w:after="0" w:line="181"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On September 22, 2015, the Company’s Board of Directors declared a distribution to shareholders of $0.21 per share for a total of $7.6 million. The record date was October 14, 2015 and the distribution was paid on October 27, 2015.</w:t>
      </w:r>
    </w:p>
    <w:p>
      <w:pPr>
        <w:spacing w:after="0" w:line="170" w:lineRule="exact"/>
        <w:rPr>
          <w:sz w:val="20"/>
          <w:szCs w:val="20"/>
          <w:color w:val="auto"/>
        </w:rPr>
      </w:pPr>
    </w:p>
    <w:p>
      <w:pPr>
        <w:ind w:right="40" w:firstLine="41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120" w:firstLine="414"/>
        <w:spacing w:after="0" w:line="272"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2015 and December 31, 2014, the Trimaran Credit Facility was fully drawn and there was no remaining unfunded commitment thereunder. As of September 30, 2015, the Company had a commitment to make an investment of $360,000 in a revolving senior secured loan. As of December 31, 2014, the Company had no outstanding commitments to make such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120" w:firstLine="414"/>
        <w:spacing w:after="0" w:line="273" w:lineRule="auto"/>
        <w:rPr>
          <w:sz w:val="20"/>
          <w:szCs w:val="20"/>
          <w:color w:val="auto"/>
        </w:rPr>
      </w:pPr>
      <w:r>
        <w:rPr>
          <w:rFonts w:ascii="Arial" w:cs="Arial" w:eastAsia="Arial" w:hAnsi="Arial"/>
          <w:sz w:val="17"/>
          <w:szCs w:val="17"/>
          <w:color w:val="auto"/>
        </w:rPr>
        <w:t>During the nine months ended September 30, 2015 and 2014, the Company issued 127,672 and 69,762 shares, respectively, of common stock under its dividend reinvestment plan. As of September 30, 2015 and December 31, 2014, there were 701,359 and 619,785 shares of unvested restricted shares, respectively. There were 196,166 grants, 10,042 forfeitures, and 104,550 vested shares during the nine months ended September 30, 2015. The total number of shares of the Company’s common stock issued and outstanding as of September 30, 2015 and December 31, 2014 was 37,052,575 and 36,775,127, respectively. During the nine months ended September 30, 2015, the Company repurchased 36,348 shares at an aggregate cost of approximately $220,000 in connection with the vesting of restricted stock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60" w:firstLine="41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47"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2014 through September 30, 2015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ind w:left="20"/>
              <w:spacing w:after="0" w:line="183" w:lineRule="exact"/>
              <w:rPr>
                <w:sz w:val="20"/>
                <w:szCs w:val="20"/>
                <w:color w:val="auto"/>
              </w:rPr>
            </w:pPr>
            <w:r>
              <w:rPr>
                <w:rFonts w:ascii="Arial" w:cs="Arial" w:eastAsia="Arial" w:hAnsi="Arial"/>
                <w:sz w:val="18"/>
                <w:szCs w:val="18"/>
                <w:b w:val="1"/>
                <w:bCs w:val="1"/>
                <w:color w:val="auto"/>
              </w:rPr>
              <w:t>Exercise Price per</w:t>
            </w:r>
          </w:p>
        </w:tc>
        <w:tc>
          <w:tcPr>
            <w:tcW w:w="1540" w:type="dxa"/>
            <w:vAlign w:val="bottom"/>
            <w:gridSpan w:val="2"/>
          </w:tcPr>
          <w:p>
            <w:pPr>
              <w:jc w:val="center"/>
              <w:ind w:right="16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5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gridSpan w:val="2"/>
          </w:tcPr>
          <w:p>
            <w:pPr>
              <w:ind w:left="20"/>
              <w:spacing w:after="0" w:line="266" w:lineRule="exact"/>
              <w:rPr>
                <w:sz w:val="20"/>
                <w:szCs w:val="20"/>
                <w:color w:val="auto"/>
              </w:rPr>
            </w:pPr>
            <w:r>
              <w:rPr>
                <w:rFonts w:ascii="Arial" w:cs="Arial" w:eastAsia="Arial" w:hAnsi="Arial"/>
                <w:sz w:val="18"/>
                <w:szCs w:val="18"/>
                <w:b w:val="1"/>
                <w:bCs w:val="1"/>
                <w:color w:val="auto"/>
                <w:w w:val="90"/>
              </w:rPr>
              <w:t>Intrinsic Value</w:t>
            </w:r>
            <w:r>
              <w:rPr>
                <w:rFonts w:ascii="Arial" w:cs="Arial" w:eastAsia="Arial" w:hAnsi="Arial"/>
                <w:sz w:val="30"/>
                <w:szCs w:val="30"/>
                <w:color w:val="auto"/>
                <w:w w:val="90"/>
                <w:vertAlign w:val="superscript"/>
              </w:rPr>
              <w:t>1</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outstanding at January 1, 2014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vested at September 30, 2015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nine months ended September 30, 2015 and 2014, the Company did not recognize any non-cash compensation expense related to stock options. At September 30, 2015,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40" w:firstLine="414"/>
        <w:spacing w:after="0" w:line="308" w:lineRule="auto"/>
        <w:rPr>
          <w:sz w:val="20"/>
          <w:szCs w:val="20"/>
          <w:color w:val="auto"/>
        </w:rPr>
      </w:pPr>
      <w:r>
        <w:rPr>
          <w:rFonts w:ascii="Arial" w:cs="Arial" w:eastAsia="Arial" w:hAnsi="Arial"/>
          <w:sz w:val="17"/>
          <w:szCs w:val="17"/>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right="80" w:firstLine="41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nine months ended September 30, 2015, the Company repurchased 36,348 shares of common stock at an aggregate cost of approximately $220,000 in connection with the vesting of employee’s restricted stock, which is reflected as Treasury Stock at cost on the Consolidated Balance Sheet. These shares are not available to be reissued under the Company’s Equity Incentive Plan.</w:t>
      </w:r>
    </w:p>
    <w:p>
      <w:pPr>
        <w:spacing w:after="0" w:line="171" w:lineRule="exact"/>
        <w:rPr>
          <w:sz w:val="20"/>
          <w:szCs w:val="20"/>
          <w:color w:val="auto"/>
        </w:rPr>
      </w:pPr>
    </w:p>
    <w:p>
      <w:pPr>
        <w:ind w:firstLine="41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80" w:firstLine="41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jc w:val="both"/>
        <w:ind w:right="40" w:firstLine="414"/>
        <w:spacing w:after="0" w:line="312" w:lineRule="auto"/>
        <w:rPr>
          <w:sz w:val="20"/>
          <w:szCs w:val="20"/>
          <w:color w:val="auto"/>
        </w:rPr>
      </w:pPr>
      <w:r>
        <w:rPr>
          <w:rFonts w:ascii="Arial" w:cs="Arial" w:eastAsia="Arial" w:hAnsi="Arial"/>
          <w:sz w:val="16"/>
          <w:szCs w:val="16"/>
          <w:color w:val="auto"/>
        </w:rPr>
        <w:t>During the nine months ended September 30, 2015, 104,550 shares of restricted stock vested and 10,042 shares of restricted stock were forfeited. As of September 30, 2015, after giving effect to these restricted stock awards, there were 701,359 shares of restricted stock outstanding. Information with respect to restricted stock granted, exercised and forfeited under the Plan for the period January 1, 2014 through September 30, 2015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3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4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43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Borders>
              <w:bottom w:val="single" w:sz="8" w:color="CCEEFF"/>
            </w:tcBorders>
          </w:tcPr>
          <w:p>
            <w:pPr>
              <w:spacing w:after="0"/>
              <w:rPr>
                <w:sz w:val="20"/>
                <w:szCs w:val="20"/>
                <w:color w:val="auto"/>
              </w:rPr>
            </w:pPr>
          </w:p>
        </w:tc>
      </w:tr>
      <w:tr>
        <w:trPr>
          <w:trHeight w:val="23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January 1, 2014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272,998</w:t>
            </w: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360,289</w:t>
            </w: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4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(8,502)</w:t>
            </w:r>
          </w:p>
        </w:tc>
      </w:tr>
      <w:tr>
        <w:trPr>
          <w:trHeight w:val="237"/>
        </w:trPr>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Non-vested shares outstanding at December 31, 2014</w:t>
            </w:r>
          </w:p>
        </w:tc>
        <w:tc>
          <w:tcPr>
            <w:tcW w:w="4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619,785</w:t>
            </w:r>
          </w:p>
        </w:tc>
        <w:tc>
          <w:tcPr>
            <w:tcW w:w="60" w:type="dxa"/>
            <w:vAlign w:val="bottom"/>
            <w:tcBorders>
              <w:top w:val="single" w:sz="8" w:color="CCEEFF"/>
            </w:tcBorders>
            <w:shd w:val="clear" w:color="auto" w:fill="CCEEFF"/>
          </w:tcPr>
          <w:p>
            <w:pPr>
              <w:spacing w:after="0"/>
              <w:rPr>
                <w:sz w:val="20"/>
                <w:szCs w:val="20"/>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196,166</w:t>
            </w: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(104,550)</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4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(10,042)</w:t>
            </w:r>
          </w:p>
        </w:tc>
      </w:tr>
      <w:tr>
        <w:trPr>
          <w:trHeight w:val="264"/>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701,359</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14"/>
        <w:spacing w:after="0" w:line="257" w:lineRule="auto"/>
        <w:rPr>
          <w:sz w:val="20"/>
          <w:szCs w:val="20"/>
          <w:color w:val="auto"/>
        </w:rPr>
      </w:pPr>
      <w:r>
        <w:rPr>
          <w:rFonts w:ascii="Arial" w:cs="Arial" w:eastAsia="Arial" w:hAnsi="Arial"/>
          <w:sz w:val="18"/>
          <w:szCs w:val="18"/>
          <w:color w:val="auto"/>
        </w:rPr>
        <w:t>For the nine months ended September 30, 2015, non-cash compensation expense related to restricted stock was approximately $1.2 million; of this amount approximately $504,000 was expensed at the Company, and approximately $648,000 was a reimbursable expense allocated to the Asset Manager Affiliates. For the nine months ended September 30, 2014, non-cash compensation expense related to restricted stock was approximately $768,000; of this amount approximately $376,000 was expensed at the Company and approximately $392,000 was a reimbursable expense allocated to the Asset Manager Affiliates.</w:t>
      </w:r>
    </w:p>
    <w:p>
      <w:pPr>
        <w:spacing w:after="0" w:line="188"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Distributions are paid on all outstanding shares of restricted stock, whether or not vested. In general, shares of unvested restricted stock are forfeited upon the recipient’s termination of employment. As of September 30, 2015, the company had approximately $4.0 million of total unrecognized compensation cost related to non-vested share-based awards. That cost is expected to be recognized over a weighted average period of 2.7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$25,000 and $38,000 was expensed during the nine months ended September 30, 2015 and 2014, respectively, related to the 401K Plan.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right="120" w:firstLine="41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$98,000 and $184,000 was expensed during the nine months ended September 30, 2015 and 2014, respectively,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firstLine="414"/>
        <w:spacing w:after="0" w:line="286" w:lineRule="auto"/>
        <w:rPr>
          <w:sz w:val="20"/>
          <w:szCs w:val="20"/>
          <w:color w:val="auto"/>
        </w:rPr>
      </w:pPr>
      <w:r>
        <w:rPr>
          <w:rFonts w:ascii="Arial" w:cs="Arial" w:eastAsia="Arial" w:hAnsi="Arial"/>
          <w:sz w:val="17"/>
          <w:szCs w:val="17"/>
          <w:color w:val="auto"/>
        </w:rPr>
        <w:t>On October 13, 2015 and October 14, 2015, the Company purchased approximately $285,000 and $3.5 million face value of its own Convertible Notes at $102.00 and $102.25, respectively, plus accrued interest. KCAP subsequently surrendered these notes to the Trustee for cancellation. The Company will recognize approximately $99,000 in realized losses in connection with this extinguishment of debt in the fourth quarter.</w:t>
      </w:r>
    </w:p>
    <w:p>
      <w:pPr>
        <w:spacing w:after="0" w:line="166" w:lineRule="exact"/>
        <w:rPr>
          <w:sz w:val="20"/>
          <w:szCs w:val="20"/>
          <w:color w:val="auto"/>
        </w:rPr>
      </w:pPr>
    </w:p>
    <w:p>
      <w:pPr>
        <w:ind w:right="440" w:firstLine="414"/>
        <w:spacing w:after="0" w:line="286" w:lineRule="auto"/>
        <w:rPr>
          <w:sz w:val="20"/>
          <w:szCs w:val="20"/>
          <w:color w:val="auto"/>
        </w:rPr>
      </w:pPr>
      <w:r>
        <w:rPr>
          <w:rFonts w:ascii="Arial" w:cs="Arial" w:eastAsia="Arial" w:hAnsi="Arial"/>
          <w:sz w:val="17"/>
          <w:szCs w:val="17"/>
          <w:color w:val="auto"/>
        </w:rPr>
        <w:t>The Company has evaluated events and transactions occurring subsequent to the balance sheet date of September 30, 2015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62" w:name="page63"/>
    <w:bookmarkEnd w:id="62"/>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4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87" w:lineRule="auto"/>
        <w:rPr>
          <w:sz w:val="20"/>
          <w:szCs w:val="20"/>
          <w:color w:val="auto"/>
        </w:rPr>
      </w:pPr>
      <w:r>
        <w:rPr>
          <w:rFonts w:ascii="Arial" w:cs="Arial" w:eastAsia="Arial" w:hAnsi="Arial"/>
          <w:sz w:val="16"/>
          <w:szCs w:val="16"/>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2014,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sources of capital,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69"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form and amount of any distributions.</w:t>
      </w:r>
    </w:p>
    <w:p>
      <w:pPr>
        <w:spacing w:after="0" w:line="225" w:lineRule="exact"/>
        <w:rPr>
          <w:sz w:val="20"/>
          <w:szCs w:val="20"/>
          <w:color w:val="auto"/>
        </w:rPr>
      </w:pPr>
    </w:p>
    <w:p>
      <w:pPr>
        <w:ind w:right="180" w:firstLine="41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 “Item 1A. Risk Factors” in our Annual Report on Form 10-K for the fiscal year ended December 31, 2014.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color w:val="auto"/>
        </w:rPr>
        <w:t>We are an internally managed, non-diversified closed-end investment company that is regulated as a Business Development Company, or BDC under the Investment Company Act of 1940 (the “1940 Act”). We have three principal areas of investments:</w:t>
      </w:r>
    </w:p>
    <w:p>
      <w:pPr>
        <w:spacing w:after="0" w:line="170" w:lineRule="exact"/>
        <w:rPr>
          <w:sz w:val="20"/>
          <w:szCs w:val="20"/>
          <w:color w:val="auto"/>
        </w:rPr>
      </w:pPr>
    </w:p>
    <w:p>
      <w:pPr>
        <w:ind w:right="180" w:firstLine="41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CLO Funds.</w:t>
      </w:r>
    </w:p>
    <w:p>
      <w:pPr>
        <w:spacing w:after="0" w:line="170"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220" w:firstLine="414"/>
        <w:spacing w:after="0" w:line="257"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to generate capital appreciation through the addition of new CLO Funds managed by our Asset Manager Affiliates. The Asset Manager Affiliates manage CLO Funds that invest in broadly syndicated loans, high-yield bonds and other credit instruments. Collectively, the Asset Manager Affiliates have approximately $2.7 billion of par value assets under management as of September 30, 2015. The Asset Manager Affiliates are registered under the Investment Advisers Act of 1940, and are managed independently from the Company by a separate portfolio management team.</w:t>
      </w:r>
    </w:p>
    <w:p>
      <w:pPr>
        <w:spacing w:after="0" w:line="188" w:lineRule="exact"/>
        <w:rPr>
          <w:sz w:val="20"/>
          <w:szCs w:val="20"/>
          <w:color w:val="auto"/>
        </w:rPr>
      </w:pPr>
    </w:p>
    <w:p>
      <w:pPr>
        <w:ind w:right="160" w:firstLine="41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ind w:right="220" w:firstLine="414"/>
        <w:spacing w:after="0" w:line="264" w:lineRule="auto"/>
        <w:rPr>
          <w:sz w:val="20"/>
          <w:szCs w:val="20"/>
          <w:color w:val="auto"/>
        </w:rPr>
      </w:pPr>
      <w:r>
        <w:rPr>
          <w:rFonts w:ascii="Arial" w:cs="Arial" w:eastAsia="Arial" w:hAnsi="Arial"/>
          <w:sz w:val="18"/>
          <w:szCs w:val="18"/>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440" w:firstLine="414"/>
        <w:spacing w:after="0" w:line="312" w:lineRule="auto"/>
        <w:rPr>
          <w:sz w:val="20"/>
          <w:szCs w:val="20"/>
          <w:color w:val="auto"/>
        </w:rPr>
      </w:pPr>
      <w:r>
        <w:rPr>
          <w:rFonts w:ascii="Arial" w:cs="Arial" w:eastAsia="Arial" w:hAnsi="Arial"/>
          <w:sz w:val="16"/>
          <w:szCs w:val="16"/>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47" w:lineRule="exact"/>
        <w:rPr>
          <w:sz w:val="20"/>
          <w:szCs w:val="20"/>
          <w:color w:val="auto"/>
        </w:rPr>
      </w:pPr>
    </w:p>
    <w:p>
      <w:pPr>
        <w:ind w:right="260" w:firstLine="41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nine months ended September 30, 2015 (unaudited) and for the year ended December 31, 2014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266,830,427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433,437,045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2014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224,513,503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22,421,847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2,216,847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545,979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249,698,176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(168,429,374)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(10,132,500)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(6,432,086)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(190,001,271)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(11,102,015)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(losses) gains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(8,823,507)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5,575,498</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(7,136,408)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(10,384,417)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5,641,403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(8,700,148)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2,064,107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320,143,170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8,119,681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72,326,000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478,103,753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2015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87,878,844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(104,570,594)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(3,872,700)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(3,103,517)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(111,864,151)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(6,433,551)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110,517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(6,246,883)</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(6,133,351)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(7,587,070)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(6,192,986)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(868,703)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(5,101,483)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(19,750,242)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September 30, 2015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296,284,441</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66,720,782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6,936,653</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64,121,000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434,062,876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portfolio by security type at September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ind w:left="420"/>
              <w:spacing w:after="0"/>
              <w:rPr>
                <w:sz w:val="20"/>
                <w:szCs w:val="20"/>
                <w:color w:val="auto"/>
              </w:rPr>
            </w:pPr>
            <w:r>
              <w:rPr>
                <w:rFonts w:ascii="Arial" w:cs="Arial" w:eastAsia="Arial" w:hAnsi="Arial"/>
                <w:sz w:val="18"/>
                <w:szCs w:val="18"/>
                <w:b w:val="1"/>
                <w:bCs w:val="1"/>
                <w:color w:val="auto"/>
                <w:w w:val="92"/>
              </w:rPr>
              <w:t>September 30, 2015 (unaudited)</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rPr>
              <w:t>December 31, 2014</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Senior Secured Loan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211,441,566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204,189,144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220,965,922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218,329,860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41,204,786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39,795,980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38,664,199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38,569,006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23,000,000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33,066,984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33,066,984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2,317,500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4,420,467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4,221,543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4,295,544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4,240,301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11,698,340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10,597,995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11,208,178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11,386,218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Senior Secured Bond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1,511,590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1,481,250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1,515,584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1,552,500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86,288,448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66,720,782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90,889,190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8,514,487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6,936,653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8,828,812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8,119,681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10,359,873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10,681,029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10,418,302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22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57,189,159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64,121,000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60,292,677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72,326,000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461,951,090</w:t>
            </w:r>
          </w:p>
        </w:tc>
        <w:tc>
          <w:tcPr>
            <w:tcW w:w="1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437,408,599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186%</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484,498,354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479,706,494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Net Asset Value.</w:t>
      </w:r>
    </w:p>
    <w:p>
      <w:pPr>
        <w:spacing w:after="0" w:line="23" w:lineRule="exact"/>
        <w:rPr>
          <w:sz w:val="20"/>
          <w:szCs w:val="20"/>
          <w:color w:val="auto"/>
        </w:rPr>
      </w:pPr>
    </w:p>
    <w:p>
      <w:pPr>
        <w:ind w:right="6600" w:firstLine="8"/>
        <w:spacing w:after="0" w:line="323" w:lineRule="auto"/>
        <w:tabs>
          <w:tab w:leader="none" w:pos="99"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At September 30, 2015 and December 31, 2014, our investments in income producing loans and debt securities, excluding CLO Fund securities, had a weighted average interest rate of approximately 7.4% and 7.3%, respectively.</w:t>
      </w:r>
    </w:p>
    <w:p>
      <w:pPr>
        <w:spacing w:after="0" w:line="170" w:lineRule="exact"/>
        <w:rPr>
          <w:sz w:val="20"/>
          <w:szCs w:val="20"/>
          <w:color w:val="auto"/>
        </w:rPr>
      </w:pPr>
    </w:p>
    <w:p>
      <w:pPr>
        <w:jc w:val="both"/>
        <w:ind w:right="60" w:firstLine="41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September 30, 2015 was spread across 27 different industries and 92 different entities with an average balance per entity of approximately $3.2 million. As of September 30, 2015, all but one of our portfolio companies were current on their debt service obligations.</w:t>
      </w:r>
    </w:p>
    <w:p>
      <w:pPr>
        <w:spacing w:after="0" w:line="181"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public companies. At September 30, 2015 and December 31, 2014, the total amount of non-qualifying assets was approximately 17% and 21%, respectively. The majority of non-qualifying assets were foreign investments which was approximately 15% and 16% of the Company’s total assets, respectively (including the Company’s investments in CLO Funds, which are typically domiciled outside the U.S. and represented approximately 15% and 16%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detail the ten largest portfolio companies (at fair value) as of September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9"/>
              </w:rPr>
              <w:t>September 30, 2015 (unaudited)</w:t>
            </w:r>
          </w:p>
        </w:tc>
        <w:tc>
          <w:tcPr>
            <w:tcW w:w="0" w:type="dxa"/>
            <w:vAlign w:val="bottom"/>
          </w:tcPr>
          <w:p>
            <w:pPr>
              <w:spacing w:after="0"/>
              <w:rPr>
                <w:sz w:val="1"/>
                <w:szCs w:val="1"/>
                <w:color w:val="auto"/>
              </w:rPr>
            </w:pPr>
          </w:p>
        </w:tc>
      </w:tr>
      <w:tr>
        <w:trPr>
          <w:trHeight w:val="223"/>
        </w:trPr>
        <w:tc>
          <w:tcPr>
            <w:tcW w:w="4060" w:type="dxa"/>
            <w:vAlign w:val="bottom"/>
            <w:gridSpan w:val="2"/>
            <w:vMerge w:val="continue"/>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30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shd w:val="clear" w:color="auto" w:fill="CCEEFF"/>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57,189,159</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64,121,000</w:t>
            </w:r>
          </w:p>
        </w:tc>
        <w:tc>
          <w:tcPr>
            <w:tcW w:w="2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Katonah 2007-I CLO Ltd.</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23,975,870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23,233,837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Trimaran Credit Facility</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10,359,873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10,681,029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12,439,015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9,442,080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10,520,547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8,939,640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2014-1 Ltd.</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7,251,390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Catamaran CLO 2014-2 Ltd.</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8,374,214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6,932,673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6,916,737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Catamaran CLO 2013- 1 Ltd.</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6,559,985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6,561,900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168,599,684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166,813,549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40" w:type="dxa"/>
            <w:vAlign w:val="bottom"/>
            <w:vMerge w:val="restart"/>
          </w:tcPr>
          <w:p>
            <w:pPr>
              <w:jc w:val="right"/>
              <w:ind w:right="1190"/>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2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2014</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3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2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60,292,677</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20" w:type="dxa"/>
            <w:vAlign w:val="bottom"/>
            <w:vMerge w:val="continue"/>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Katonah 2007-I CLO Ltd.</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23,471,779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25,191,782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Trimaran Credit Facility</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10,206,016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10,418,302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10,212,907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9,866,065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Catamaran CLO 2014-1 Ltd.</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10,473,628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8,867,176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2014-2 Ltd.</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9,862,799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8,761,500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Restorix Health, Inc.</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8,063,397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8,063,397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2013- 1 Ltd.</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7,492,702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7,874,910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6,894,754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7,105,000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169,970,659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181,474,132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14"/>
        <w:spacing w:after="0" w:line="308" w:lineRule="auto"/>
        <w:rPr>
          <w:sz w:val="20"/>
          <w:szCs w:val="20"/>
          <w:color w:val="auto"/>
        </w:rPr>
      </w:pPr>
      <w:r>
        <w:rPr>
          <w:rFonts w:ascii="Arial" w:cs="Arial" w:eastAsia="Arial" w:hAnsi="Arial"/>
          <w:sz w:val="17"/>
          <w:szCs w:val="17"/>
          <w:color w:val="auto"/>
        </w:rPr>
        <w:t>Excluding the Asset Manager Affiliates and CLO Fund securities, the Company’s ten largest portfolio companies represented approximately 18% and 17% of the total fair value of the Company’s investments at September 30, 2015 and December 31, 2014, respectively.</w:t>
      </w:r>
    </w:p>
    <w:p>
      <w:pPr>
        <w:spacing w:after="0" w:line="147"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2015 and December 31, 2014,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8"/>
                <w:szCs w:val="18"/>
                <w:b w:val="1"/>
                <w:bCs w:val="1"/>
                <w:color w:val="auto"/>
                <w:w w:val="91"/>
              </w:rPr>
              <w:t>September 30, 2015 (unaudited)</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rPr>
              <w:t>December 31, 2014</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22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rPr>
              <w:t>Fair Value</w:t>
            </w:r>
          </w:p>
        </w:tc>
        <w:tc>
          <w:tcPr>
            <w:tcW w:w="580" w:type="dxa"/>
            <w:vAlign w:val="bottom"/>
          </w:tcPr>
          <w:p>
            <w:pPr>
              <w:jc w:val="right"/>
              <w:ind w:right="17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780" w:type="dxa"/>
            <w:vAlign w:val="bottom"/>
          </w:tcPr>
          <w:p>
            <w:pPr>
              <w:jc w:val="right"/>
              <w:ind w:right="17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9,648,347</w:t>
            </w: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9,069,264</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10,059,487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9,533,092</w:t>
            </w:r>
          </w:p>
        </w:tc>
        <w:tc>
          <w:tcPr>
            <w:tcW w:w="22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57,189,159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64,121,000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60,292,677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72,326,000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23,000,000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9,932,977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9,876,215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8,362,956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8,312,548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6,165,678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7,660,721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7,639,366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24,439,168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24,119,358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17,974,974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17,883,421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8,437,999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10,351,329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3,503,317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3,463,669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6,348,226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6,210,253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86,288,447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66,720,782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90,889,190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1,980,681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1,982,831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14,163,260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13,174,865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13,876,482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13,301,207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20,393,549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20,156,836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13,535,975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13,314,952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2,946,734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14,176,843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11,509,141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13,866,208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13,289,753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12,784,029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12,474,510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12,942,593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12,911,017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5,895,474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5,944,907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5,917,051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5,942,523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50,028,563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46,982,976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66,186,412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65,720,782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11,802,469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11,652,643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14,457,495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14,419,110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3,392,481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2,962,315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11,203,758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10,574,807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11,318,815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11,396,027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7,459,621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7,399,614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14,477,078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14,409,401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Metals &amp; Mining</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3,870,664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3,773,847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Services: Business</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20,706,513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20,513,356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16,550,255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16,066,421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6,798,372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6,752,521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Telecommunications</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13,797,355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13,614,636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22,030,434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21,865,864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3,345,723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3,345,724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99"/>
              </w:rPr>
              <w:t>21,755,034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22,040,544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20,156,700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20,455,941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2,487,820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Utilities: Electric</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5,701,134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5,346,743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5,859,532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5,803,428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461,951,090</w:t>
            </w:r>
          </w:p>
        </w:tc>
        <w:tc>
          <w:tcPr>
            <w:tcW w:w="1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437,408,599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484,498,354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479,706,494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120" w:hanging="112"/>
        <w:spacing w:after="0" w:line="184" w:lineRule="auto"/>
        <w:tabs>
          <w:tab w:leader="none" w:pos="1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Represents the equity investment in the Asset Manager Affiliates.</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Includes restricted cash held under employee benefit plans.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7" w:name="page68"/>
    <w:bookmarkEnd w:id="67"/>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180" w:firstLine="41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September 30, 2015, we had approximately $67 million invested in CLO Fund Securities, issued primarily by funds managed by our Asset Manager Affiliates.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CLO Fund Securities as of September 30, 2015 and December 31, 2014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September 30, 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Grant Grove CLO, Ltd.</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5"/>
              </w:rPr>
              <w:t>Subordinated Securities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2,254,638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1,366,357</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385,000</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1,015,334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3,563,252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2,755,267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1,172,498</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1,262,496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594,988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9,074,951</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2,600,000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8,910,471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4,863,001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23,975,870</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23,233,837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23,471,779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25,191,782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1,292,698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1,657,020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1,531,142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Notes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1,349,606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2,024,945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1,399,074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2,084,394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7,154,268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4,295,666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7,994,677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5,793,924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F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3,917,442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6,559,985</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6,561,900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7,492,702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7,874,910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1,643,183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10,473,628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8,867,176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9,264,284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7,251,390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1,417,376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1,340,000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Class E Notes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1,425,893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2,263,321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2,506,075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8,374,214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6,932,673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9,862,799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8,761,500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12,439,015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9,442,080</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86,288,447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66,720,782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90,889,190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77,514,902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class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A CLO Fund managed by an Asset Manager Affiliate.</w:t>
      </w:r>
    </w:p>
    <w:p>
      <w:pPr>
        <w:spacing w:after="0" w:line="9" w:lineRule="exact"/>
        <w:rPr>
          <w:sz w:val="20"/>
          <w:szCs w:val="20"/>
          <w:color w:val="auto"/>
        </w:rPr>
      </w:pPr>
    </w:p>
    <w:p>
      <w:pPr>
        <w:ind w:left="5640" w:right="4580" w:hanging="5632"/>
        <w:spacing w:after="0" w:line="762" w:lineRule="auto"/>
        <w:tabs>
          <w:tab w:leader="none" w:pos="1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September 30, 2015, this CLO Fund security was not providing a dividend distribution.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September 30, 2015, our Asset Manager Affiliates had approximately $2.7 billion of par value of assets under management on which they earn management fees, and were valued at approximately $64 million.</w:t>
      </w:r>
    </w:p>
    <w:p>
      <w:pPr>
        <w:spacing w:after="0" w:line="187" w:lineRule="exact"/>
        <w:rPr>
          <w:sz w:val="20"/>
          <w:szCs w:val="20"/>
          <w:color w:val="auto"/>
        </w:rPr>
      </w:pPr>
    </w:p>
    <w:p>
      <w:pPr>
        <w:ind w:right="60" w:firstLine="41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during the third quarter of 2015, our Asset Manager Affiliates received incentive fees from two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80" w:firstLine="41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9" w:name="page70"/>
    <w:bookmarkEnd w:id="69"/>
    <w:p>
      <w:pPr>
        <w:ind w:right="20" w:firstLine="41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 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and nine months ended September 30, 2015, the Asset Manager Affiliates received incentive fees from two and three funds, respectively.</w:t>
      </w:r>
    </w:p>
    <w:p>
      <w:pPr>
        <w:spacing w:after="0" w:line="183" w:lineRule="exact"/>
        <w:rPr>
          <w:sz w:val="20"/>
          <w:szCs w:val="20"/>
          <w:color w:val="auto"/>
        </w:rPr>
      </w:pPr>
    </w:p>
    <w:p>
      <w:pPr>
        <w:ind w:firstLine="41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During the three and nine months ended September 30, 2015, two and three CLO Funds have achieved the minimum investment return threshold and are paying the Asset Manager Affiliates incentive fees, respectively. The fair value of our investment in our Asset Manager Affiliates was approximately $64 million at September 30, 2015, with an unrealized loss during the nine months ended September 30, 2015 of approximately $5.1 million. For the three months ended September 30, 2015 and 2014, we recognized dividend income of approximately $1.5 million and $1.4 million from the Asset Manager Affiliates, respectively, while cash distributions received were $2.3 million and $3.1 million for those periods, respectively. For the nine months ended September 30, 2015 and 2014, we recognized dividend income of approximately $4.2 million from the Asset Manager Affiliates, for both periods, while cash distributions received were $7.3 million and $9.1 million for those periods,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$2.7 billion and $3.0 billion as of September 30, 2015 and December 31, 2014, respectively.</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right="220" w:firstLine="41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0" w:firstLine="414"/>
        <w:spacing w:after="0" w:line="264" w:lineRule="auto"/>
        <w:rPr>
          <w:sz w:val="20"/>
          <w:szCs w:val="20"/>
          <w:color w:val="auto"/>
        </w:rPr>
      </w:pPr>
      <w:r>
        <w:rPr>
          <w:rFonts w:ascii="Arial" w:cs="Arial" w:eastAsia="Arial" w:hAnsi="Arial"/>
          <w:sz w:val="18"/>
          <w:szCs w:val="18"/>
          <w:color w:val="auto"/>
        </w:rPr>
        <w:t>Investment income for the three months ended September 30, 2015 and 2014 was approximately $11.8 million and $10.8 million, respectively. Of these amounts, approximately $6.3 million and $5.4 million was attributable to interest income on our Debt Securities Portfolio. Increases in interest income from 2014 to 2015 were due to higher average invested assets stemming primarily from capital raising activities.</w:t>
      </w:r>
    </w:p>
    <w:p>
      <w:pPr>
        <w:spacing w:after="0" w:line="181" w:lineRule="exact"/>
        <w:rPr>
          <w:sz w:val="20"/>
          <w:szCs w:val="20"/>
          <w:color w:val="auto"/>
        </w:rPr>
      </w:pPr>
    </w:p>
    <w:p>
      <w:pPr>
        <w:ind w:right="80" w:firstLine="414"/>
        <w:spacing w:after="0" w:line="286" w:lineRule="auto"/>
        <w:rPr>
          <w:sz w:val="20"/>
          <w:szCs w:val="20"/>
          <w:color w:val="auto"/>
        </w:rPr>
      </w:pPr>
      <w:r>
        <w:rPr>
          <w:rFonts w:ascii="Arial" w:cs="Arial" w:eastAsia="Arial" w:hAnsi="Arial"/>
          <w:sz w:val="17"/>
          <w:szCs w:val="17"/>
          <w:color w:val="auto"/>
        </w:rPr>
        <w:t>Investment income for the nine months ended September 30, 2015 and 2014 was approximately $35.3 million and $30.6 million, respectively. Of these amounts, approximately $18.4 million and $15.8 million was attributable to interest income on our Debt Securities Portfolio. Increases in interest income from 2014 to 2015 were due to higher average invested assets stemming primarily from capital raising activities.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yield on debt securities Portfolio was 7.4% and 7.3% as of September 30, 2015 and December 31, 2014, respectively.</w:t>
      </w:r>
    </w:p>
    <w:p>
      <w:pPr>
        <w:spacing w:after="0" w:line="237"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right="80" w:firstLine="414"/>
        <w:spacing w:after="0" w:line="289" w:lineRule="auto"/>
        <w:rPr>
          <w:sz w:val="20"/>
          <w:szCs w:val="20"/>
          <w:color w:val="auto"/>
        </w:rPr>
      </w:pPr>
      <w:r>
        <w:rPr>
          <w:rFonts w:ascii="Arial" w:cs="Arial" w:eastAsia="Arial" w:hAnsi="Arial"/>
          <w:sz w:val="16"/>
          <w:szCs w:val="16"/>
          <w:color w:val="auto"/>
        </w:rPr>
        <w:t>For the three months ended September 30, 2015 and 2014, approximately $3.9 million and $3.6 million, respectively, of investment income was attributable to investments in CLO Fund securities. For the nine months ended September 30, 2015 and 2014, approximately $12.4 million and $9.8 million, respectively, of investment income was attributable to investments in CLO Fund securities. On a tax-basis, the Company recognized $4.3 million of taxable cash distributions from our CLO Fund Securities during the nine months ended September 30, 2015.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220" w:firstLine="41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firstLine="41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contractual term of the borrowing.</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1" w:name="page72"/>
    <w:bookmarkEnd w:id="71"/>
    <w:p>
      <w:pPr>
        <w:ind w:right="200" w:firstLine="41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Total expenses for the three months ended September 30, 2015 and 2014 were approximately $5.2 million and $5.3 million, respectively. Interest expense and amortization on debt issuance costs for the periods, were approximately $3.0 million and $2.9 million, respectively, on average debt outstanding of $227 million and $198 million, respectively.</w:t>
      </w:r>
    </w:p>
    <w:p>
      <w:pPr>
        <w:spacing w:after="0" w:line="181" w:lineRule="exact"/>
        <w:rPr>
          <w:sz w:val="20"/>
          <w:szCs w:val="20"/>
          <w:color w:val="auto"/>
        </w:rPr>
      </w:pPr>
    </w:p>
    <w:p>
      <w:pPr>
        <w:ind w:right="260" w:firstLine="414"/>
        <w:spacing w:after="0" w:line="257" w:lineRule="auto"/>
        <w:rPr>
          <w:sz w:val="20"/>
          <w:szCs w:val="20"/>
          <w:color w:val="auto"/>
        </w:rPr>
      </w:pPr>
      <w:r>
        <w:rPr>
          <w:rFonts w:ascii="Arial" w:cs="Arial" w:eastAsia="Arial" w:hAnsi="Arial"/>
          <w:sz w:val="18"/>
          <w:szCs w:val="18"/>
          <w:color w:val="auto"/>
        </w:rPr>
        <w:t>For the three months ended September 30, 2015 and 2014, approximately $892,000 and $1.4 million, respectively, of expenses were attributable to employee compensation, including salaries, bonuses, employee benefits, payroll taxes and stock-based compensation expense. For the three months ended September 30, 2015 and 2014, respectively, professional fees and insurance expenses totaled approximately $869,000 and $678,000. Administrative costs, which include occupancy expense, technology and other office expenses, totaled approximately $469,000 and $316,000 for the three months ended September 30, 2015 and 2014, respectively.</w:t>
      </w:r>
    </w:p>
    <w:p>
      <w:pPr>
        <w:spacing w:after="0" w:line="188"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Total expenses for the nine months ended September 30, 2015 and 2014 were approximately $16.4 million and $16.0 million, respectively. Interest expense and amortization on debt issuance costs for the periods, were approximately $9.0 million and $8.8 million, respectively, on average debt outstanding of $227 million and $196 million, respectively.</w:t>
      </w:r>
    </w:p>
    <w:p>
      <w:pPr>
        <w:spacing w:after="0" w:line="181" w:lineRule="exact"/>
        <w:rPr>
          <w:sz w:val="20"/>
          <w:szCs w:val="20"/>
          <w:color w:val="auto"/>
        </w:rPr>
      </w:pPr>
    </w:p>
    <w:p>
      <w:pPr>
        <w:ind w:right="240" w:firstLine="414"/>
        <w:spacing w:after="0" w:line="257" w:lineRule="auto"/>
        <w:rPr>
          <w:sz w:val="20"/>
          <w:szCs w:val="20"/>
          <w:color w:val="auto"/>
        </w:rPr>
      </w:pPr>
      <w:r>
        <w:rPr>
          <w:rFonts w:ascii="Arial" w:cs="Arial" w:eastAsia="Arial" w:hAnsi="Arial"/>
          <w:sz w:val="18"/>
          <w:szCs w:val="18"/>
          <w:color w:val="auto"/>
        </w:rPr>
        <w:t>For the nine months ended September 30, 2015 and 2014, approximately $3.0 million and $3.9 million, respectively, of expenses were attributable to employee compensation, including salaries, bonuses, employee benefits, payroll taxes and stock-based compensation expense. For the nine months ended September 30, 2015 and 2014, respectively, professional fees and insurance expenses totaled approximately $3.0 million and $2.1 million. Administrative costs, which include occupancy expense, technology and other office expenses, totaled approximately $1.5 million and $1.2 million for the nine months ended September 30, 2015 and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Net investment income and net realized gains (losses) represents the stockholder’s equity before net unrealized appreciation or depreciation on investments. For the three months ended September 30, 2015, net investment income and net realized losses were approximately $309,000, or $0.01 per share. For the three months ended September 30, 2014, net investment income and net realized losses were approximately $3.4 million or $0.10 per share. For the nine months ended September 30, 2015, net investment income and net realized losses were approximately $12.7 million, or $0.51 per share. For the nine months ended September 30, 2014, net investment income and net realized losses were approximately $12.7 million or $0.66 per share. Net investment income represents the income earned on our investments less operating and interest expense before net realized gains or losses and unrealized appreciation or depreciation on investments. For the three months ended September 30, 2015, net investment income was approximately $6.5 million, or $0.18 per share. For the nine months ended September 30, 2015, net investment income was approximately $18.9 million, or $0.51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100" w:firstLine="414"/>
        <w:spacing w:after="0" w:line="272" w:lineRule="auto"/>
        <w:rPr>
          <w:sz w:val="20"/>
          <w:szCs w:val="20"/>
          <w:color w:val="auto"/>
        </w:rPr>
      </w:pPr>
      <w:r>
        <w:rPr>
          <w:rFonts w:ascii="Arial" w:cs="Arial" w:eastAsia="Arial" w:hAnsi="Arial"/>
          <w:sz w:val="17"/>
          <w:szCs w:val="17"/>
          <w:color w:val="auto"/>
        </w:rPr>
        <w:t>During the three months ended September 30, 2015, our total investments had net unrealized depreciation of approximately $16.2 million. During the three months ended September 30, 2014, our total investments had net unrealized appreciation of approximately $4.9 million. For the three months ended September 30, 2015, our Asset Manager Affiliates had net unrealized depreciation of approximately $8.9 million. For the three months ended September 30, 2014, our Asset Manager Affiliates had net unrealized appreciation of approximately $5.1 million. For the three months ended September 30, 2015, our portfolio of debt securities and equity securities had net unrealized depreciation of approximately $6.9 million, compared with net unrealized appreciation of $8.6 million during the third quarter of 2014. For the three months ended September 30, 2015, our CLO Fund securities had net unrealized depreciation of approximately $415,000 compared with net unrealized depreciation of $8.9 million during the third quarter of 2014.</w:t>
      </w:r>
    </w:p>
    <w:p>
      <w:pPr>
        <w:spacing w:after="0" w:line="178" w:lineRule="exact"/>
        <w:rPr>
          <w:sz w:val="20"/>
          <w:szCs w:val="20"/>
          <w:color w:val="auto"/>
        </w:rPr>
      </w:pPr>
    </w:p>
    <w:p>
      <w:pPr>
        <w:ind w:right="100" w:firstLine="414"/>
        <w:spacing w:after="0" w:line="291" w:lineRule="auto"/>
        <w:rPr>
          <w:sz w:val="20"/>
          <w:szCs w:val="20"/>
          <w:color w:val="auto"/>
        </w:rPr>
      </w:pPr>
      <w:r>
        <w:rPr>
          <w:rFonts w:ascii="Arial" w:cs="Arial" w:eastAsia="Arial" w:hAnsi="Arial"/>
          <w:sz w:val="16"/>
          <w:szCs w:val="16"/>
          <w:color w:val="auto"/>
        </w:rPr>
        <w:t>During the nine months ended September 30, 2015, our total investments had net unrealized depreciation of approximately $19.8 million. During the nine months ended September 30, 2014, our total investments had net unrealized appreciation of approximately $11.2 million. For the nine months ended September 30, 2015, our Asset Manager Affiliates had net unrealized depreciation of approximately $5.1 million. For the nine months ended September 30, 2014, our Asset Manager Affiliates had net unrealized appreciation of approximately $7.0 million. For the nine months ended September 30, 2015, our portfolio of debt securities and equity securities had net unrealized depreciation of approximately $8.5 million, compared with net unrealized appreciation of $9.4 million during the nine months ended September 30, 2014. For the nine months ended September 30, 2015, our CLO Fund securities had net unrealized depreciation of approximately $6.2 million compared with net unrealized depreciation of $5.1 million during the nine months ended September 30, 2014.</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320" w:firstLine="414"/>
        <w:spacing w:after="0" w:line="342" w:lineRule="auto"/>
        <w:rPr>
          <w:sz w:val="20"/>
          <w:szCs w:val="20"/>
          <w:color w:val="auto"/>
        </w:rPr>
      </w:pPr>
      <w:r>
        <w:rPr>
          <w:rFonts w:ascii="Arial" w:cs="Arial" w:eastAsia="Arial" w:hAnsi="Arial"/>
          <w:sz w:val="16"/>
          <w:szCs w:val="16"/>
          <w:color w:val="auto"/>
        </w:rPr>
        <w:t>The net decrease in stockholders’ equity resulting from operations for the three months ended September 30, 2015 was $16.1 million, or $0.43 per share. Net increase in stockholders’ equity resulting from operations for the three months ended September 30, 2014 was $8.2 million, or $0.24 per share.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net decrease in stockholders’ equity resulting from operations for the nine months ended September 30, 2015 was $7.1 million, or $0.19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increase in stockholders’ equity resulting from operations for the nine months ended September 30, 2014 was $23.9 million, or $0.71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2015 and December 31, 2014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6"/>
          </w:tcPr>
          <w:p>
            <w:pPr>
              <w:ind w:left="24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Security Type</w:t>
            </w:r>
          </w:p>
        </w:tc>
        <w:tc>
          <w:tcPr>
            <w:tcW w:w="1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88"/>
              </w:rPr>
              <w:t>September 30, 2015</w:t>
            </w: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7"/>
              </w:rPr>
              <w:t>December 31, 2014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1,566,274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3,345,723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1,602,741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204,189,144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218,329,860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Junior Secured Loan</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39,795,980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38,569,006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First Lien Bond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4,221,543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Senior Secured Bond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1,481,250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10,597,995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66,720,782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77,514,902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6,936,653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10,681,029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10,418,302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64,121,000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438,974,873</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480,927,293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September 30, 2015, we had approximately $222.4 million of par value of outstanding borrowings and our asset coverage ratio of total assets to total borrowings was 205%, compliant with the minimum asset coverage level of 200% generally required for a BDC by the 1940 Act. We may also borrow amounts of up to 5% of the value of our total assets for temporary purposes.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3" w:name="page74"/>
    <w:bookmarkEnd w:id="73"/>
    <w:p>
      <w:pPr>
        <w:ind w:right="100" w:firstLine="41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93"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Convertible Notes are convertible into shares of the Company’s common stock. As of September 30, 2015, the conversion rate was 134.51 shares of common stock per $1,000 principal amount of Convertible Notes, which is equivalent to a conversion price of approximately $7.43 per share of common stock. The conversion rate is subject to adjustment upon certain events. Upon conversion, the Company would issue the full amount of common stock or settle the conversion in cash, at its option, and retire the full amount of debt outstanding.</w:t>
      </w:r>
    </w:p>
    <w:p>
      <w:pPr>
        <w:spacing w:after="0" w:line="187"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On October 9, 2014, the Company purchased approximately $10.4 million face value of its own Convertible Notes at $114.875 plus accrued interest. On September 23, 2015, the Company purchased $5.0 million face value of its own Convertible Notes at $102.375 plus accrued interest. KCAP subsequently surrendered these notes to the trustee for cancellation. Due to the cash conversion option embedded in the Convertible Notes, the Company applied the guidance in ASC 470-40-20, Debt with Conversion and Other Options, and realized a loss on the extinguishment of this debt. For the nine months ended September 30, 2015, there were no realized losses on extinguishment of debt. The indenture governing the Convertible Notes contains certain restrictive covenants, including compliance with certain provisions of the 1940 Act and conditions governing the undertaking of new debt.</w:t>
      </w:r>
    </w:p>
    <w:p>
      <w:pPr>
        <w:spacing w:after="0" w:line="167" w:lineRule="exact"/>
        <w:rPr>
          <w:sz w:val="20"/>
          <w:szCs w:val="20"/>
          <w:color w:val="auto"/>
        </w:rPr>
      </w:pPr>
    </w:p>
    <w:p>
      <w:pPr>
        <w:ind w:right="20" w:firstLine="414"/>
        <w:spacing w:after="0" w:line="271"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September 30, 2015,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179" w:lineRule="exact"/>
        <w:rPr>
          <w:sz w:val="20"/>
          <w:szCs w:val="20"/>
          <w:color w:val="auto"/>
        </w:rPr>
      </w:pPr>
    </w:p>
    <w:p>
      <w:pPr>
        <w:ind w:right="120" w:firstLine="414"/>
        <w:spacing w:after="0" w:line="290"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These junior notes eliminate in consolidation and the remaining notes with a par value of $105 million, net of $3.1 million of unamortized discount, are reflected on our consolidated balance sheet. The indenture governing the KCAP Senior Funding I Notes contains an event of default that is triggered in the event that certain coverage tests are not met.</w:t>
      </w:r>
    </w:p>
    <w:p>
      <w:pPr>
        <w:spacing w:after="0" w:line="166" w:lineRule="exact"/>
        <w:rPr>
          <w:sz w:val="20"/>
          <w:szCs w:val="20"/>
          <w:color w:val="auto"/>
        </w:rPr>
      </w:pPr>
    </w:p>
    <w:p>
      <w:pPr>
        <w:ind w:right="560" w:firstLine="414"/>
        <w:spacing w:after="0" w:line="308" w:lineRule="auto"/>
        <w:rPr>
          <w:sz w:val="20"/>
          <w:szCs w:val="20"/>
          <w:color w:val="auto"/>
        </w:rPr>
      </w:pPr>
      <w:r>
        <w:rPr>
          <w:rFonts w:ascii="Arial" w:cs="Arial" w:eastAsia="Arial" w:hAnsi="Arial"/>
          <w:sz w:val="17"/>
          <w:szCs w:val="17"/>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47" w:lineRule="exact"/>
        <w:rPr>
          <w:sz w:val="20"/>
          <w:szCs w:val="20"/>
          <w:color w:val="auto"/>
        </w:rPr>
      </w:pPr>
    </w:p>
    <w:p>
      <w:pPr>
        <w:ind w:right="160" w:firstLine="414"/>
        <w:spacing w:after="0" w:line="276" w:lineRule="auto"/>
        <w:rPr>
          <w:sz w:val="20"/>
          <w:szCs w:val="20"/>
          <w:color w:val="auto"/>
        </w:rPr>
      </w:pPr>
      <w:r>
        <w:rPr>
          <w:rFonts w:ascii="Arial" w:cs="Arial" w:eastAsia="Arial" w:hAnsi="Arial"/>
          <w:sz w:val="17"/>
          <w:szCs w:val="17"/>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right="440" w:firstLine="414"/>
        <w:spacing w:after="0" w:line="277" w:lineRule="auto"/>
        <w:rPr>
          <w:sz w:val="20"/>
          <w:szCs w:val="20"/>
          <w:color w:val="auto"/>
        </w:rPr>
      </w:pPr>
      <w:r>
        <w:rPr>
          <w:rFonts w:ascii="Arial" w:cs="Arial" w:eastAsia="Arial" w:hAnsi="Arial"/>
          <w:sz w:val="18"/>
          <w:szCs w:val="18"/>
          <w:color w:val="auto"/>
        </w:rPr>
        <w:t>If our common stock trades below our net asset value per share, we will generally not be able to issue additional common stock at the market price unless our shareholders approve such a sale and our Board of Directors makes certain determinations.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currently intend to distribute during each calendar year an amount at least equal to the sum of:</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98.2% of our capital gains, if any, in excess of capital losses for the one-year period ending on October 31 of the calendar year;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right="80" w:firstLine="414"/>
        <w:spacing w:after="0" w:line="342" w:lineRule="auto"/>
        <w:rPr>
          <w:sz w:val="20"/>
          <w:szCs w:val="20"/>
          <w:color w:val="auto"/>
        </w:rPr>
      </w:pPr>
      <w:r>
        <w:rPr>
          <w:rFonts w:ascii="Arial" w:cs="Arial" w:eastAsia="Arial" w:hAnsi="Arial"/>
          <w:sz w:val="16"/>
          <w:szCs w:val="16"/>
          <w:color w:val="auto"/>
        </w:rPr>
        <w:t>We will be prohibited by the 1940 Act and the indenture governing our 7.375% Notes from making distributions if our asset coverage, as defined in the 1940 Act, falls below 200%. In any such event, we would be prohibited from making distributions required in order to maintain our status as a RIC.</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since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Distribution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9/22/2015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10/14/2015</w:t>
            </w:r>
          </w:p>
        </w:tc>
        <w:tc>
          <w:tcPr>
            <w:tcW w:w="1360" w:type="dxa"/>
            <w:vAlign w:val="bottom"/>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4/6/2015</w:t>
            </w:r>
          </w:p>
        </w:tc>
        <w:tc>
          <w:tcPr>
            <w:tcW w:w="1360" w:type="dxa"/>
            <w:vAlign w:val="bottom"/>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9/19/2014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10/14/2014</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4/4/2014</w:t>
            </w:r>
          </w:p>
        </w:tc>
        <w:tc>
          <w:tcPr>
            <w:tcW w:w="136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9/13/2013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10/8/2013</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3/15/2013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4/5/2013</w:t>
            </w:r>
          </w:p>
        </w:tc>
        <w:tc>
          <w:tcPr>
            <w:tcW w:w="1360" w:type="dxa"/>
            <w:vAlign w:val="bottom"/>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14"/>
        <w:spacing w:after="0" w:line="255"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2015, the Company had a commitment to make an investment of $360,000 in a revolving senior secured loan. As of December 31, 2014, the Company had no outstanding commitments to make such investments.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September 30,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Contractual</w:t>
            </w: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ind w:left="82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5"/>
              </w:rPr>
              <w:t>Less than one</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Obligations</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1 - 3 years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3 - 5 years</w:t>
            </w:r>
          </w:p>
        </w:tc>
        <w:tc>
          <w:tcPr>
            <w:tcW w:w="1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30"/>
                <w:szCs w:val="30"/>
                <w:color w:val="auto"/>
                <w:vertAlign w:val="superscript"/>
              </w:rPr>
              <w:t>1</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222,397,000</w:t>
            </w:r>
          </w:p>
        </w:tc>
        <w:tc>
          <w:tcPr>
            <w:tcW w:w="12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  33,647,000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41,400,000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147,350,000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approximately $33.6 million of Convertible Notes due March 16, 2016, $41.4 million of 7.375% Notes Due 2019 and $147.4 of Notes issued by KCAP Senior Funding I,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41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300" w:firstLine="414"/>
        <w:spacing w:after="0" w:line="312" w:lineRule="auto"/>
        <w:rPr>
          <w:sz w:val="20"/>
          <w:szCs w:val="20"/>
          <w:color w:val="auto"/>
        </w:rPr>
      </w:pPr>
      <w:r>
        <w:rPr>
          <w:rFonts w:ascii="Arial" w:cs="Arial" w:eastAsia="Arial" w:hAnsi="Arial"/>
          <w:sz w:val="16"/>
          <w:szCs w:val="16"/>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47" w:lineRule="exact"/>
        <w:rPr>
          <w:sz w:val="20"/>
          <w:szCs w:val="20"/>
          <w:color w:val="auto"/>
        </w:rPr>
      </w:pPr>
    </w:p>
    <w:p>
      <w:pPr>
        <w:ind w:right="260" w:firstLine="41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firstLine="41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900" w:right="360" w:hanging="325"/>
        <w:spacing w:after="0" w:line="31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900" w:right="60" w:hanging="325"/>
        <w:spacing w:after="0" w:line="297"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ind w:right="4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40" w:firstLine="41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80" w:firstLine="41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Board of Directors may consider other methods of valuation to determine the fair value of investments as appropriate in conformity with GAAP.</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September 30, 2015 and December 31, 2014, there was one issuer (representing less than 1% of our total investments at fair value) on non-accrual status.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225" w:lineRule="exact"/>
        <w:rPr>
          <w:sz w:val="20"/>
          <w:szCs w:val="20"/>
          <w:color w:val="auto"/>
        </w:rPr>
      </w:pPr>
    </w:p>
    <w:p>
      <w:pPr>
        <w:ind w:right="22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Distribution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Third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9/22/2015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10/14/2015</w:t>
            </w:r>
          </w:p>
        </w:tc>
        <w:tc>
          <w:tcPr>
            <w:tcW w:w="1360" w:type="dxa"/>
            <w:vAlign w:val="bottom"/>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First quarter</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4/6/2015</w:t>
            </w:r>
          </w:p>
        </w:tc>
        <w:tc>
          <w:tcPr>
            <w:tcW w:w="1360" w:type="dxa"/>
            <w:vAlign w:val="bottom"/>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9/19/2014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10/14/2014</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4/4/2014</w:t>
            </w:r>
          </w:p>
        </w:tc>
        <w:tc>
          <w:tcPr>
            <w:tcW w:w="136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2014</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2013:</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9/13/2013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10/8/2013</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3/15/2013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4/5/2013</w:t>
            </w:r>
          </w:p>
        </w:tc>
        <w:tc>
          <w:tcPr>
            <w:tcW w:w="1360" w:type="dxa"/>
            <w:vAlign w:val="bottom"/>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2013</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78</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20" w:type="dxa"/>
            <w:vAlign w:val="bottom"/>
          </w:tcPr>
          <w:p>
            <w:pPr>
              <w:spacing w:after="0"/>
              <w:rPr>
                <w:sz w:val="20"/>
                <w:szCs w:val="20"/>
                <w:color w:val="auto"/>
              </w:rPr>
            </w:pPr>
          </w:p>
        </w:tc>
        <w:tc>
          <w:tcPr>
            <w:tcW w:w="280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99"/>
              </w:rPr>
              <w:t>2015¹</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2014¹</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2015¹</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2014¹</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9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distributed to the Company by Asset Manager Affiliates in excess of</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their taxable earnings</w:t>
            </w:r>
          </w:p>
        </w:tc>
        <w:tc>
          <w:tcPr>
            <w:tcW w:w="9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1"/>
                <w:szCs w:val="2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Available for distribution²</w:t>
            </w: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Difference</w:t>
            </w: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3" w:lineRule="exact"/>
        <w:rPr>
          <w:sz w:val="20"/>
          <w:szCs w:val="20"/>
          <w:color w:val="auto"/>
        </w:rPr>
      </w:pPr>
    </w:p>
    <w:p>
      <w:pPr>
        <w:ind w:left="660" w:right="100" w:hanging="652"/>
        <w:spacing w:after="0" w:line="25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$0.02 and $0.08 per share of cash distributed to the Company by the Asset Manager Affiliates in excess of their taxable earnings is subtracted from the "Available for distribution" financial measure for the three and nine months ended September 30, 2015, respectively. The Company's management believes that the presentation of the non-GAAP "Available for distribution" financial measure provides useful information to investors.</w:t>
      </w:r>
    </w:p>
    <w:p>
      <w:pPr>
        <w:spacing w:after="0" w:line="189"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September 30, 2015, approximately 97.7% of our debt securities portfolio were either fixed rate or floating rate with a spread to an interest rate index such as LIBOR or the prime rate. Most of these floating rate loans contain LIBOR floors ranging between 0.75% and 3.00%. We generally expect that future portfolio investments will predominately be floating rate investments. As of September 30, 2015, we had $222.4 million par value of borrowings outstanding at a weighted average rate of 4.37%.</w:t>
      </w:r>
    </w:p>
    <w:p>
      <w:pPr>
        <w:spacing w:after="0" w:line="154" w:lineRule="exact"/>
        <w:rPr>
          <w:sz w:val="20"/>
          <w:szCs w:val="20"/>
          <w:color w:val="auto"/>
        </w:rPr>
      </w:pPr>
    </w:p>
    <w:p>
      <w:pPr>
        <w:ind w:right="160" w:firstLine="41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Convertible Notes or 7.375% Notes Due 2019 would remain the same at 8.75% and 7.375%, respectively,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jc w:val="both"/>
        <w:ind w:right="200" w:firstLine="41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September 30, 2015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60" w:type="dxa"/>
            <w:vAlign w:val="bottom"/>
            <w:gridSpan w:val="10"/>
          </w:tcPr>
          <w:p>
            <w:pPr>
              <w:ind w:left="80"/>
              <w:spacing w:after="0"/>
              <w:rPr>
                <w:sz w:val="20"/>
                <w:szCs w:val="20"/>
                <w:color w:val="auto"/>
              </w:rPr>
            </w:pPr>
            <w:r>
              <w:rPr>
                <w:rFonts w:ascii="Arial" w:cs="Arial" w:eastAsia="Arial" w:hAnsi="Arial"/>
                <w:sz w:val="18"/>
                <w:szCs w:val="18"/>
                <w:color w:val="auto"/>
                <w:w w:val="95"/>
              </w:rPr>
              <w:t>Impact on net investment income:</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(746,695)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912,268</w:t>
            </w: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407,701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407,701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407,701</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900" w:gutter="0" w:footer="0" w:header="0"/>
        </w:sectPr>
      </w:pPr>
    </w:p>
    <w:bookmarkStart w:id="81" w:name="page82"/>
    <w:bookmarkEnd w:id="81"/>
    <w:p>
      <w:pPr>
        <w:ind w:right="60" w:firstLine="41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$747,000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$75,000 and $912,000, respectively. Since LIBOR underlying certain investments, as well as certain of our borrowings, is currently very low, it is unlikely that the underlying rate will decrease by 1% or 2% or even 3%. If the underlying rate decreased to 0%, it would result in approximately a $408,000 increase in net investment income.</w:t>
      </w:r>
    </w:p>
    <w:p>
      <w:pPr>
        <w:spacing w:after="0" w:line="178"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hold any derivative financial instruments for hedging purposes as of September 30,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180" w:firstLine="414"/>
        <w:spacing w:after="0" w:line="297"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5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During the quarter ended September 30, 2015, there were no changes in the Company’s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2014.</w:t>
      </w:r>
    </w:p>
    <w:p>
      <w:pPr>
        <w:spacing w:after="0" w:line="166"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September 30, 2015, we issued a total of 20,059 shares of common stock under our dividend reinvestment plan (“DRIP”). This issuance was not subject to the registration requirements of the Securities Act of 1933. For the three months ended September 30, 2015, the aggregate value of the shares of our common stock issued under our DRIP was approximately $103,099.</w:t>
      </w:r>
    </w:p>
    <w:p>
      <w:pPr>
        <w:spacing w:after="0" w:line="143"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3" w:name="page84"/>
    <w:bookmarkEnd w:id="83"/>
    <w:p>
      <w:pPr>
        <w:ind w:left="54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20" w:type="dxa"/>
            <w:vAlign w:val="bottom"/>
            <w:gridSpan w:val="2"/>
          </w:tcPr>
          <w:p>
            <w:pPr>
              <w:ind w:left="2200"/>
              <w:spacing w:after="0"/>
              <w:rPr>
                <w:sz w:val="20"/>
                <w:szCs w:val="20"/>
                <w:color w:val="auto"/>
              </w:rPr>
            </w:pPr>
            <w:r>
              <w:rPr>
                <w:rFonts w:ascii="Arial" w:cs="Arial" w:eastAsia="Arial" w:hAnsi="Arial"/>
                <w:sz w:val="18"/>
                <w:szCs w:val="18"/>
                <w:color w:val="auto"/>
              </w:rPr>
              <w:t>KCAP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Date: November 4, 2015</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4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780" w:type="dxa"/>
            <w:vAlign w:val="bottom"/>
          </w:tcPr>
          <w:p>
            <w:pPr>
              <w:jc w:val="center"/>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4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Date: November 4, 2015</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64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60" w:type="dxa"/>
            <w:vAlign w:val="bottom"/>
          </w:tcPr>
          <w:p>
            <w:pPr>
              <w:spacing w:after="0"/>
              <w:rPr>
                <w:sz w:val="24"/>
                <w:szCs w:val="24"/>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Certification of Chief Executive Officer Pursuant to Rule 13a-14(a) under the Securities Exchange Act of 1934, as adopted pursuant to</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Financial Officer Pursuant to Rule 13a-14(a) under the Securities Exchange Act of 1934, as adopted pursuant to</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18 U. S. C. 1350, as adopted pursuant to Section 906 of the Sarbanes-Oxley Act of</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2002. **</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Financial Officer Pursuant to 18 U. S. C. 1350, as adopted pursuant to Section 906 of the Sarbanes-Oxley Act of</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1260" w:hanging="1252"/>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2015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620" w:val="left"/>
          <w:tab w:leader="none" w:pos="842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2015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20" w:val="left"/>
          <w:tab w:leader="none" w:pos="802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2015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740" w:val="left"/>
          <w:tab w:leader="none" w:pos="848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accompanying Quarterly Report of KCAP Financial,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(the “Report”), I, Edward U. Gilpin, Chief Financial Officer of the Company, certify, pursuant to 18 U.S.C. §1350, as adopted pursuant to §906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680" w:hanging="258"/>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00" w:val="left"/>
          <w:tab w:leader="none" w:pos="790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bullet"/>
      <w:start w:val="1"/>
    </w:lvl>
  </w:abstractNum>
  <w:abstractNum w:abstractNumId="3">
    <w:nsid w:val="7C3DBD3D"/>
    <w:multiLevelType w:val="hybridMultilevel"/>
    <w:lvl w:ilvl="0">
      <w:lvlJc w:val="left"/>
      <w:lvlText w:val="2"/>
      <w:numFmt w:val="bullet"/>
      <w:start w:val="1"/>
    </w:lvl>
  </w:abstractNum>
  <w:abstractNum w:abstractNumId="4">
    <w:nsid w:val="737B8DDC"/>
    <w:multiLevelType w:val="hybridMultilevel"/>
    <w:lvl w:ilvl="0">
      <w:lvlJc w:val="left"/>
      <w:lvlText w:val="3"/>
      <w:numFmt w:val="bullet"/>
      <w:start w:val="1"/>
    </w:lvl>
  </w:abstractNum>
  <w:abstractNum w:abstractNumId="5">
    <w:nsid w:val="6CEAF087"/>
    <w:multiLevelType w:val="hybridMultilevel"/>
    <w:lvl w:ilvl="0">
      <w:lvlJc w:val="left"/>
      <w:lvlText w:val="4"/>
      <w:numFmt w:val="bullet"/>
      <w:start w:val="1"/>
    </w:lvl>
  </w:abstractNum>
  <w:abstractNum w:abstractNumId="6">
    <w:nsid w:val="22221A70"/>
    <w:multiLevelType w:val="hybridMultilevel"/>
    <w:lvl w:ilvl="0">
      <w:lvlJc w:val="left"/>
      <w:lvlText w:val="5"/>
      <w:numFmt w:val="bullet"/>
      <w:start w:val="1"/>
    </w:lvl>
  </w:abstractNum>
  <w:abstractNum w:abstractNumId="7">
    <w:nsid w:val="4516DDE9"/>
    <w:multiLevelType w:val="hybridMultilevel"/>
    <w:lvl w:ilvl="0">
      <w:lvlJc w:val="left"/>
      <w:lvlText w:val="6"/>
      <w:numFmt w:val="bullet"/>
      <w:start w:val="1"/>
    </w:lvl>
  </w:abstractNum>
  <w:abstractNum w:abstractNumId="8">
    <w:nsid w:val="3006C83E"/>
    <w:multiLevelType w:val="hybridMultilevel"/>
    <w:lvl w:ilvl="0">
      <w:lvlJc w:val="left"/>
      <w:lvlText w:val="7"/>
      <w:numFmt w:val="bullet"/>
      <w:start w:val="1"/>
    </w:lvl>
  </w:abstractNum>
  <w:abstractNum w:abstractNumId="9">
    <w:nsid w:val="614FD4A1"/>
    <w:multiLevelType w:val="hybridMultilevel"/>
    <w:lvl w:ilvl="0">
      <w:lvlJc w:val="left"/>
      <w:lvlText w:val="8"/>
      <w:numFmt w:val="bullet"/>
      <w:start w:val="1"/>
    </w:lvl>
  </w:abstractNum>
  <w:abstractNum w:abstractNumId="10">
    <w:nsid w:val="419AC241"/>
    <w:multiLevelType w:val="hybridMultilevel"/>
    <w:lvl w:ilvl="0">
      <w:lvlJc w:val="left"/>
      <w:lvlText w:val="9"/>
      <w:numFmt w:val="bullet"/>
      <w:start w:val="1"/>
    </w:lvl>
  </w:abstractNum>
  <w:abstractNum w:abstractNumId="11">
    <w:nsid w:val="5577F8E1"/>
    <w:multiLevelType w:val="hybridMultilevel"/>
    <w:lvl w:ilvl="0">
      <w:lvlJc w:val="left"/>
      <w:lvlText w:val="%1"/>
      <w:numFmt w:val="decimal"/>
      <w:start w:val="10"/>
    </w:lvl>
  </w:abstractNum>
  <w:abstractNum w:abstractNumId="12">
    <w:nsid w:val="440BADFC"/>
    <w:multiLevelType w:val="hybridMultilevel"/>
    <w:lvl w:ilvl="0">
      <w:lvlJc w:val="left"/>
      <w:lvlText w:val="1"/>
      <w:numFmt w:val="bullet"/>
      <w:start w:val="1"/>
    </w:lvl>
  </w:abstractNum>
  <w:abstractNum w:abstractNumId="13">
    <w:nsid w:val="5072367"/>
    <w:multiLevelType w:val="hybridMultilevel"/>
    <w:lvl w:ilvl="0">
      <w:lvlJc w:val="left"/>
      <w:lvlText w:val="2"/>
      <w:numFmt w:val="bullet"/>
      <w:start w:val="1"/>
    </w:lvl>
  </w:abstractNum>
  <w:abstractNum w:abstractNumId="14">
    <w:nsid w:val="3804823E"/>
    <w:multiLevelType w:val="hybridMultilevel"/>
    <w:lvl w:ilvl="0">
      <w:lvlJc w:val="left"/>
      <w:lvlText w:val="3"/>
      <w:numFmt w:val="bullet"/>
      <w:start w:val="1"/>
    </w:lvl>
  </w:abstractNum>
  <w:abstractNum w:abstractNumId="15">
    <w:nsid w:val="77465F01"/>
    <w:multiLevelType w:val="hybridMultilevel"/>
    <w:lvl w:ilvl="0">
      <w:lvlJc w:val="left"/>
      <w:lvlText w:val="4"/>
      <w:numFmt w:val="bullet"/>
      <w:start w:val="1"/>
    </w:lvl>
  </w:abstractNum>
  <w:abstractNum w:abstractNumId="16">
    <w:nsid w:val="7724C67E"/>
    <w:multiLevelType w:val="hybridMultilevel"/>
    <w:lvl w:ilvl="0">
      <w:lvlJc w:val="left"/>
      <w:lvlText w:val="5"/>
      <w:numFmt w:val="bullet"/>
      <w:start w:val="1"/>
    </w:lvl>
  </w:abstractNum>
  <w:abstractNum w:abstractNumId="17">
    <w:nsid w:val="5C482A97"/>
    <w:multiLevelType w:val="hybridMultilevel"/>
    <w:lvl w:ilvl="0">
      <w:lvlJc w:val="left"/>
      <w:lvlText w:val="6"/>
      <w:numFmt w:val="bullet"/>
      <w:start w:val="1"/>
    </w:lvl>
  </w:abstractNum>
  <w:abstractNum w:abstractNumId="18">
    <w:nsid w:val="2463B9EA"/>
    <w:multiLevelType w:val="hybridMultilevel"/>
    <w:lvl w:ilvl="0">
      <w:lvlJc w:val="left"/>
      <w:lvlText w:val="7"/>
      <w:numFmt w:val="bullet"/>
      <w:start w:val="1"/>
    </w:lvl>
  </w:abstractNum>
  <w:abstractNum w:abstractNumId="19">
    <w:nsid w:val="5E884ADC"/>
    <w:multiLevelType w:val="hybridMultilevel"/>
    <w:lvl w:ilvl="0">
      <w:lvlJc w:val="left"/>
      <w:lvlText w:val="8"/>
      <w:numFmt w:val="bullet"/>
      <w:start w:val="1"/>
    </w:lvl>
  </w:abstractNum>
  <w:abstractNum w:abstractNumId="20">
    <w:nsid w:val="51EAD36B"/>
    <w:multiLevelType w:val="hybridMultilevel"/>
    <w:lvl w:ilvl="0">
      <w:lvlJc w:val="left"/>
      <w:lvlText w:val="9"/>
      <w:numFmt w:val="bullet"/>
      <w:start w:val="1"/>
    </w:lvl>
  </w:abstractNum>
  <w:abstractNum w:abstractNumId="21">
    <w:nsid w:val="2D517796"/>
    <w:multiLevelType w:val="hybridMultilevel"/>
    <w:lvl w:ilvl="0">
      <w:lvlJc w:val="left"/>
      <w:lvlText w:val="%1"/>
      <w:numFmt w:val="decimal"/>
      <w:start w:val="10"/>
    </w:lvl>
  </w:abstractNum>
  <w:abstractNum w:abstractNumId="22">
    <w:nsid w:val="580BD78F"/>
    <w:multiLevelType w:val="hybridMultilevel"/>
    <w:lvl w:ilvl="0">
      <w:lvlJc w:val="left"/>
      <w:lvlText w:val="1"/>
      <w:numFmt w:val="bullet"/>
      <w:start w:val="1"/>
    </w:lvl>
  </w:abstractNum>
  <w:abstractNum w:abstractNumId="23">
    <w:nsid w:val="153EA438"/>
    <w:multiLevelType w:val="hybridMultilevel"/>
    <w:lvl w:ilvl="0">
      <w:lvlJc w:val="left"/>
      <w:lvlText w:val="2"/>
      <w:numFmt w:val="bullet"/>
      <w:start w:val="1"/>
    </w:lvl>
  </w:abstractNum>
  <w:abstractNum w:abstractNumId="24">
    <w:nsid w:val="3855585C"/>
    <w:multiLevelType w:val="hybridMultilevel"/>
    <w:lvl w:ilvl="0">
      <w:lvlJc w:val="left"/>
      <w:lvlText w:val="3"/>
      <w:numFmt w:val="bullet"/>
      <w:start w:val="1"/>
    </w:lvl>
  </w:abstractNum>
  <w:abstractNum w:abstractNumId="25">
    <w:nsid w:val="70A64E2A"/>
    <w:multiLevelType w:val="hybridMultilevel"/>
    <w:lvl w:ilvl="0">
      <w:lvlJc w:val="left"/>
      <w:lvlText w:val="4"/>
      <w:numFmt w:val="bullet"/>
      <w:start w:val="1"/>
    </w:lvl>
  </w:abstractNum>
  <w:abstractNum w:abstractNumId="26">
    <w:nsid w:val="6A2342EC"/>
    <w:multiLevelType w:val="hybridMultilevel"/>
    <w:lvl w:ilvl="0">
      <w:lvlJc w:val="left"/>
      <w:lvlText w:val="\endash "/>
      <w:numFmt w:val="bullet"/>
      <w:start w:val="1"/>
    </w:lvl>
  </w:abstractNum>
  <w:abstractNum w:abstractNumId="27">
    <w:nsid w:val="2A487CB0"/>
    <w:multiLevelType w:val="hybridMultilevel"/>
    <w:lvl w:ilvl="0">
      <w:lvlJc w:val="left"/>
      <w:lvlText w:val="¹"/>
      <w:numFmt w:val="bullet"/>
      <w:start w:val="1"/>
    </w:lvl>
  </w:abstractNum>
  <w:abstractNum w:abstractNumId="28">
    <w:nsid w:val="1D4ED43B"/>
    <w:multiLevelType w:val="hybridMultilevel"/>
    <w:lvl w:ilvl="0">
      <w:lvlJc w:val="left"/>
      <w:lvlText w:val="²"/>
      <w:numFmt w:val="bullet"/>
      <w:start w:val="1"/>
    </w:lvl>
  </w:abstractNum>
  <w:abstractNum w:abstractNumId="29">
    <w:nsid w:val="725A06FB"/>
    <w:multiLevelType w:val="hybridMultilevel"/>
    <w:lvl w:ilvl="0">
      <w:lvlJc w:val="left"/>
      <w:lvlText w:val="1"/>
      <w:numFmt w:val="bullet"/>
      <w:start w:val="1"/>
    </w:lvl>
  </w:abstractNum>
  <w:abstractNum w:abstractNumId="30">
    <w:nsid w:val="2CD89A32"/>
    <w:multiLevelType w:val="hybridMultilevel"/>
    <w:lvl w:ilvl="0">
      <w:lvlJc w:val="left"/>
      <w:lvlText w:val="2"/>
      <w:numFmt w:val="bullet"/>
      <w:start w:val="1"/>
    </w:lvl>
  </w:abstractNum>
  <w:abstractNum w:abstractNumId="31">
    <w:nsid w:val="57E4CCAF"/>
    <w:multiLevelType w:val="hybridMultilevel"/>
    <w:lvl w:ilvl="0">
      <w:lvlJc w:val="left"/>
      <w:lvlText w:val="3"/>
      <w:numFmt w:val="bullet"/>
      <w:start w:val="1"/>
    </w:lvl>
  </w:abstractNum>
  <w:abstractNum w:abstractNumId="32">
    <w:nsid w:val="7A6D8D3C"/>
    <w:multiLevelType w:val="hybridMultilevel"/>
    <w:lvl w:ilvl="0">
      <w:lvlJc w:val="left"/>
      <w:lvlText w:val="¹"/>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bullet"/>
      <w:start w:val="1"/>
    </w:lvl>
  </w:abstractNum>
  <w:abstractNum w:abstractNumId="36">
    <w:nsid w:val="38437FDB"/>
    <w:multiLevelType w:val="hybridMultilevel"/>
    <w:lvl w:ilvl="0">
      <w:lvlJc w:val="left"/>
      <w:lvlText w:val="(%1)"/>
      <w:numFmt w:val="lowerRoman"/>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²"/>
      <w:numFmt w:val="bullet"/>
      <w:start w:val="1"/>
    </w:lvl>
  </w:abstractNum>
  <w:abstractNum w:abstractNumId="39">
    <w:nsid w:val="684A481A"/>
    <w:multiLevelType w:val="hybridMultilevel"/>
    <w:lvl w:ilvl="0">
      <w:lvlJc w:val="left"/>
      <w:lvlText w:val="1"/>
      <w:numFmt w:val="bullet"/>
      <w:start w:val="1"/>
    </w:lvl>
  </w:abstractNum>
  <w:abstractNum w:abstractNumId="40">
    <w:nsid w:val="579478FE"/>
    <w:multiLevelType w:val="hybridMultilevel"/>
    <w:lvl w:ilvl="0">
      <w:lvlJc w:val="left"/>
      <w:lvlText w:val="2"/>
      <w:numFmt w:val="bullet"/>
      <w:start w:val="1"/>
    </w:lvl>
  </w:abstractNum>
  <w:abstractNum w:abstractNumId="41">
    <w:nsid w:val="749ABB43"/>
    <w:multiLevelType w:val="hybridMultilevel"/>
    <w:lvl w:ilvl="0">
      <w:lvlJc w:val="left"/>
      <w:lvlText w:val="³"/>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¹"/>
      <w:numFmt w:val="bullet"/>
      <w:start w:val="1"/>
    </w:lvl>
  </w:abstractNum>
  <w:abstractNum w:abstractNumId="46">
    <w:nsid w:val="12E685FB"/>
    <w:multiLevelType w:val="hybridMultilevel"/>
    <w:lvl w:ilvl="0">
      <w:lvlJc w:val="left"/>
      <w:lvlText w:val="²"/>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5"/>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5"/>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2019-12-29T15:16:14Z</dcterms:created>
  <dcterms:modified xsi:type="dcterms:W3CDTF">2019-12-29T15:16:14Z</dcterms:modified>
</cp:coreProperties>
</file>