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4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360680</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40" w:right="3499" w:hanging="685"/>
        <w:spacing w:after="0" w:line="282"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62"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51" w:lineRule="exact"/>
        <w:rPr>
          <w:sz w:val="24"/>
          <w:szCs w:val="24"/>
          <w:color w:val="auto"/>
        </w:rPr>
      </w:pPr>
    </w:p>
    <w:p>
      <w:pPr>
        <w:ind w:left="1140" w:right="3139" w:hanging="685"/>
        <w:spacing w:after="0" w:line="282"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tbl>
      <w:tblPr>
        <w:tblLayout w:type="fixed"/>
        <w:tblInd w:w="3000" w:type="dxa"/>
        <w:tblCellMar>
          <w:top w:w="0" w:type="dxa"/>
          <w:left w:w="0" w:type="dxa"/>
          <w:bottom w:w="0" w:type="dxa"/>
          <w:right w:w="0" w:type="dxa"/>
        </w:tblCellMar>
      </w:tblP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440" w:type="dxa"/>
            <w:vAlign w:val="bottom"/>
            <w:gridSpan w:val="2"/>
          </w:tcPr>
          <w:p>
            <w:pPr>
              <w:ind w:left="280"/>
              <w:spacing w:after="0"/>
              <w:rPr>
                <w:sz w:val="20"/>
                <w:szCs w:val="20"/>
                <w:color w:val="auto"/>
              </w:rPr>
            </w:pPr>
            <w:r>
              <w:rPr>
                <w:rFonts w:ascii="Arial" w:cs="Arial" w:eastAsia="Arial" w:hAnsi="Arial"/>
                <w:sz w:val="18"/>
                <w:szCs w:val="18"/>
                <w:b w:val="1"/>
                <w:bCs w:val="1"/>
                <w:color w:val="auto"/>
                <w:w w:val="82"/>
              </w:rPr>
              <w:t>to</w:t>
            </w:r>
          </w:p>
        </w:tc>
      </w:tr>
      <w:tr>
        <w:trPr>
          <w:trHeight w:val="432"/>
        </w:trPr>
        <w:tc>
          <w:tcPr>
            <w:tcW w:w="58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Arial" w:cs="Arial" w:eastAsia="Arial" w:hAnsi="Arial"/>
                <w:sz w:val="18"/>
                <w:szCs w:val="18"/>
                <w:b w:val="1"/>
                <w:bCs w:val="1"/>
                <w:color w:val="auto"/>
                <w:w w:val="91"/>
              </w:rPr>
              <w:t>Commission File No. 814-00735</w:t>
            </w:r>
          </w:p>
        </w:tc>
      </w:tr>
      <w:tr>
        <w:trPr>
          <w:trHeight w:val="297"/>
        </w:trPr>
        <w:tc>
          <w:tcPr>
            <w:tcW w:w="58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364"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KCAP Financial, Inc.</w:t>
      </w:r>
    </w:p>
    <w:p>
      <w:pPr>
        <w:spacing w:after="0" w:line="123"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203835</wp:posOffset>
            </wp:positionV>
            <wp:extent cx="15436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349250</wp:posOffset>
            </wp:positionV>
            <wp:extent cx="6200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504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w w:val="91"/>
              </w:rPr>
              <w:t>Delaware</w:t>
            </w:r>
          </w:p>
        </w:tc>
        <w:tc>
          <w:tcPr>
            <w:tcW w:w="1520" w:type="dxa"/>
            <w:vAlign w:val="bottom"/>
          </w:tcPr>
          <w:p>
            <w:pPr>
              <w:jc w:val="center"/>
              <w:ind w:left="22"/>
              <w:spacing w:after="0"/>
              <w:rPr>
                <w:sz w:val="20"/>
                <w:szCs w:val="20"/>
                <w:color w:val="auto"/>
              </w:rPr>
            </w:pPr>
            <w:r>
              <w:rPr>
                <w:rFonts w:ascii="Arial" w:cs="Arial" w:eastAsia="Arial" w:hAnsi="Arial"/>
                <w:sz w:val="18"/>
                <w:szCs w:val="18"/>
                <w:b w:val="1"/>
                <w:bCs w:val="1"/>
                <w:color w:val="auto"/>
                <w:w w:val="89"/>
              </w:rPr>
              <w:t>20-5951150</w:t>
            </w:r>
          </w:p>
        </w:tc>
      </w:tr>
      <w:tr>
        <w:trPr>
          <w:trHeight w:val="149"/>
        </w:trPr>
        <w:tc>
          <w:tcPr>
            <w:tcW w:w="5040" w:type="dxa"/>
            <w:vAlign w:val="bottom"/>
            <w:gridSpan w:val="3"/>
          </w:tcPr>
          <w:p>
            <w:pPr>
              <w:jc w:val="center"/>
              <w:ind w:right="31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20" w:type="dxa"/>
            <w:vAlign w:val="bottom"/>
          </w:tcPr>
          <w:p>
            <w:pPr>
              <w:jc w:val="center"/>
              <w:ind w:left="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04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4"/>
              </w:rPr>
              <w:t>incorporation or organization)</w:t>
            </w:r>
          </w:p>
        </w:tc>
        <w:tc>
          <w:tcPr>
            <w:tcW w:w="1520" w:type="dxa"/>
            <w:vAlign w:val="bottom"/>
          </w:tcPr>
          <w:p>
            <w:pPr>
              <w:jc w:val="center"/>
              <w:ind w:left="22"/>
              <w:spacing w:after="0"/>
              <w:rPr>
                <w:sz w:val="20"/>
                <w:szCs w:val="20"/>
                <w:color w:val="auto"/>
              </w:rPr>
            </w:pPr>
            <w:r>
              <w:rPr>
                <w:rFonts w:ascii="Arial" w:cs="Arial" w:eastAsia="Arial" w:hAnsi="Arial"/>
                <w:sz w:val="14"/>
                <w:szCs w:val="14"/>
                <w:b w:val="1"/>
                <w:bCs w:val="1"/>
                <w:color w:val="auto"/>
                <w:w w:val="95"/>
              </w:rPr>
              <w:t>Identification Number)</w:t>
            </w:r>
          </w:p>
        </w:tc>
      </w:tr>
      <w:tr>
        <w:trPr>
          <w:trHeight w:val="466"/>
        </w:trPr>
        <w:tc>
          <w:tcPr>
            <w:tcW w:w="2080" w:type="dxa"/>
            <w:vAlign w:val="bottom"/>
          </w:tcPr>
          <w:p>
            <w:pPr>
              <w:spacing w:after="0"/>
              <w:rPr>
                <w:sz w:val="24"/>
                <w:szCs w:val="24"/>
                <w:color w:val="auto"/>
              </w:rPr>
            </w:pPr>
          </w:p>
        </w:tc>
        <w:tc>
          <w:tcPr>
            <w:tcW w:w="29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295 Madison Avenue, 6</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52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29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New York, New York 10017</w:t>
            </w:r>
          </w:p>
        </w:tc>
        <w:tc>
          <w:tcPr>
            <w:tcW w:w="1520" w:type="dxa"/>
            <w:vAlign w:val="bottom"/>
          </w:tcPr>
          <w:p>
            <w:pPr>
              <w:spacing w:after="0"/>
              <w:rPr>
                <w:sz w:val="18"/>
                <w:szCs w:val="18"/>
                <w:color w:val="auto"/>
              </w:rPr>
            </w:pPr>
          </w:p>
        </w:tc>
      </w:tr>
      <w:tr>
        <w:trPr>
          <w:trHeight w:val="234"/>
        </w:trPr>
        <w:tc>
          <w:tcPr>
            <w:tcW w:w="5040" w:type="dxa"/>
            <w:vAlign w:val="bottom"/>
            <w:gridSpan w:val="3"/>
          </w:tcPr>
          <w:p>
            <w:pPr>
              <w:jc w:val="center"/>
              <w:ind w:left="1459"/>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20" w:type="dxa"/>
            <w:vAlign w:val="bottom"/>
          </w:tcPr>
          <w:p>
            <w:pPr>
              <w:spacing w:after="0"/>
              <w:rPr>
                <w:sz w:val="20"/>
                <w:szCs w:val="20"/>
                <w:color w:val="auto"/>
              </w:rPr>
            </w:pPr>
          </w:p>
        </w:tc>
      </w:tr>
      <w:tr>
        <w:trPr>
          <w:trHeight w:val="432"/>
        </w:trPr>
        <w:tc>
          <w:tcPr>
            <w:tcW w:w="4500" w:type="dxa"/>
            <w:vAlign w:val="bottom"/>
            <w:gridSpan w:val="2"/>
          </w:tcPr>
          <w:p>
            <w:pPr>
              <w:jc w:val="center"/>
              <w:ind w:left="2019"/>
              <w:spacing w:after="0"/>
              <w:rPr>
                <w:sz w:val="20"/>
                <w:szCs w:val="20"/>
                <w:color w:val="auto"/>
              </w:rPr>
            </w:pPr>
            <w:r>
              <w:rPr>
                <w:rFonts w:ascii="Arial" w:cs="Arial" w:eastAsia="Arial" w:hAnsi="Arial"/>
                <w:sz w:val="18"/>
                <w:szCs w:val="18"/>
                <w:b w:val="1"/>
                <w:bCs w:val="1"/>
                <w:color w:val="auto"/>
                <w:w w:val="90"/>
              </w:rPr>
              <w:t>(212) 455-8300</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5"/>
        </w:trPr>
        <w:tc>
          <w:tcPr>
            <w:tcW w:w="5040" w:type="dxa"/>
            <w:vAlign w:val="bottom"/>
            <w:gridSpan w:val="3"/>
          </w:tcPr>
          <w:p>
            <w:pPr>
              <w:ind w:left="17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520" w:type="dxa"/>
            <w:vAlign w:val="bottom"/>
          </w:tcPr>
          <w:p>
            <w:pPr>
              <w:spacing w:after="0"/>
              <w:rPr>
                <w:sz w:val="24"/>
                <w:szCs w:val="24"/>
                <w:color w:val="auto"/>
              </w:rPr>
            </w:pPr>
          </w:p>
        </w:tc>
      </w:tr>
      <w:tr>
        <w:trPr>
          <w:trHeight w:val="296"/>
        </w:trPr>
        <w:tc>
          <w:tcPr>
            <w:tcW w:w="208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387"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4665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tcPr>
          <w:p>
            <w:pPr>
              <w:spacing w:after="0"/>
              <w:rPr>
                <w:sz w:val="14"/>
                <w:szCs w:val="14"/>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91"/>
        </w:trPr>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80" w:type="dxa"/>
            <w:vAlign w:val="bottom"/>
          </w:tcPr>
          <w:p>
            <w:pPr>
              <w:spacing w:after="0"/>
              <w:rPr>
                <w:sz w:val="16"/>
                <w:szCs w:val="16"/>
                <w:color w:val="auto"/>
              </w:rPr>
            </w:pPr>
          </w:p>
        </w:tc>
        <w:tc>
          <w:tcPr>
            <w:tcW w:w="35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Global Select Market</w:t>
            </w:r>
          </w:p>
        </w:tc>
      </w:t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0"/>
              </w:rPr>
              <w:t>7.375% Notes Due 2019</w:t>
            </w:r>
          </w:p>
        </w:tc>
        <w:tc>
          <w:tcPr>
            <w:tcW w:w="18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90"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Act.Yes o No</w:t>
      </w:r>
    </w:p>
    <w:p>
      <w:pPr>
        <w:spacing w:after="0" w:line="46" w:lineRule="exact"/>
        <w:rPr>
          <w:sz w:val="24"/>
          <w:szCs w:val="24"/>
          <w:color w:val="auto"/>
        </w:rPr>
      </w:pPr>
    </w:p>
    <w:p>
      <w:pPr>
        <w:ind w:left="60"/>
        <w:spacing w:after="0"/>
        <w:rPr>
          <w:sz w:val="20"/>
          <w:szCs w:val="20"/>
          <w:color w:val="auto"/>
        </w:rPr>
      </w:pPr>
      <w:r>
        <w:rPr>
          <w:rFonts w:ascii="Arial" w:cs="Arial" w:eastAsia="Arial" w:hAnsi="Arial"/>
          <w:sz w:val="18"/>
          <w:szCs w:val="18"/>
          <w:color w:val="auto"/>
        </w:rPr>
        <w:t>x</w:t>
      </w:r>
    </w:p>
    <w:p>
      <w:pPr>
        <w:spacing w:after="0" w:line="10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15(d) of the Act.Yes o No x</w:t>
      </w:r>
    </w:p>
    <w:p>
      <w:pPr>
        <w:spacing w:after="0" w:line="129" w:lineRule="exact"/>
        <w:rPr>
          <w:sz w:val="24"/>
          <w:szCs w:val="24"/>
          <w:color w:val="auto"/>
        </w:rPr>
      </w:pPr>
    </w:p>
    <w:p>
      <w:pPr>
        <w:ind w:left="60" w:right="579"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ind w:left="60" w:right="59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o No o</w:t>
      </w:r>
    </w:p>
    <w:p>
      <w:pPr>
        <w:spacing w:after="0" w:line="39" w:lineRule="exact"/>
        <w:rPr>
          <w:sz w:val="24"/>
          <w:szCs w:val="24"/>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left="60" w:right="899"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581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ectPr>
          <w:pgSz w:w="11900" w:h="16838" w:orient="portrait"/>
          <w:cols w:equalWidth="0" w:num="1">
            <w:col w:w="10099"/>
          </w:cols>
          <w:pgMar w:left="360" w:top="1440" w:right="1440"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572" w:lineRule="exact"/>
        <w:rPr>
          <w:sz w:val="20"/>
          <w:szCs w:val="20"/>
          <w:color w:val="auto"/>
        </w:rPr>
      </w:pPr>
    </w:p>
    <w:p>
      <w:pPr>
        <w:sectPr>
          <w:pgSz w:w="11900" w:h="16838" w:orient="portrait"/>
          <w:cols w:equalWidth="0" w:num="4">
            <w:col w:w="1780" w:space="720"/>
            <w:col w:w="1340" w:space="580"/>
            <w:col w:w="1860" w:space="520"/>
            <w:col w:w="3279"/>
          </w:cols>
          <w:pgMar w:left="380" w:top="125" w:right="1440" w:bottom="1440" w:gutter="0" w:footer="0" w:header="0"/>
        </w:sectPr>
      </w:pPr>
    </w:p>
    <w:p>
      <w:pP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Act).Yes o No x</w:t>
      </w:r>
    </w:p>
    <w:p>
      <w:pPr>
        <w:spacing w:after="0" w:line="117"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as of June 30, 2016 was approximately $145,576,639 based upon a closing price of $3.92 reported for such date by The NASDAQ Global Select Market. Common shares held by each executive officer and director and by each person who owns 5% or more of the outstanding common shares have been excluded in that such persons may be deemed to be affiliates. This determination of affiliate status is not necessarily a conclusive determination for other purposes.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outstanding shares of common stock of the registrant as of March 6, 2017 was 37,217,968.</w:t>
      </w:r>
    </w:p>
    <w:p>
      <w:pPr>
        <w:spacing w:after="0" w:line="22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Portions of the registrant’s definitive proxy statement for the 2017 annual meeting of stockholders to be filed with the Securities and Exchange Commission within 120 days following the end of the registrant’s fiscal year-end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772160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21590</wp:posOffset>
            </wp:positionV>
            <wp:extent cx="6071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46990</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25" w:right="1440"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ABOUT REFERENCES TO KCAP FINANCIAL, INC.</w:t>
      </w:r>
    </w:p>
    <w:p>
      <w:pPr>
        <w:spacing w:after="0" w:line="121"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In this Annual Report on Form 10-K (this “Annual Report”), the “Company”, “KCAP”, “we”, “us” and “our” refer to KCAP Financial, Inc. and its wholly owned subsidiaries, KCAP Senior Funding I, LLC and KCAP Senior Funding I Holdings, LLC, unless the context otherwise requires.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ABOUT TRADEMARKS</w:t>
      </w:r>
    </w:p>
    <w:p>
      <w:pPr>
        <w:spacing w:after="0" w:line="121" w:lineRule="exact"/>
        <w:rPr>
          <w:sz w:val="20"/>
          <w:szCs w:val="20"/>
          <w:color w:val="auto"/>
        </w:rPr>
      </w:pPr>
    </w:p>
    <w:p>
      <w:pPr>
        <w:ind w:left="40" w:right="879" w:firstLine="270"/>
        <w:spacing w:after="0" w:line="308" w:lineRule="auto"/>
        <w:rPr>
          <w:sz w:val="20"/>
          <w:szCs w:val="20"/>
          <w:color w:val="auto"/>
        </w:rPr>
      </w:pPr>
      <w:r>
        <w:rPr>
          <w:rFonts w:ascii="Arial" w:cs="Arial" w:eastAsia="Arial" w:hAnsi="Arial"/>
          <w:sz w:val="17"/>
          <w:szCs w:val="17"/>
          <w:color w:val="auto"/>
        </w:rPr>
        <w:t>KCAP Financial, Inc., our logo and other trademarks of KCAP Financial, Inc. are the property of KCAP Financial, Inc. All other trademarks or trade names referred to in this Annual Report are the property of their respective owners.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21"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This Annual Report includes forward-looking statements. The matters discussed in this Annual Report, as well as in future oral and written statements by management of KCAP Financial, Inc.,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“contemplates,” “believes,” “estimates,” “predicts,”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Annual Report should not be regarded as a representation by us that our plans or objectives will be achieved. The forward-looking statements contained in this Annual Report include statements as to:</w:t>
      </w:r>
    </w:p>
    <w:p>
      <w:pPr>
        <w:spacing w:after="0" w:line="72" w:lineRule="exact"/>
        <w:rPr>
          <w:sz w:val="20"/>
          <w:szCs w:val="20"/>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117" w:lineRule="exact"/>
        <w:rPr>
          <w:rFonts w:ascii="Arial" w:cs="Arial" w:eastAsia="Arial" w:hAnsi="Arial"/>
          <w:sz w:val="18"/>
          <w:szCs w:val="18"/>
          <w:color w:val="auto"/>
        </w:rPr>
      </w:pPr>
    </w:p>
    <w:p>
      <w:pPr>
        <w:ind w:left="600" w:right="879" w:hanging="322"/>
        <w:spacing w:after="0" w:line="312"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operate as a business development company and a regulated investment company, including the impact of changes in laws or regulations governing our operations or the operations of our wholly-owned portfolio companies, including Katonah Debt Advisors, L.L.C. and Trimaran Advisors, L.L.C. (the “Asset Manager Affiliates”);</w:t>
      </w:r>
    </w:p>
    <w:p>
      <w:pPr>
        <w:spacing w:after="0" w:line="38" w:lineRule="exact"/>
        <w:rPr>
          <w:rFonts w:ascii="Arial" w:cs="Arial" w:eastAsia="Arial" w:hAnsi="Arial"/>
          <w:sz w:val="16"/>
          <w:szCs w:val="16"/>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cash flows, if any, from the operations of our portfolio companies, including the Asset Manager Affiliates;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456565</wp:posOffset>
            </wp:positionV>
            <wp:extent cx="6114415"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17" w:lineRule="exact"/>
        <w:rPr>
          <w:sz w:val="20"/>
          <w:szCs w:val="20"/>
          <w:color w:val="auto"/>
        </w:rPr>
      </w:pPr>
    </w:p>
    <w:p>
      <w:pPr>
        <w:ind w:left="40" w:right="679" w:firstLine="270"/>
        <w:spacing w:after="0" w:line="276" w:lineRule="auto"/>
        <w:rPr>
          <w:sz w:val="20"/>
          <w:szCs w:val="20"/>
          <w:color w:val="auto"/>
        </w:rPr>
      </w:pPr>
      <w:r>
        <w:rPr>
          <w:rFonts w:ascii="Arial" w:cs="Arial" w:eastAsia="Arial" w:hAnsi="Arial"/>
          <w:sz w:val="17"/>
          <w:szCs w:val="17"/>
          <w:color w:val="auto"/>
        </w:rPr>
        <w:t>For a discussion of factors that could cause our actual results to differ from forward-looking statements contained in this Annual Report, please see the discussion under “Risk Factors” in Item 1A. You should not place undue reliance on these forward-looking statements. The forward-looking statements made in this Annual Report relate only to events as of the date on which the statements are made. We undertake no obligation to update any forward-looking statement to reflect events or circumstances occurring after the date of this Annual Report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423545</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00" w:type="dxa"/>
            <w:vAlign w:val="bottom"/>
            <w:gridSpan w:val="10"/>
          </w:tcPr>
          <w:p>
            <w:pPr>
              <w:ind w:left="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10"/>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11"/>
            <w:shd w:val="clear" w:color="auto" w:fill="CCEEFF"/>
          </w:tcPr>
          <w:p>
            <w:pPr>
              <w:jc w:val="center"/>
              <w:ind w:right="3100"/>
              <w:spacing w:after="0"/>
              <w:rPr>
                <w:sz w:val="20"/>
                <w:szCs w:val="20"/>
                <w:color w:val="auto"/>
              </w:rPr>
            </w:pPr>
            <w:r>
              <w:rPr>
                <w:rFonts w:ascii="Arial" w:cs="Arial" w:eastAsia="Arial" w:hAnsi="Arial"/>
                <w:sz w:val="18"/>
                <w:szCs w:val="18"/>
                <w:b w:val="1"/>
                <w:bCs w:val="1"/>
                <w:color w:val="auto"/>
              </w:rPr>
              <w:t>Part I</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1A.</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17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Item 1B.</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Unresolved Staff Comments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Properties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3.</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43</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4.</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43</w:t>
              </w:r>
            </w:hyperlink>
          </w:p>
        </w:tc>
      </w:tr>
      <w:tr>
        <w:trPr>
          <w:trHeight w:val="216"/>
        </w:trPr>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720" w:type="dxa"/>
            <w:vAlign w:val="bottom"/>
            <w:tcBorders>
              <w:top w:val="single" w:sz="8" w:color="CCEEFF"/>
            </w:tcBorders>
            <w:gridSpan w:val="11"/>
          </w:tcPr>
          <w:p>
            <w:pPr>
              <w:jc w:val="center"/>
              <w:ind w:right="3100"/>
              <w:spacing w:after="0"/>
              <w:rPr>
                <w:sz w:val="20"/>
                <w:szCs w:val="20"/>
                <w:color w:val="auto"/>
              </w:rPr>
            </w:pPr>
            <w:r>
              <w:rPr>
                <w:rFonts w:ascii="Arial" w:cs="Arial" w:eastAsia="Arial" w:hAnsi="Arial"/>
                <w:sz w:val="18"/>
                <w:szCs w:val="18"/>
                <w:b w:val="1"/>
                <w:bCs w:val="1"/>
                <w:color w:val="auto"/>
              </w:rPr>
              <w:t>Part II</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5.</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Market for Registrant’s Common Equity, Related Stockholder Matters and Issuer Purchases</w:t>
              </w:r>
            </w:hyperlink>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0000EE"/>
            </w:tcBorders>
            <w:gridSpan w:val="23"/>
            <w:shd w:val="clear" w:color="auto" w:fill="CCEEFF"/>
          </w:tcPr>
          <w:p>
            <w:pPr>
              <w:ind w:left="18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of Equity Securities</w:t>
              </w:r>
            </w:hyperlink>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8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Selected Financial Data</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47</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7.</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w w:val="95"/>
              </w:rPr>
            </w:pPr>
            <w:hyperlink w:anchor="page54">
              <w:r>
                <w:rPr>
                  <w:rFonts w:ascii="Arial" w:cs="Arial" w:eastAsia="Arial" w:hAnsi="Arial"/>
                  <w:sz w:val="18"/>
                  <w:szCs w:val="18"/>
                  <w:color w:val="0000EE"/>
                  <w:w w:val="95"/>
                </w:rPr>
                <w:t>Management’s Discussion and Analysis of Financial Condition and Results of Operations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49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Item 7A.</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8.</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Financial Statements and Supplementary Data</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9.</w:t>
              </w:r>
            </w:hyperlink>
          </w:p>
        </w:tc>
        <w:tc>
          <w:tcPr>
            <w:tcW w:w="6840" w:type="dxa"/>
            <w:vAlign w:val="bottom"/>
            <w:gridSpan w:val="25"/>
          </w:tcPr>
          <w:p>
            <w:pPr>
              <w:ind w:left="80"/>
              <w:spacing w:after="0" w:line="176"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Changes in and Disagreements with Accountants on Accounting and Financial Disclosure</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Item 9A.</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Controls and Procedures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Item 9B.</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70</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11"/>
            <w:shd w:val="clear" w:color="auto" w:fill="CCEEFF"/>
          </w:tcPr>
          <w:p>
            <w:pPr>
              <w:jc w:val="center"/>
              <w:ind w:right="3100"/>
              <w:spacing w:after="0"/>
              <w:rPr>
                <w:sz w:val="20"/>
                <w:szCs w:val="20"/>
                <w:color w:val="auto"/>
              </w:rPr>
            </w:pPr>
            <w:r>
              <w:rPr>
                <w:rFonts w:ascii="Arial" w:cs="Arial" w:eastAsia="Arial" w:hAnsi="Arial"/>
                <w:sz w:val="18"/>
                <w:szCs w:val="18"/>
                <w:b w:val="1"/>
                <w:bCs w:val="1"/>
                <w:color w:val="auto"/>
              </w:rPr>
              <w:t>Part III</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10.</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Directors, Executive Officers and Corporate Governance</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11.</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Executive Compensation</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12.</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Security Ownership of Certain Beneficial Owners and Management and Related</w:t>
              </w:r>
            </w:hyperlink>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20"/>
          </w:tcPr>
          <w:p>
            <w:pPr>
              <w:ind w:left="18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Stockholder Matters</w:t>
              </w:r>
            </w:hyperlink>
          </w:p>
        </w:tc>
        <w:tc>
          <w:tcPr>
            <w:tcW w:w="980" w:type="dxa"/>
            <w:vAlign w:val="bottom"/>
            <w:gridSpan w:val="4"/>
          </w:tcPr>
          <w:p>
            <w:pPr>
              <w:spacing w:after="0"/>
              <w:rPr>
                <w:sz w:val="17"/>
                <w:szCs w:val="17"/>
                <w:color w:val="auto"/>
              </w:rPr>
            </w:pPr>
          </w:p>
        </w:tc>
        <w:tc>
          <w:tcPr>
            <w:tcW w:w="540" w:type="dxa"/>
            <w:vAlign w:val="bottom"/>
            <w:gridSpan w:val="4"/>
          </w:tcPr>
          <w:p>
            <w:pPr>
              <w:jc w:val="right"/>
              <w:ind w:right="8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13.</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Certain Relationships and Related Transactions, and Director Independence</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14.</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Principal Accountant Fees and Services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11"/>
            <w:shd w:val="clear" w:color="auto" w:fill="CCEEFF"/>
          </w:tcPr>
          <w:p>
            <w:pPr>
              <w:jc w:val="center"/>
              <w:ind w:right="3100"/>
              <w:spacing w:after="0"/>
              <w:rPr>
                <w:sz w:val="20"/>
                <w:szCs w:val="20"/>
                <w:color w:val="auto"/>
              </w:rPr>
            </w:pPr>
            <w:r>
              <w:rPr>
                <w:rFonts w:ascii="Arial" w:cs="Arial" w:eastAsia="Arial" w:hAnsi="Arial"/>
                <w:sz w:val="18"/>
                <w:szCs w:val="18"/>
                <w:b w:val="1"/>
                <w:bCs w:val="1"/>
                <w:color w:val="auto"/>
              </w:rPr>
              <w:t>Part IV</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Item 15.</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Exhibits and Financial Statement Schedules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72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w w:val="85"/>
              </w:rPr>
            </w:pPr>
            <w:hyperlink w:anchor="page78">
              <w:r>
                <w:rPr>
                  <w:rFonts w:ascii="Arial" w:cs="Arial" w:eastAsia="Arial" w:hAnsi="Arial"/>
                  <w:sz w:val="18"/>
                  <w:szCs w:val="18"/>
                  <w:color w:val="0000EE"/>
                  <w:w w:val="85"/>
                </w:rPr>
                <w:t>Signatures</w:t>
              </w:r>
            </w:hyperlink>
          </w:p>
        </w:tc>
        <w:tc>
          <w:tcPr>
            <w:tcW w:w="60" w:type="dxa"/>
            <w:vAlign w:val="bottom"/>
            <w:gridSpan w:val="3"/>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60" w:type="dxa"/>
            <w:vAlign w:val="bottom"/>
            <w:gridSpan w:val="3"/>
            <w:shd w:val="clear" w:color="auto" w:fill="CCEEFF"/>
          </w:tcPr>
          <w:p>
            <w:pPr>
              <w:jc w:val="right"/>
              <w:ind w:right="80"/>
              <w:spacing w:after="0" w:line="17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9"/>
          </w:tcPr>
          <w:p>
            <w:pPr>
              <w:spacing w:after="0" w:line="17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Financial Statements</w:t>
              </w:r>
            </w:hyperlink>
          </w:p>
        </w:tc>
        <w:tc>
          <w:tcPr>
            <w:tcW w:w="6160" w:type="dxa"/>
            <w:vAlign w:val="bottom"/>
            <w:gridSpan w:val="22"/>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gridSpan w:val="3"/>
          </w:tcPr>
          <w:p>
            <w:pPr>
              <w:jc w:val="right"/>
              <w:ind w:right="80"/>
              <w:spacing w:after="0"/>
              <w:rPr>
                <w:rFonts w:ascii="Arial" w:cs="Arial" w:eastAsia="Arial" w:hAnsi="Arial"/>
                <w:sz w:val="15"/>
                <w:szCs w:val="15"/>
                <w:color w:val="0000EE"/>
                <w:w w:val="70"/>
              </w:rPr>
            </w:pPr>
            <w:hyperlink w:anchor="page79">
              <w:r>
                <w:rPr>
                  <w:rFonts w:ascii="Arial" w:cs="Arial" w:eastAsia="Arial" w:hAnsi="Arial"/>
                  <w:sz w:val="15"/>
                  <w:szCs w:val="15"/>
                  <w:color w:val="0000EE"/>
                  <w:w w:val="70"/>
                </w:rPr>
                <w:t>F-1</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-4038600</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0" w:right="659" w:firstLine="270"/>
        <w:spacing w:after="0" w:line="342" w:lineRule="auto"/>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 Investment Company Act of 1940 (the “1940 Act”). We have three principal areas of investments:</w:t>
      </w:r>
    </w:p>
    <w:p>
      <w:pPr>
        <w:spacing w:after="0" w:line="16"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73" w:lineRule="exact"/>
        <w:rPr>
          <w:sz w:val="20"/>
          <w:szCs w:val="20"/>
          <w:color w:val="auto"/>
        </w:rPr>
      </w:pPr>
    </w:p>
    <w:p>
      <w:pPr>
        <w:ind w:left="40" w:right="819" w:firstLine="270"/>
        <w:spacing w:after="0" w:line="342" w:lineRule="auto"/>
        <w:rPr>
          <w:sz w:val="20"/>
          <w:szCs w:val="20"/>
          <w:color w:val="auto"/>
        </w:rPr>
      </w:pPr>
      <w:r>
        <w:rPr>
          <w:rFonts w:ascii="Arial" w:cs="Arial" w:eastAsia="Arial" w:hAnsi="Arial"/>
          <w:sz w:val="16"/>
          <w:szCs w:val="16"/>
          <w:color w:val="auto"/>
        </w:rPr>
        <w:t>Second, the Company has invested in asset management companies (Katonah Debt Advisors, L.L.C. and Trimaran Advisors L.L.C., collectively the “Asset Manager Affiliates”) that manage collateralized loan obligation funds (“CLO Funds”).</w:t>
      </w:r>
    </w:p>
    <w:p>
      <w:pPr>
        <w:spacing w:after="0" w:line="16"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79"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and distressed debt securities. The Company may also receive warrants or options to purchase common stock in connection with its debt investments.</w:t>
      </w:r>
    </w:p>
    <w:p>
      <w:pPr>
        <w:spacing w:after="0" w:line="73"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private companies or publicly-traded companies, high-yield bonds and distressed debt securities. We may also receive warrants or options to purchase common stock in connection with our debt investments.</w:t>
      </w:r>
    </w:p>
    <w:p>
      <w:pPr>
        <w:spacing w:after="0" w:line="65"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From our Asset Manager Affiliates investment, we expect to receive recurring cash distributions and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The Asset Manager Affiliates are registered under the Investment Advisers Act of 1940 (the “Advisers Act”), and are each managed independently from KCAP by a separate management team (however, certain of the Company’s executive officers also act in similar capacities for one or both of the Asset Manager Affiliates).</w:t>
      </w:r>
    </w:p>
    <w:p>
      <w:pPr>
        <w:spacing w:after="0" w:line="81" w:lineRule="exact"/>
        <w:rPr>
          <w:sz w:val="20"/>
          <w:szCs w:val="20"/>
          <w:color w:val="auto"/>
        </w:rPr>
      </w:pPr>
    </w:p>
    <w:p>
      <w:pPr>
        <w:ind w:left="40" w:right="619" w:firstLine="270"/>
        <w:spacing w:after="0" w:line="312" w:lineRule="auto"/>
        <w:rPr>
          <w:sz w:val="20"/>
          <w:szCs w:val="20"/>
          <w:color w:val="auto"/>
        </w:rPr>
      </w:pPr>
      <w:r>
        <w:rPr>
          <w:rFonts w:ascii="Arial" w:cs="Arial" w:eastAsia="Arial" w:hAnsi="Arial"/>
          <w:sz w:val="16"/>
          <w:szCs w:val="16"/>
          <w:color w:val="auto"/>
        </w:rPr>
        <w:t>In addition, our investments in CLO Fund Securities, which are primarily made up of minority investments in the subordinated securities or preferred stock of CLO Funds raised and managed by our Asset Manager Affiliates, are anticipated to provide the Company with recurring cash distributions and complement our investment in the Asset Manager Affiliates.</w:t>
      </w:r>
    </w:p>
    <w:p>
      <w:pPr>
        <w:spacing w:after="0" w:line="39"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Because we are internally managed by our executive officers under the supervision of our Board of Directors and do not depend on a third party investment advisor, we do not pay investment advisory fees, but instead incur the operating costs associated with employing investment and portfolio management professionals.</w:t>
      </w:r>
    </w:p>
    <w:p>
      <w:pPr>
        <w:spacing w:after="0" w:line="200" w:lineRule="exact"/>
        <w:rPr>
          <w:sz w:val="20"/>
          <w:szCs w:val="20"/>
          <w:color w:val="auto"/>
        </w:rPr>
      </w:pPr>
    </w:p>
    <w:p>
      <w:pPr>
        <w:spacing w:after="0" w:line="33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As a BDC, we are required to comply with regulatory requirements, including limitations on our use of debt. We are permitted to, and expect to continue to, finance our investments through borrowings. However, as a BDC, we are only generally allowed to borrow amounts such that our asset coverage, as defined in the 1940 Act, equals at least 200% after such borrowing. The 1940 Act also generally prohibits us from declaring any cash dividend or distribution on any class of our capital stock if our asset coverage is below 200% at the time of the declaration of the dividend or distribution.</w:t>
      </w:r>
    </w:p>
    <w:p>
      <w:pPr>
        <w:spacing w:after="0" w:line="64"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64"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We have elected to be treated for U.S. federal income tax purposes as a Regulated Investment Company (“RIC”) under the Internal Revenue Code (the “Code”) and intend to operate in a manner to maintain our RIC tax treatment. Accordingly, we generally will not pay corporate-level U.S. federal income taxes on any net ordinary tax-basis taxable income or capital gains that we timely distribute to our shareholders as dividends. To maintain our RIC tax treatment, we must meet the specified source-of-income and asset diversification requirements and distribute to our stockholders annually at least 90% of our net ordinary tax-basis taxable income and realized net short-term capital gains in excess of realized net long-term capital losses, if any, for each year.</w:t>
      </w:r>
    </w:p>
    <w:p>
      <w:pPr>
        <w:spacing w:after="0" w:line="57" w:lineRule="exact"/>
        <w:rPr>
          <w:sz w:val="20"/>
          <w:szCs w:val="20"/>
          <w:color w:val="auto"/>
        </w:rPr>
      </w:pPr>
    </w:p>
    <w:p>
      <w:pPr>
        <w:jc w:val="both"/>
        <w:ind w:left="40" w:right="579" w:firstLine="270"/>
        <w:spacing w:after="0" w:line="259" w:lineRule="auto"/>
        <w:rPr>
          <w:sz w:val="20"/>
          <w:szCs w:val="20"/>
          <w:color w:val="auto"/>
        </w:rPr>
      </w:pPr>
      <w:r>
        <w:rPr>
          <w:rFonts w:ascii="Arial" w:cs="Arial" w:eastAsia="Arial" w:hAnsi="Arial"/>
          <w:sz w:val="18"/>
          <w:szCs w:val="18"/>
          <w:color w:val="auto"/>
        </w:rPr>
        <w:t>We were formed in August 2006, as Kohlberg Capital Corporation. In December 2006, we completed our initial public offering (“IPO”), which raised net proceeds of approximately $200 million after the exercise of the underwriters’ over-allotment option. In connection with our IPO, we issued an additional 3,484,333 shares of our common stock in exchange for the ownership interests of Katonah Debt Advisors, L.L.C. and certain CLO Fund Securities.</w:t>
      </w:r>
    </w:p>
    <w:p>
      <w:pPr>
        <w:spacing w:after="0" w:line="79"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In April 2008, the Company completed a rights offering that resulted in the issuance of 3.1 million shares of our common stock, and net proceeds of $27 million.</w:t>
      </w:r>
    </w:p>
    <w:p>
      <w:pPr>
        <w:spacing w:after="0" w:line="62"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On February 29, 2012, the Company purchased Trimaran Advisors, L.L.C. (“Trimaran Advisors”), an asset manager similar to Katonah Debt Advisors, L.L.C. (“Katonah Debt Advisors”), for total consideration of $13.0 million in cash and 3,600,000 shares of the Company’s common stock. Contemporaneous with the acquisition of Trimaran Advisors, the Company acquired from Trimaran Advisors equity interests in certain CLO Funds managed by Trimaran Advisors for an aggregate purchase price of $12.0 million in cash. As of December 31, 2016, the Asset Manager Affiliates had approximately $3.0 billion of par value assets under management.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July 11, 2012, we changed our name from Kohlberg Capital Corporation to KCAP Financial, Inc.</w:t>
      </w:r>
    </w:p>
    <w:p>
      <w:pPr>
        <w:spacing w:after="0" w:line="117"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46"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color w:val="auto"/>
        </w:rPr>
        <w:t>On October 6, 2014, the Company priced a follow-on public offering of 3.0 million shares of its common stock at a price of $8.02 per share. The offering raised net proceeds of approximately $23.8 million, net of underwriting discounts and offering expenses.</w:t>
      </w:r>
    </w:p>
    <w:p>
      <w:pPr>
        <w:spacing w:after="0" w:line="73"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Including employees of our Asset Manager Affiliates, we employ an experienced team of 15 investment professionals and 25 total staff members. Dayl W. Pearson, our President and Chief Executive Officer, and one of our directors, has been in the financial services industry for nearly 40 years. During the past 26 years, Mr. Pearson has focused almost exclusively on the middle market and has originated, structured and underwritten over $7 billion of debt and equity securities. R. Jon Corless, our Chief Investment Officer with primary responsibility for the Debt Securities Portfolio, has managed investment portfolios in excess of</w:t>
      </w:r>
    </w:p>
    <w:p>
      <w:pPr>
        <w:spacing w:after="0" w:line="200" w:lineRule="exact"/>
        <w:rPr>
          <w:sz w:val="20"/>
          <w:szCs w:val="20"/>
          <w:color w:val="auto"/>
        </w:rPr>
      </w:pPr>
    </w:p>
    <w:p>
      <w:pPr>
        <w:spacing w:after="0" w:line="29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39"/>
        <w:spacing w:after="0" w:line="288" w:lineRule="auto"/>
        <w:rPr>
          <w:sz w:val="20"/>
          <w:szCs w:val="20"/>
          <w:color w:val="auto"/>
        </w:rPr>
      </w:pPr>
      <w:r>
        <w:rPr>
          <w:rFonts w:ascii="Arial" w:cs="Arial" w:eastAsia="Arial" w:hAnsi="Arial"/>
          <w:sz w:val="16"/>
          <w:szCs w:val="16"/>
          <w:color w:val="auto"/>
        </w:rPr>
        <w:t>$4 billion at several institutions and has been responsible for managing portfolios of leveraged loans, high-yield bonds, mezzanine securities and middle market loans. Dominick J. Mazzitelli is the President and portfolio manager of the Asset Manager Affiliates. He has over 20 years of experience within the credit markets, with most of his career focused on the leveraged finance markets.</w:t>
      </w:r>
    </w:p>
    <w:p>
      <w:pPr>
        <w:jc w:val="both"/>
        <w:ind w:left="40" w:right="939"/>
        <w:spacing w:after="0" w:line="255" w:lineRule="auto"/>
        <w:rPr>
          <w:sz w:val="20"/>
          <w:szCs w:val="20"/>
          <w:color w:val="auto"/>
        </w:rPr>
      </w:pPr>
      <w:r>
        <w:rPr>
          <w:rFonts w:ascii="Arial" w:cs="Arial" w:eastAsia="Arial" w:hAnsi="Arial"/>
          <w:sz w:val="18"/>
          <w:szCs w:val="18"/>
          <w:color w:val="auto"/>
        </w:rPr>
        <w:t>Edward U. Gilpin, our Chief Financial Officer, Secretary and Treasurer, has been in financial services for over 30 years, with significant experience in overseeing the financial operations and reporting for asset management businesses, including the fair value accounting of CLO securities owned by them.</w:t>
      </w:r>
    </w:p>
    <w:p>
      <w:pPr>
        <w:spacing w:after="0" w:line="82"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 xml:space="preserve">Under the investment company rules and regulations pursuant to Article 6 of Regulation S-X and the Financial Standards Board Accounting Standards Codification 946,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xml:space="preserve"> (ASC 946), we are precluded from consolidating portfolio company investments, including those in which we have a controlling interest, unless the portfolio company is another investment company. An exception to this general principle in ASC 946 occurs if we own a controlled operating company that provides all or substantially all of its services directly to us, or to an investment company of ours. Other than KCAP Funding, Kohlberg Capital Funding I LLC, KCAP Senior Funding I Holdings LLC and KCAP Senior Funding I LLC, none of the investments made by us qualify for this exception. Therefore, our portfolio investments, including our investments in the Asset Manager Affiliates, are carried on the balance sheet at fair value with any adjustments to fair value recognized as “Net Change in Unrealized Appreciation (Depreciation)” in our statement of operations until the investment is exited, at which point any gain or loss on exit is reclassified and recognized as a “Net Realized Gain (Loss) from Investments.”</w:t>
      </w:r>
    </w:p>
    <w:p>
      <w:pPr>
        <w:spacing w:after="0" w:line="70"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Our common stock is traded on The NASDAQ Global Select Market under the symbol “KCAP.” The net asset value per share of our common stock at December 31, 2016 was $5.24. On December 31, 2016, the last reported sale price of a share of our common stock on The NASDAQ Global Select Market was $3.98. In addition, our 7.375% notes due 2019 (“7.375% Notes Due 2019”) are traded on the New York Stock Exchange under the symbol “KAP.” The last reported price of our 7.375% Notes Due 2019, which have a par value of $25.00, was $25.51.</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Corporate Information</w:t>
      </w:r>
    </w:p>
    <w:p>
      <w:pPr>
        <w:spacing w:after="0" w:line="152" w:lineRule="exact"/>
        <w:rPr>
          <w:sz w:val="20"/>
          <w:szCs w:val="20"/>
          <w:color w:val="auto"/>
        </w:rPr>
      </w:pPr>
    </w:p>
    <w:p>
      <w:pPr>
        <w:ind w:left="40" w:right="619" w:firstLine="270"/>
        <w:spacing w:after="0" w:line="252" w:lineRule="auto"/>
        <w:rPr>
          <w:sz w:val="20"/>
          <w:szCs w:val="20"/>
          <w:color w:val="auto"/>
        </w:rPr>
      </w:pPr>
      <w:r>
        <w:rPr>
          <w:rFonts w:ascii="Arial" w:cs="Arial" w:eastAsia="Arial" w:hAnsi="Arial"/>
          <w:sz w:val="17"/>
          <w:szCs w:val="17"/>
          <w:color w:val="auto"/>
        </w:rPr>
        <w:t>Our principal executive offices are located at 295 Madison Avenue,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and our telephone number is (212) 455-8300. We maintain a website on the Internet at </w:t>
      </w:r>
      <w:r>
        <w:rPr>
          <w:rFonts w:ascii="Arial" w:cs="Arial" w:eastAsia="Arial" w:hAnsi="Arial"/>
          <w:sz w:val="17"/>
          <w:szCs w:val="17"/>
          <w:i w:val="1"/>
          <w:iCs w:val="1"/>
          <w:color w:val="auto"/>
        </w:rPr>
        <w:t>http://www.kcapfinancial.com</w:t>
      </w:r>
      <w:r>
        <w:rPr>
          <w:rFonts w:ascii="Arial" w:cs="Arial" w:eastAsia="Arial" w:hAnsi="Arial"/>
          <w:sz w:val="17"/>
          <w:szCs w:val="17"/>
          <w:color w:val="auto"/>
        </w:rPr>
        <w:t>. The information contained in our website is not incorporated by reference into this Annual Report. We make available on or through our website certain reports and amendments to those reports that we file with or furnish to the SEC in accordance with the Securities Exchange Act of 1934 (the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Our investment portfolio generates investment income, which is generally used to pay principal and interest on our borrowings, operating expenses, and to fund our distributions to our stockholders. Our investment portfolio consists of three primary components: the Debt Securities Portfolio, the CLO Fund Securities and our investment in our wholly owned Asset Manager Affiliates.</w:t>
      </w:r>
    </w:p>
    <w:p>
      <w:pPr>
        <w:spacing w:after="0" w:line="79" w:lineRule="exact"/>
        <w:rPr>
          <w:sz w:val="20"/>
          <w:szCs w:val="20"/>
          <w:color w:val="auto"/>
        </w:rPr>
      </w:pPr>
    </w:p>
    <w:p>
      <w:pPr>
        <w:ind w:left="40" w:right="919" w:firstLine="270"/>
        <w:spacing w:after="0" w:line="259" w:lineRule="auto"/>
        <w:rPr>
          <w:sz w:val="20"/>
          <w:szCs w:val="20"/>
          <w:color w:val="auto"/>
        </w:rPr>
      </w:pPr>
      <w:r>
        <w:rPr>
          <w:rFonts w:ascii="Arial" w:cs="Arial" w:eastAsia="Arial" w:hAnsi="Arial"/>
          <w:sz w:val="18"/>
          <w:szCs w:val="18"/>
          <w:i w:val="1"/>
          <w:iCs w:val="1"/>
          <w:color w:val="auto"/>
        </w:rPr>
        <w:t xml:space="preserve">Debt Securities Portfolio. </w:t>
      </w:r>
      <w:r>
        <w:rPr>
          <w:rFonts w:ascii="Arial" w:cs="Arial" w:eastAsia="Arial" w:hAnsi="Arial"/>
          <w:sz w:val="18"/>
          <w:szCs w:val="18"/>
          <w:color w:val="auto"/>
        </w:rPr>
        <w:t>We target privately-held middle market companies that have strong historical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experienced management teams and identifiable and defendable market positions in industries with positive dynamics. We generally target companies that generate positive cash flows because we look to cash flows as the primary source for servicing debt.</w:t>
      </w:r>
    </w:p>
    <w:p>
      <w:pPr>
        <w:spacing w:after="0" w:line="79"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We employ a disciplined approach in the selection and monitoring of our investments. Generally, we target investments that will generate a current return through interest income to provide for stability in our shareholder distributions and place less reliance on realized capital gains from our investments. Our investment philosophy is focused on preserving capital with an appropriate return profile relative to risk. Our investment due diligence and selection generally focuses on an underlying issuer’s net cash flow after capital expenditures to service its debt rather than on multiples of net income, valuations or other broad benchmarks</w:t>
      </w:r>
    </w:p>
    <w:p>
      <w:pPr>
        <w:spacing w:after="0" w:line="200" w:lineRule="exact"/>
        <w:rPr>
          <w:sz w:val="20"/>
          <w:szCs w:val="20"/>
          <w:color w:val="auto"/>
        </w:rPr>
      </w:pPr>
    </w:p>
    <w:p>
      <w:pPr>
        <w:spacing w:after="0" w:line="29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259"/>
        <w:spacing w:after="0" w:line="342" w:lineRule="auto"/>
        <w:rPr>
          <w:sz w:val="20"/>
          <w:szCs w:val="20"/>
          <w:color w:val="auto"/>
        </w:rPr>
      </w:pPr>
      <w:r>
        <w:rPr>
          <w:rFonts w:ascii="Arial" w:cs="Arial" w:eastAsia="Arial" w:hAnsi="Arial"/>
          <w:sz w:val="16"/>
          <w:szCs w:val="16"/>
          <w:color w:val="auto"/>
        </w:rPr>
        <w:t>which frequently miss the nuances of an issuer’s business and prospective financial performance. We also generally avoid concentrations in any one industry or issuer. We manage risk by following our internal credit policies and procedures.</w:t>
      </w:r>
    </w:p>
    <w:p>
      <w:pPr>
        <w:spacing w:after="0" w:line="16" w:lineRule="exact"/>
        <w:rPr>
          <w:sz w:val="20"/>
          <w:szCs w:val="20"/>
          <w:color w:val="auto"/>
        </w:rPr>
      </w:pPr>
    </w:p>
    <w:p>
      <w:pPr>
        <w:ind w:left="40" w:right="639" w:firstLine="270"/>
        <w:spacing w:after="0" w:line="268" w:lineRule="auto"/>
        <w:rPr>
          <w:sz w:val="20"/>
          <w:szCs w:val="20"/>
          <w:color w:val="auto"/>
        </w:rPr>
      </w:pPr>
      <w:r>
        <w:rPr>
          <w:rFonts w:ascii="Arial" w:cs="Arial" w:eastAsia="Arial" w:hAnsi="Arial"/>
          <w:sz w:val="17"/>
          <w:szCs w:val="17"/>
          <w:color w:val="auto"/>
        </w:rPr>
        <w:t>When we extend senior and junior secured term loans, we will generally take a security interest in the available assets of the portfolio company, including the equity interests of its subsidiaries, which we expect to help mitigate the risk that we will not be repaid. Nonetheless, there is a possibility that our lien could be subordinated to claims of other creditors. Structurally, mezzanine debt ranks subordinate in priority of payment to senior term loans and is often unsecured. Relative to equity, mezzanine debt ranks senior to common and preferred equity in a borrower’s capital structure. Typically, mezzanine debt has elements of both debt and equity instruments, offering the fixed returns in the form of interest payments associated with a loan, while providing an opportunity to participate in the capital appreciation of a borrower, if any, through an equity interest that is typically in the form of equity purchased at the time the mezzanine loan is originated or warrants to purchase equity at a future date at a fixed cost. Mezzanine debt generally earns a higher return than senior secured debt due to its higher risk profile and usually less restrictive covenants. The warrants associated with mezzanine debt are typically detachable, which allows lenders to receive repayment of their principal on an agreed amortization schedule while retaining an equity interest in the borrower. Mezzanine debt also may include a “put” feature, which permits the holder to sell its equity interest back to the borrower at a price determined through an agreed formula.</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summary attributes for our Debt Securities Portfolio as of and for the year ended December 31, 2016:</w:t>
      </w:r>
    </w:p>
    <w:p>
      <w:pPr>
        <w:spacing w:after="0" w:line="117" w:lineRule="exact"/>
        <w:rPr>
          <w:sz w:val="20"/>
          <w:szCs w:val="20"/>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represented approximately 65% of total investment portfolio;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contained credit instruments issued by corporate borrowers;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primarily comprised of senior secured and junior secured loans (84% and 15% of Debt Securities Portfolio, respectively);</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spread across 27 different industries and 82 different entities;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par balance per investment of approximately $3.1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issuers were current on their debt service obligations;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weighted average interest rate of 7.0% on income producing debt investments.</w:t>
      </w:r>
    </w:p>
    <w:p>
      <w:pPr>
        <w:spacing w:after="0" w:line="11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Our investments generally average between $1 million to $20 million, although particular investments may be larger or smaller. The size of individual investments will vary according to their priority in a company’s capital structure, with larger investments in more secure positions in an effort to maximize capital preservation. The size of our investments and maturity dates may vary as follows:</w:t>
      </w:r>
    </w:p>
    <w:p>
      <w:pPr>
        <w:spacing w:after="0" w:line="79" w:lineRule="exact"/>
        <w:rPr>
          <w:sz w:val="20"/>
          <w:szCs w:val="20"/>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senior secured term loans from $2 to $20 million maturing in five to seven years;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lien term loans from $5 to $15 million maturing in six to eight years;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senior unsecured loans from $5 to $23 million maturing in six to eight years;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mezzanine loans from $5 to $15 million maturing in seven to ten years;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 investments from $1 to $5 million.</w:t>
      </w:r>
    </w:p>
    <w:p>
      <w:pPr>
        <w:spacing w:after="0" w:line="117" w:lineRule="exact"/>
        <w:rPr>
          <w:sz w:val="20"/>
          <w:szCs w:val="20"/>
          <w:color w:val="auto"/>
        </w:rPr>
      </w:pPr>
    </w:p>
    <w:p>
      <w:pPr>
        <w:ind w:left="40" w:right="619" w:firstLine="270"/>
        <w:spacing w:after="0" w:line="273" w:lineRule="auto"/>
        <w:rPr>
          <w:sz w:val="20"/>
          <w:szCs w:val="20"/>
          <w:color w:val="auto"/>
        </w:rPr>
      </w:pPr>
      <w:r>
        <w:rPr>
          <w:rFonts w:ascii="Arial" w:cs="Arial" w:eastAsia="Arial" w:hAnsi="Arial"/>
          <w:sz w:val="17"/>
          <w:szCs w:val="17"/>
          <w:i w:val="1"/>
          <w:iCs w:val="1"/>
          <w:color w:val="auto"/>
        </w:rPr>
        <w:t xml:space="preserve">Asset Manager Affiliates. </w:t>
      </w:r>
      <w:r>
        <w:rPr>
          <w:rFonts w:ascii="Arial" w:cs="Arial" w:eastAsia="Arial" w:hAnsi="Arial"/>
          <w:sz w:val="17"/>
          <w:szCs w:val="17"/>
          <w:color w:val="auto"/>
        </w:rPr>
        <w:t>We expect to receive recurring cash distributions and seek to generate capital appreciation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 our Asset Manager Affiliates. We may also seek to monetize our investment the Asset Manager Affiliates if and when business conditions warrant. As a manager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provided a first loss guaranty in connection with loan warehouse arrangements for their future CLO Funds.</w:t>
      </w:r>
    </w:p>
    <w:p>
      <w:pPr>
        <w:spacing w:after="0" w:line="200" w:lineRule="exact"/>
        <w:rPr>
          <w:sz w:val="20"/>
          <w:szCs w:val="20"/>
          <w:color w:val="auto"/>
        </w:rPr>
      </w:pPr>
    </w:p>
    <w:p>
      <w:pPr>
        <w:spacing w:after="0" w:line="3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The periodic management fees that our Asset Manager Affiliates receive are generally based on a fixed percentage of the par value of assets under management and are recurring in nature for the term of the CLO Fund, so long as the Asset Manager Affiliate manages the fund. As a result, the management fees earned by our Asset Manager Affiliates are not subject to market value fluctuations in the underlying collateral. The management fees that our Asset Manager Affiliates receive generally have three contractual components: a senior management fee, a subordinated management fee and the possibility of an incentive management fee if certain conditions are met. Currently, all CLO Funds managed by the Asset Manager Affiliates are paying both their senior and subordinated management fees on a current basis. During 2016, two CLO Funds have achieved the minimum investment return threshold and our Asset Manager Affiliates received incentive fees from those CLO Funds.</w:t>
      </w:r>
    </w:p>
    <w:p>
      <w:pPr>
        <w:spacing w:after="0" w:line="58"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Subject to the conditions of the capital markets, we expect to continue to make investments in CLO Funds managed by our Asset Manager Affiliates, which we believe will provide us with a current cash investment return. We believe that these investments will provide our Asset Manager Affiliates with greater opportunities to access new sources of capital, which will ultimately increase our Asset Manager Affiliates’ assets under management and resulting management fee income. See “Item 1A. Risk Factors” for a discussion of the risks relating to our ability to access the capital markets and the impact of certain risk retention rules which require that we or our Asset Manager Affiliates make and maintain certain minimum investments in CLO Funds managed by the Asset Manager Affiliates.</w:t>
      </w:r>
    </w:p>
    <w:p>
      <w:pPr>
        <w:spacing w:after="0" w:line="81" w:lineRule="exact"/>
        <w:rPr>
          <w:sz w:val="20"/>
          <w:szCs w:val="20"/>
          <w:color w:val="auto"/>
        </w:rPr>
      </w:pPr>
    </w:p>
    <w:p>
      <w:pPr>
        <w:ind w:left="40" w:right="639" w:firstLine="270"/>
        <w:spacing w:after="0" w:line="293" w:lineRule="auto"/>
        <w:rPr>
          <w:sz w:val="20"/>
          <w:szCs w:val="20"/>
          <w:color w:val="auto"/>
        </w:rPr>
      </w:pPr>
      <w:r>
        <w:rPr>
          <w:rFonts w:ascii="Arial" w:cs="Arial" w:eastAsia="Arial" w:hAnsi="Arial"/>
          <w:sz w:val="16"/>
          <w:szCs w:val="16"/>
          <w:color w:val="auto"/>
        </w:rPr>
        <w:t>The after-tax net free cash flow that our Asset Manager Affiliates generate through the fees they receive for managing CLO Funds and after paying their expenses pursuant to an overhead allocation agreement with the Company associated with their operations, including compensation of their employees, may be distributed to us. Distributions from our Asset Manager Affiliates’ tax basis earnings and profits are recorded as “Dividends From Asset Manager Affiliates” in our financial statements when declared. From time to time our Asset Manager Affiliates may distribute cash in excess of tax basis earnings and profits. This excess is deemed a return of capital (“ROC”) and is recorded in “unrealized gains (losses)” on the statement of operations.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summary attributes for our Asset Manager Affiliates, as of and for the year ended December 31, 2016:</w:t>
      </w:r>
    </w:p>
    <w:p>
      <w:pPr>
        <w:spacing w:after="0" w:line="117" w:lineRule="exact"/>
        <w:rPr>
          <w:sz w:val="20"/>
          <w:szCs w:val="20"/>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represented approximately 11% of total investment portfolio;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had approximately $3.0 billion par value of assets under management;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 contractual and recurring asset management fees based on par value of managed investments;</w:t>
      </w:r>
    </w:p>
    <w:p>
      <w:pPr>
        <w:spacing w:after="0" w:line="117"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receive an incentive management fee from a CLO Fund, provided that the CLO Fund achieves a minimum designated return on investment. In 2016, two such funds paid incentive fees to our Asset Manager Affiliates;</w:t>
      </w:r>
    </w:p>
    <w:p>
      <w:pPr>
        <w:spacing w:after="0" w:line="62" w:lineRule="exact"/>
        <w:rPr>
          <w:rFonts w:ascii="Arial" w:cs="Arial" w:eastAsia="Arial" w:hAnsi="Arial"/>
          <w:sz w:val="18"/>
          <w:szCs w:val="18"/>
          <w:color w:val="auto"/>
        </w:rPr>
      </w:pPr>
    </w:p>
    <w:p>
      <w:pPr>
        <w:ind w:left="600" w:right="1359"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distributions paid by our Asset Manager Affiliates are an additional source of cash to pay our distributions to our stockholders and service our debt obligations; and</w:t>
      </w:r>
    </w:p>
    <w:p>
      <w:pPr>
        <w:spacing w:after="0" w:line="62" w:lineRule="exact"/>
        <w:rPr>
          <w:rFonts w:ascii="Arial" w:cs="Arial" w:eastAsia="Arial" w:hAnsi="Arial"/>
          <w:sz w:val="18"/>
          <w:szCs w:val="18"/>
          <w:color w:val="auto"/>
        </w:rPr>
      </w:pPr>
    </w:p>
    <w:p>
      <w:pPr>
        <w:ind w:left="600" w:right="599" w:hanging="322"/>
        <w:spacing w:after="0" w:line="342"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year ended December 31, 2016, we received cash distributions of approximately $2.7 million, of which $1.4 million was recognized as investment income from our Asset Manager Affiliates and the remaining amount as a return of capital.</w:t>
      </w:r>
    </w:p>
    <w:p>
      <w:pPr>
        <w:spacing w:after="0" w:line="16"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i w:val="1"/>
          <w:iCs w:val="1"/>
          <w:color w:val="auto"/>
        </w:rPr>
        <w:t xml:space="preserve">CLO Fund Securities. </w:t>
      </w:r>
      <w:r>
        <w:rPr>
          <w:rFonts w:ascii="Arial" w:cs="Arial" w:eastAsia="Arial" w:hAnsi="Arial"/>
          <w:sz w:val="16"/>
          <w:szCs w:val="16"/>
          <w:color w:val="auto"/>
        </w:rPr>
        <w:t>Subject to the conditions of the capital markets, we expect to continue to make investments in the CLO</w:t>
      </w:r>
      <w:r>
        <w:rPr>
          <w:rFonts w:ascii="Arial" w:cs="Arial" w:eastAsia="Arial" w:hAnsi="Arial"/>
          <w:sz w:val="16"/>
          <w:szCs w:val="16"/>
          <w:i w:val="1"/>
          <w:iCs w:val="1"/>
          <w:color w:val="auto"/>
        </w:rPr>
        <w:t xml:space="preserve"> </w:t>
      </w:r>
      <w:r>
        <w:rPr>
          <w:rFonts w:ascii="Arial" w:cs="Arial" w:eastAsia="Arial" w:hAnsi="Arial"/>
          <w:sz w:val="16"/>
          <w:szCs w:val="16"/>
          <w:color w:val="auto"/>
        </w:rPr>
        <w:t>Funds managed by our Asset Manager Affiliates, which we believe will provide us with a current cash investment return. We believe that these investments will provide our Asset Manager Affiliates with greater opportunities to access new sources of capital which will ultimately increase our Asset Manager Affiliates’ assets under management and resulting management fee income.</w:t>
      </w:r>
    </w:p>
    <w:p>
      <w:pPr>
        <w:spacing w:after="0" w:line="200" w:lineRule="exact"/>
        <w:rPr>
          <w:sz w:val="20"/>
          <w:szCs w:val="20"/>
          <w:color w:val="auto"/>
        </w:rPr>
      </w:pPr>
    </w:p>
    <w:p>
      <w:pPr>
        <w:spacing w:after="0" w:line="29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Below are summary attributes for our CLO Fund Securities, as of and for the year-ended December 31, 2016, unless otherwise specified:</w:t>
      </w:r>
    </w:p>
    <w:p>
      <w:pPr>
        <w:spacing w:after="0" w:line="62"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 Fund Securities represented approximately 15% of total investment portfolio at December 31, 2016;</w:t>
      </w:r>
    </w:p>
    <w:p>
      <w:pPr>
        <w:spacing w:after="0" w:line="117" w:lineRule="exact"/>
        <w:rPr>
          <w:rFonts w:ascii="Arial" w:cs="Arial" w:eastAsia="Arial" w:hAnsi="Arial"/>
          <w:sz w:val="18"/>
          <w:szCs w:val="18"/>
          <w:color w:val="auto"/>
        </w:rPr>
      </w:pPr>
    </w:p>
    <w:p>
      <w:pPr>
        <w:ind w:left="600" w:right="89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98% of CLO Fund Securities Portfolio represented investments in subordinated securities or equity securities issued by CLO Funds and 2% of CLO Fund Securities Portfolio was a rated note;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CLO Funds invested primarily in credit instruments issued by corporate borrowers;</w:t>
      </w:r>
    </w:p>
    <w:p>
      <w:pPr>
        <w:spacing w:after="0" w:line="117" w:lineRule="exact"/>
        <w:rPr>
          <w:rFonts w:ascii="Arial" w:cs="Arial" w:eastAsia="Arial" w:hAnsi="Arial"/>
          <w:sz w:val="18"/>
          <w:szCs w:val="18"/>
          <w:color w:val="auto"/>
        </w:rPr>
      </w:pPr>
    </w:p>
    <w:p>
      <w:pPr>
        <w:ind w:left="600" w:right="1639" w:hanging="322"/>
        <w:spacing w:after="0" w:line="342"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GAAP-basis investment income of $13.3 million; cash distributions received of approximately $15.4 million (approximately $14.1 million taxable distributable income, $1.3 million tax return of capital to KCAP).</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Structure and Process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Structure</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We are an internally managed BDC with 25 full-time employees (inclusive of employees of our Asset Manager Affiliates). The following are our key functional teams that execute our business strategy:</w:t>
      </w:r>
    </w:p>
    <w:p>
      <w:pPr>
        <w:spacing w:after="0" w:line="62" w:lineRule="exact"/>
        <w:rPr>
          <w:sz w:val="20"/>
          <w:szCs w:val="20"/>
          <w:color w:val="auto"/>
        </w:rPr>
      </w:pPr>
    </w:p>
    <w:p>
      <w:pPr>
        <w:ind w:left="600" w:right="659" w:hanging="322"/>
        <w:spacing w:after="0" w:line="342"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BDC investment team consists of 7 professionals who originate, structure, and invest in senior secured term loans, mezzanine debt and selected equity securities primarily in privately-held middle market companies as well as CLO Funds.</w:t>
      </w:r>
    </w:p>
    <w:p>
      <w:pPr>
        <w:spacing w:after="0" w:line="15" w:lineRule="exact"/>
        <w:rPr>
          <w:rFonts w:ascii="Arial" w:cs="Arial" w:eastAsia="Arial" w:hAnsi="Arial"/>
          <w:sz w:val="16"/>
          <w:szCs w:val="16"/>
          <w:color w:val="auto"/>
        </w:rPr>
      </w:pPr>
    </w:p>
    <w:p>
      <w:pPr>
        <w:ind w:left="600" w:right="67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Asset Manager Affiliates team consists of 8 professionals who structure, purchase and manage portfolios of primarily broadly syndicated corporate senior debt for CLOs.</w:t>
      </w:r>
    </w:p>
    <w:p>
      <w:pPr>
        <w:spacing w:after="0" w:line="62" w:lineRule="exact"/>
        <w:rPr>
          <w:rFonts w:ascii="Arial" w:cs="Arial" w:eastAsia="Arial" w:hAnsi="Arial"/>
          <w:sz w:val="18"/>
          <w:szCs w:val="18"/>
          <w:color w:val="auto"/>
        </w:rPr>
      </w:pPr>
    </w:p>
    <w:p>
      <w:pPr>
        <w:ind w:left="600" w:right="97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remainder of the employees include senior management, operations, financial accounting, compliance and human resource personnel.</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Process</w:t>
      </w:r>
    </w:p>
    <w:p>
      <w:pPr>
        <w:spacing w:after="0" w:line="117"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KCAP will review potential investment opportunities and conduct due diligence that will typically include a review of historical and prospective financial information, participation in a presentation held by the prospective portfolio company’s management and/or the transaction sponsor, a review of the prospective portfolio company’s product or service, an analysis and understanding of the drivers of the particular industry in which the prospective portfolio company operates, and an assessment of the debt service capabilities of the prospective portfolio company under a variety of assumed forecast scenarios.</w:t>
      </w:r>
    </w:p>
    <w:p>
      <w:pPr>
        <w:spacing w:after="0" w:line="50" w:lineRule="exact"/>
        <w:rPr>
          <w:sz w:val="20"/>
          <w:szCs w:val="20"/>
          <w:color w:val="auto"/>
        </w:rPr>
      </w:pPr>
    </w:p>
    <w:p>
      <w:pPr>
        <w:ind w:left="40" w:right="879" w:firstLine="270"/>
        <w:spacing w:after="0" w:line="312" w:lineRule="auto"/>
        <w:rPr>
          <w:sz w:val="20"/>
          <w:szCs w:val="20"/>
          <w:color w:val="auto"/>
        </w:rPr>
      </w:pPr>
      <w:r>
        <w:rPr>
          <w:rFonts w:ascii="Arial" w:cs="Arial" w:eastAsia="Arial" w:hAnsi="Arial"/>
          <w:sz w:val="16"/>
          <w:szCs w:val="16"/>
          <w:color w:val="auto"/>
        </w:rPr>
        <w:t>Due to our ability to source transactions through multiple channels, we expect to continue to maintain a pipeline of opportunities to allow comparative risk return analysis and selectivity. By focusing on the drivers of revenue and cash flow, we develop our own underwriting cases, and multiple stress and event specific case scenarios for each company analyzed.</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focus on lending and investing opportunities in:</w:t>
      </w:r>
    </w:p>
    <w:p>
      <w:pPr>
        <w:spacing w:after="0" w:line="117" w:lineRule="exact"/>
        <w:rPr>
          <w:sz w:val="20"/>
          <w:szCs w:val="20"/>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companies with EBITDA of $10 to $50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companies with financing needs of $25 to $150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companies purchased by well-regarded private equity sponsors;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non-sponsored companies with successful management and systems;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high-yield bonds and broadly syndicated loans to larger companies on a selective basis; and</w:t>
      </w:r>
    </w:p>
    <w:p>
      <w:pPr>
        <w:spacing w:after="0" w:line="117" w:lineRule="exact"/>
        <w:rPr>
          <w:rFonts w:ascii="Arial" w:cs="Arial" w:eastAsia="Arial" w:hAnsi="Arial"/>
          <w:sz w:val="18"/>
          <w:szCs w:val="18"/>
          <w:color w:val="auto"/>
        </w:rPr>
      </w:pPr>
    </w:p>
    <w:p>
      <w:pPr>
        <w:ind w:left="320" w:right="2499" w:hanging="42"/>
        <w:spacing w:after="0" w:line="375" w:lineRule="auto"/>
        <w:tabs>
          <w:tab w:leader="none" w:pos="6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equity co-investment in companies where we see substantial opportunity for capital appreciation. We expect to continue to source investment opportunities from:</w:t>
      </w:r>
    </w:p>
    <w:p>
      <w:pPr>
        <w:spacing w:after="0" w:line="1"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 equity sponsors;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investment banks for non-sponsored companies;</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middle market lenders with whom we can participate in loans;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Asset Manager Affiliates, with regard to high-yield bonds and syndicated loans.</w:t>
      </w:r>
    </w:p>
    <w:p>
      <w:pPr>
        <w:spacing w:after="0" w:line="117"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In our experience, good credit judgment is based on a thorough understanding of both the qualitative and quantitative factors that determine a company’s performance. Our analysis begins with an understanding of the fundamentals of the industry in which a company operates, including the current economic environment and the outlook for the industry. We also focus on the company’s relative position within the industry and its historical ability to weather economic cycles. Other key qualitative factors include the experience and depth of the management team and the financial sponsor, if any.</w:t>
      </w:r>
    </w:p>
    <w:p>
      <w:pPr>
        <w:spacing w:after="0" w:line="64"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Only after we have a comprehensive understanding of the qualitative factors do we focus on quantitative metrics. We believe that with the context provided by the qualitative analysis, we can gain a better understanding of a company’s financial performance. We analyze a potential portfolio company’s sales growth and margins in the context of its competition as well as its ability to manage its working capital requirements and its ability to generate consistent cash flow. Based upon this historical analysis, we develop a set of projections which represents a reasonable underwriting case of most likely outcomes for the company over the period of our investment. We also look at potential downside cases to determine a company’s ability to service its debt in a stressed credit environment.</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Elements of the </w:t>
      </w:r>
      <w:r>
        <w:rPr>
          <w:rFonts w:ascii="Arial" w:cs="Arial" w:eastAsia="Arial" w:hAnsi="Arial"/>
          <w:sz w:val="18"/>
          <w:szCs w:val="18"/>
          <w:i w:val="1"/>
          <w:iCs w:val="1"/>
          <w:color w:val="auto"/>
        </w:rPr>
        <w:t>qualitative analysis</w:t>
      </w:r>
      <w:r>
        <w:rPr>
          <w:rFonts w:ascii="Arial" w:cs="Arial" w:eastAsia="Arial" w:hAnsi="Arial"/>
          <w:sz w:val="18"/>
          <w:szCs w:val="18"/>
          <w:color w:val="auto"/>
        </w:rPr>
        <w:t xml:space="preserve"> we use in evaluating investment opportunities include the following:</w:t>
      </w:r>
    </w:p>
    <w:p>
      <w:pPr>
        <w:spacing w:after="0" w:line="117" w:lineRule="exact"/>
        <w:rPr>
          <w:sz w:val="20"/>
          <w:szCs w:val="20"/>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fundamentals;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position and market share;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past ability to work through historical down-cycles;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financial and technology infrastructure;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sourcing risks and opportunities;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and union strategy;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risk;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diversity of customer base and product lines;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financial sponsor (if applicable);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and integration history.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Elements of the </w:t>
      </w:r>
      <w:r>
        <w:rPr>
          <w:rFonts w:ascii="Arial" w:cs="Arial" w:eastAsia="Arial" w:hAnsi="Arial"/>
          <w:sz w:val="18"/>
          <w:szCs w:val="18"/>
          <w:i w:val="1"/>
          <w:iCs w:val="1"/>
          <w:color w:val="auto"/>
        </w:rPr>
        <w:t>quantitative analysis</w:t>
      </w:r>
      <w:r>
        <w:rPr>
          <w:rFonts w:ascii="Arial" w:cs="Arial" w:eastAsia="Arial" w:hAnsi="Arial"/>
          <w:sz w:val="18"/>
          <w:szCs w:val="18"/>
          <w:color w:val="auto"/>
        </w:rPr>
        <w:t xml:space="preserve"> we use in evaluating investment opportunities include the following:</w:t>
      </w:r>
    </w:p>
    <w:p>
      <w:pPr>
        <w:spacing w:after="0" w:line="117" w:lineRule="exact"/>
        <w:rPr>
          <w:sz w:val="20"/>
          <w:szCs w:val="20"/>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statement analysis of growth and margin trends;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 analysis of capital expenditures and free cash flow;</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ratio and market share standing among comparable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projections: underwriting versus stress case;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 specific credit modeling;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profile trend;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capital expenditure needs and asset sale plans;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downside protection to limit losses in an event of default;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adjusted returns and relative value analysis;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enterprise and asset valuations.</w:t>
      </w:r>
    </w:p>
    <w:p>
      <w:pPr>
        <w:spacing w:after="0" w:line="117" w:lineRule="exact"/>
        <w:rPr>
          <w:sz w:val="20"/>
          <w:szCs w:val="20"/>
          <w:color w:val="auto"/>
        </w:rPr>
      </w:pPr>
    </w:p>
    <w:p>
      <w:pPr>
        <w:ind w:left="40" w:right="819" w:firstLine="270"/>
        <w:spacing w:after="0" w:line="277" w:lineRule="auto"/>
        <w:rPr>
          <w:sz w:val="20"/>
          <w:szCs w:val="20"/>
          <w:color w:val="auto"/>
        </w:rPr>
      </w:pPr>
      <w:r>
        <w:rPr>
          <w:rFonts w:ascii="Arial" w:cs="Arial" w:eastAsia="Arial" w:hAnsi="Arial"/>
          <w:sz w:val="18"/>
          <w:szCs w:val="18"/>
          <w:color w:val="auto"/>
        </w:rPr>
        <w:t>The origination, structuring and credit approval processes are fully integrated. Our credit team is directly involved in all due diligence and analysis prior to the formal credit approval process by the Investment Committee.</w:t>
      </w: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Committee</w:t>
      </w:r>
    </w:p>
    <w:p>
      <w:pPr>
        <w:spacing w:after="0" w:line="117" w:lineRule="exact"/>
        <w:rPr>
          <w:sz w:val="20"/>
          <w:szCs w:val="20"/>
          <w:color w:val="auto"/>
        </w:rPr>
      </w:pPr>
    </w:p>
    <w:p>
      <w:pPr>
        <w:ind w:left="40" w:right="699" w:firstLine="270"/>
        <w:spacing w:after="0" w:line="264" w:lineRule="auto"/>
        <w:rPr>
          <w:sz w:val="20"/>
          <w:szCs w:val="20"/>
          <w:color w:val="auto"/>
        </w:rPr>
      </w:pPr>
      <w:r>
        <w:rPr>
          <w:rFonts w:ascii="Arial" w:cs="Arial" w:eastAsia="Arial" w:hAnsi="Arial"/>
          <w:sz w:val="18"/>
          <w:szCs w:val="18"/>
          <w:color w:val="auto"/>
        </w:rPr>
        <w:t>The Investment Committee consists of the Chairman of the Board of Directors, the Chief Executive Officer, the Chief Investment Officer, and an additional member of the Board of Directors. The Investment Committee serves to provide investment consistency and adherence to our core investment philosophy and policies.</w:t>
      </w:r>
    </w:p>
    <w:p>
      <w:pPr>
        <w:spacing w:after="0" w:line="73"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Upon completion of the due diligence investigation, the underwriting team of investment professionals/analysts will prepare a credit underwriting memorandum that will summarize the contemplated transaction, present the investment highlights, analyze the risk in the transaction and mitigating factors to those risks, analyze the prospective portfolio’s historical financial statements, financial projections, industry and management team, and will then present this memorandum with its recommendations to the Investment Committee for review and approval.</w:t>
      </w:r>
    </w:p>
    <w:p>
      <w:pPr>
        <w:spacing w:after="0" w:line="80" w:lineRule="exact"/>
        <w:rPr>
          <w:sz w:val="20"/>
          <w:szCs w:val="20"/>
          <w:color w:val="auto"/>
        </w:rPr>
      </w:pPr>
    </w:p>
    <w:p>
      <w:pPr>
        <w:ind w:left="40" w:right="1119" w:firstLine="270"/>
        <w:spacing w:after="0" w:line="308" w:lineRule="auto"/>
        <w:rPr>
          <w:sz w:val="20"/>
          <w:szCs w:val="20"/>
          <w:color w:val="auto"/>
        </w:rPr>
      </w:pPr>
      <w:r>
        <w:rPr>
          <w:rFonts w:ascii="Arial" w:cs="Arial" w:eastAsia="Arial" w:hAnsi="Arial"/>
          <w:sz w:val="17"/>
          <w:szCs w:val="17"/>
          <w:color w:val="auto"/>
        </w:rPr>
        <w:t>The approval of a majority of the Investment Committee is required for all investments of less than $15 million, and the unanimous approval of the Investment Committee is required for investments of $15 million or greater.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Monitoring</w:t>
      </w:r>
    </w:p>
    <w:p>
      <w:pPr>
        <w:spacing w:after="0" w:line="121"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Our management team has significant experience monitoring credit portfolios. Along with origination and credit analysis, portfolio management is one of the key elements of our business. Most of our investments will not be liquid and, therefore, we must prepare to act quickly if potential issues arise so that we can work closely with management and the private equity sponsor, if applicable, of the portfolio company to take any necessary remedial action. In addition, most of our senior management team, including the credit team at the Asset Manager Affiliates, has substantial workout and restructuring experience.</w:t>
      </w:r>
    </w:p>
    <w:p>
      <w:pPr>
        <w:spacing w:after="0" w:line="50"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In order to assist us in detecting issues with our Debt Securities Portfolio companies as early as possible, we perform a financial analysis at least quarterly on each portfolio company. This analysis typically includes:</w:t>
      </w:r>
    </w:p>
    <w:p>
      <w:pPr>
        <w:spacing w:after="0" w:line="62" w:lineRule="exact"/>
        <w:rPr>
          <w:sz w:val="20"/>
          <w:szCs w:val="20"/>
          <w:color w:val="auto"/>
        </w:rPr>
      </w:pPr>
    </w:p>
    <w:p>
      <w:pPr>
        <w:ind w:left="600" w:hanging="32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summary of the portfolio company’s current total credit exposure as well as the KCAP portion of this exposure.</w:t>
      </w:r>
    </w:p>
    <w:p>
      <w:pPr>
        <w:spacing w:after="0" w:line="128" w:lineRule="exact"/>
        <w:rPr>
          <w:rFonts w:ascii="Arial" w:cs="Arial" w:eastAsia="Arial" w:hAnsi="Arial"/>
          <w:sz w:val="17"/>
          <w:szCs w:val="17"/>
          <w:color w:val="auto"/>
        </w:rPr>
      </w:pPr>
    </w:p>
    <w:p>
      <w:pPr>
        <w:ind w:left="600" w:right="619" w:hanging="322"/>
        <w:spacing w:after="0" w:line="26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summary and update of the portfolio company’s financial condition and performance, including but not limited to, performance versus plan, deterioration/improvement in market position, or industry fundamentals, management changes or additions, and ongoing business strategy.</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Reaffirmation of, or proposal to change, the risk rating of the underlying investment.</w:t>
      </w:r>
    </w:p>
    <w:p>
      <w:pPr>
        <w:spacing w:after="0" w:line="117" w:lineRule="exact"/>
        <w:rPr>
          <w:rFonts w:ascii="Arial" w:cs="Arial" w:eastAsia="Arial" w:hAnsi="Arial"/>
          <w:sz w:val="18"/>
          <w:szCs w:val="18"/>
          <w:color w:val="auto"/>
        </w:rPr>
      </w:pPr>
    </w:p>
    <w:p>
      <w:pPr>
        <w:ind w:left="600" w:right="57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summary of the portfolio company’s financial covenant results vis a vis financial covenant levels established in the credit agreement.</w:t>
      </w:r>
    </w:p>
    <w:p>
      <w:pPr>
        <w:spacing w:after="0" w:line="62" w:lineRule="exact"/>
        <w:rPr>
          <w:sz w:val="20"/>
          <w:szCs w:val="20"/>
          <w:color w:val="auto"/>
        </w:rPr>
      </w:pPr>
    </w:p>
    <w:p>
      <w:pPr>
        <w:ind w:left="40" w:right="1439" w:firstLine="270"/>
        <w:spacing w:after="0" w:line="399" w:lineRule="auto"/>
        <w:rPr>
          <w:sz w:val="20"/>
          <w:szCs w:val="20"/>
          <w:color w:val="auto"/>
        </w:rPr>
      </w:pPr>
      <w:r>
        <w:rPr>
          <w:rFonts w:ascii="Arial" w:cs="Arial" w:eastAsia="Arial" w:hAnsi="Arial"/>
          <w:sz w:val="18"/>
          <w:szCs w:val="18"/>
          <w:color w:val="auto"/>
        </w:rPr>
        <w:t xml:space="preserve">Watch list credits are followed closely and discussed periodically with the Chief Investment Officer, as appropriate. </w:t>
      </w:r>
      <w:r>
        <w:rPr>
          <w:rFonts w:ascii="Arial" w:cs="Arial" w:eastAsia="Arial" w:hAnsi="Arial"/>
          <w:sz w:val="18"/>
          <w:szCs w:val="18"/>
          <w:b w:val="1"/>
          <w:bCs w:val="1"/>
          <w:color w:val="auto"/>
        </w:rPr>
        <w:t>DETERMINATION OF NET ASSET VALUE</w:t>
      </w:r>
    </w:p>
    <w:p>
      <w:pPr>
        <w:spacing w:after="0" w:line="1"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We determine the net asset value per share of our common stock quarterly. The net asset value per share is equal to the value of our total assets minus liabilities and any preferred stock outstanding divided by the total number of shares of common stock outstanding.</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99" w:firstLine="270"/>
        <w:spacing w:after="0" w:line="312" w:lineRule="auto"/>
        <w:rPr>
          <w:sz w:val="20"/>
          <w:szCs w:val="20"/>
          <w:color w:val="auto"/>
        </w:rPr>
      </w:pPr>
      <w:r>
        <w:rPr>
          <w:rFonts w:ascii="Arial" w:cs="Arial" w:eastAsia="Arial" w:hAnsi="Arial"/>
          <w:sz w:val="16"/>
          <w:szCs w:val="16"/>
          <w:color w:val="auto"/>
        </w:rPr>
        <w:t>Our net asset value per share was $5.24 and $5.82 as of December 31, 2016 and December 31, 2015, respectively. Since we report our assets at fair value for each reporting period, net asset value also represents the amount of stockholders’ equity per share for the reporting period. Our net asset value is comprised mostly of investment assets less debt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3500" w:type="dxa"/>
            <w:vAlign w:val="bottom"/>
            <w:gridSpan w:val="3"/>
            <w:vMerge w:val="restart"/>
          </w:tcPr>
          <w:p>
            <w:pPr>
              <w:ind w:left="20"/>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line="19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2"/>
                <w:szCs w:val="22"/>
                <w:b w:val="1"/>
                <w:bCs w:val="1"/>
                <w:color w:val="auto"/>
                <w:vertAlign w:val="superscript"/>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40"/>
              <w:spacing w:after="0" w:line="197"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22"/>
                <w:szCs w:val="22"/>
                <w:b w:val="1"/>
                <w:bCs w:val="1"/>
                <w:color w:val="auto"/>
                <w:vertAlign w:val="superscript"/>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line="19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2"/>
                <w:szCs w:val="22"/>
                <w:b w:val="1"/>
                <w:bCs w:val="1"/>
                <w:color w:val="auto"/>
                <w:vertAlign w:val="superscript"/>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line="197"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10"/>
        </w:trPr>
        <w:tc>
          <w:tcPr>
            <w:tcW w:w="35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4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w w:val="97"/>
              </w:rPr>
              <w:t>Investments in money market accounts</w:t>
            </w:r>
            <w:r>
              <w:rPr>
                <w:rFonts w:ascii="Arial" w:cs="Arial" w:eastAsia="Arial" w:hAnsi="Arial"/>
                <w:sz w:val="29"/>
                <w:szCs w:val="29"/>
                <w:color w:val="auto"/>
                <w:w w:val="97"/>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28,699,269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2,129,381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Investments in debt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238,343,330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284,639,244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in CLO Fund Securities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54,174,350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55,872,382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Investments in equity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5,056,355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9,548,488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in Asset Manager Affiliates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40,198,000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57,381,000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1,307,257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0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Restricted Cash</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8,528,298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7,138,272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All other assets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5,065,124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4,495,930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381,371,983</w:t>
            </w: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421,204,697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195"/>
        </w:trPr>
        <w:tc>
          <w:tcPr>
            <w:tcW w:w="3500" w:type="dxa"/>
            <w:vAlign w:val="bottom"/>
            <w:tcBorders>
              <w:top w:val="single" w:sz="8" w:color="CCEEFF"/>
            </w:tcBorders>
            <w:gridSpan w:val="3"/>
          </w:tcPr>
          <w:p>
            <w:pPr>
              <w:ind w:left="20"/>
              <w:spacing w:after="0" w:line="195" w:lineRule="exact"/>
              <w:rPr>
                <w:sz w:val="20"/>
                <w:szCs w:val="20"/>
                <w:color w:val="auto"/>
              </w:rPr>
            </w:pPr>
            <w:r>
              <w:rPr>
                <w:rFonts w:ascii="Arial" w:cs="Arial" w:eastAsia="Arial" w:hAnsi="Arial"/>
                <w:sz w:val="18"/>
                <w:szCs w:val="18"/>
                <w:color w:val="auto"/>
                <w:w w:val="94"/>
              </w:rPr>
              <w:t>Notes payable – KCAP Senior Funding I, LLC</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(net of discount and offering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142,604,419</w:t>
            </w:r>
          </w:p>
        </w:tc>
        <w:tc>
          <w:tcPr>
            <w:tcW w:w="6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141,316,396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3"/>
              </w:rPr>
              <w:t>7.375% Notes Due 2019 (net of offering costs)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32,980,151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40,509,656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Convertible Notes (net of offering costs)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19,277,709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Payable for open trades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7,884,943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2,977,545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4,000,466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186,447,058</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205,104,227</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NET ASSET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194,924,925</w:t>
            </w:r>
          </w:p>
        </w:tc>
        <w:tc>
          <w:tcPr>
            <w:tcW w:w="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216,100,470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-1362710</wp:posOffset>
            </wp:positionV>
            <wp:extent cx="521398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right="619" w:hanging="272"/>
        <w:spacing w:after="0" w:line="25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balance sheet at fair value and resultant net asset value are calculated on a basis consistent with accounting principles generally accepted in the United States of America (“GAAP”). Our per share presentation of such amounts (other than net asset value per share) is an internally derived non-GAAP performance measure calculated by dividing the applicable balance sheet amount by outstanding shares. We believe that the per share amounts for such balance sheet items are helpful in analyzing our balance sheet both quantitatively and qualitatively.</w:t>
      </w:r>
    </w:p>
    <w:p>
      <w:pPr>
        <w:spacing w:after="0" w:line="80" w:lineRule="exact"/>
        <w:rPr>
          <w:rFonts w:ascii="Arial" w:cs="Arial" w:eastAsia="Arial" w:hAnsi="Arial"/>
          <w:sz w:val="18"/>
          <w:szCs w:val="18"/>
          <w:color w:val="auto"/>
        </w:rPr>
      </w:pPr>
    </w:p>
    <w:p>
      <w:pPr>
        <w:ind w:left="300" w:hanging="27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117" w:lineRule="exact"/>
        <w:rPr>
          <w:rFonts w:ascii="Arial" w:cs="Arial" w:eastAsia="Arial" w:hAnsi="Arial"/>
          <w:sz w:val="18"/>
          <w:szCs w:val="18"/>
          <w:color w:val="auto"/>
        </w:rPr>
      </w:pPr>
    </w:p>
    <w:p>
      <w:pPr>
        <w:ind w:left="300" w:right="819" w:hanging="272"/>
        <w:spacing w:after="0" w:line="27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cash held for quarterly interest and principal payments to the holders of notes issued by KCAP Senior Funding I, LLC, our wholly owned subsidiary.</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Valuation</w:t>
      </w:r>
    </w:p>
    <w:p>
      <w:pPr>
        <w:spacing w:after="0" w:line="121" w:lineRule="exact"/>
        <w:rPr>
          <w:sz w:val="20"/>
          <w:szCs w:val="20"/>
          <w:color w:val="auto"/>
        </w:rPr>
      </w:pPr>
    </w:p>
    <w:p>
      <w:pPr>
        <w:ind w:left="60" w:right="599" w:firstLine="270"/>
        <w:spacing w:after="0" w:line="287" w:lineRule="auto"/>
        <w:rPr>
          <w:sz w:val="20"/>
          <w:szCs w:val="20"/>
          <w:color w:val="auto"/>
        </w:rPr>
      </w:pPr>
      <w:r>
        <w:rPr>
          <w:rFonts w:ascii="Arial" w:cs="Arial" w:eastAsia="Arial" w:hAnsi="Arial"/>
          <w:sz w:val="16"/>
          <w:szCs w:val="16"/>
          <w:color w:val="auto"/>
        </w:rPr>
        <w:t>As a BDC, we invest primarily in illiquid securities, including loans to and warrants of private companies and interests in other illiquid securities, such as interests in CLO Fund Securities. These portfolio investments may be subject to restrictions on resale and will generally have no established trading market. As a result, our Board of Directors determines in good faith the fair value of our portfolio investments pursuant to a valuation policy developed in accordance with the Financial Accounting Standards Board Accounting Standards Codification 820, Fair Value Measurements and Disclosures (“ASC 820: Fair Value”), and a valuation process approved by our Board of Directors and in accordance with the 1940 Act. Our valuation policy is intended to provide a consistent basis for determining the fair value of the portfolio. Our Board of Directors is ultimately and solely responsible for making a good faith determination of the fair value of portfolio investments on a quarterly basis. The Company uses an independent valuation firm to provide third party valuation consulting services to the Company and the Board of Directors. For additional information concerning valuation, see “Item 7: Management’s Discussion and Analysis of Financial Condition and Results of Operations — Valuation of Portfolio Investments”; and Notes 2 and 4 to the financial statements.</w:t>
      </w:r>
    </w:p>
    <w:p>
      <w:pPr>
        <w:spacing w:after="0" w:line="200" w:lineRule="exact"/>
        <w:rPr>
          <w:sz w:val="20"/>
          <w:szCs w:val="20"/>
          <w:color w:val="auto"/>
        </w:rPr>
      </w:pPr>
    </w:p>
    <w:p>
      <w:pPr>
        <w:spacing w:after="0" w:line="31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0" w:right="579" w:firstLine="270"/>
        <w:spacing w:after="0" w:line="285" w:lineRule="auto"/>
        <w:rPr>
          <w:sz w:val="20"/>
          <w:szCs w:val="20"/>
          <w:color w:val="auto"/>
        </w:rPr>
      </w:pPr>
      <w:r>
        <w:rPr>
          <w:rFonts w:ascii="Arial" w:cs="Arial" w:eastAsia="Arial" w:hAnsi="Arial"/>
          <w:sz w:val="16"/>
          <w:szCs w:val="16"/>
          <w:color w:val="auto"/>
        </w:rPr>
        <w:t>Our primary competitors also provide financing to prospective portfolio companies. These include commercial banks, specialty finance companies, hedge funds, structured investment funds, other BDCs and investment banks. Our competitors may have a lower cost of funds, and many have access to funding sources that are not available to us. Many of these entities have greater managerial resources than we have, and the 1940 Act imposes certain regulatory restrictions on us as a BDC to which many of our competitors are not subject. For additional information concerning the competitive risks we face, see “Item 1A. Risk</w:t>
      </w:r>
    </w:p>
    <w:p>
      <w:pPr>
        <w:spacing w:after="0" w:line="2" w:lineRule="exact"/>
        <w:rPr>
          <w:sz w:val="20"/>
          <w:szCs w:val="20"/>
          <w:color w:val="auto"/>
        </w:rPr>
      </w:pPr>
    </w:p>
    <w:p>
      <w:pPr>
        <w:ind w:left="40" w:right="1619"/>
        <w:spacing w:after="0" w:line="261" w:lineRule="auto"/>
        <w:rPr>
          <w:sz w:val="20"/>
          <w:szCs w:val="20"/>
          <w:color w:val="auto"/>
        </w:rPr>
      </w:pPr>
      <w:r>
        <w:rPr>
          <w:rFonts w:ascii="Arial" w:cs="Arial" w:eastAsia="Arial" w:hAnsi="Arial"/>
          <w:sz w:val="18"/>
          <w:szCs w:val="18"/>
          <w:color w:val="auto"/>
        </w:rPr>
        <w:t>Factors — Risks Related to Our Business and Structure — We operate in a highly competitive market for investment opportunities.”</w:t>
      </w:r>
    </w:p>
    <w:p>
      <w:pPr>
        <w:spacing w:after="0" w:line="76"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believe that we provide a unique combination of an experienced middle market loan origination and a CLO management platform at the Asset Manager Affiliates that includes experienced lenders with broad industry expertise. We believe that this combination of resources provides us with a thorough credit process and multiple sources of investment opportunities that make us attractive within our market.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color w:val="auto"/>
        </w:rPr>
        <w:t>As of December 31, 2016, we and our Asset Manager Affiliates had 25 employees, including an experienced team of 15 investment professionals.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discussion is a general summary of some of the material prohibitions and restrictions governing BDCs generally.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 does not purport to be a complete description of all the laws and regulations affecting BDCs.</w:t>
      </w:r>
    </w:p>
    <w:p>
      <w:pPr>
        <w:spacing w:after="0" w:line="103"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A BDC is a unique kind of investment company that primarily focuses on investing in or lending to private or relatively small publicly traded companies and making managerial assistance available to them. The 1940 Act contains prohibitions and restrictions relating to transactions between BDCs and their directors and officers and certain other related persons and requires that a majority of the directors be persons other than “interested persons,” as that term is defined in the 1940 Act. We have implemented certain procedures to ensure that we do not engage in any prohibited transactions with any persons affiliated with us.</w:t>
      </w:r>
    </w:p>
    <w:p>
      <w:pPr>
        <w:spacing w:after="0" w:line="50"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 or more of such company’s shares present at a meeting or represented by proxy if more than 50% of the outstanding shares of such company are present or represented by proxy or (ii) more than 50% of the outstanding shares of such company.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jc w:val="both"/>
        <w:ind w:left="40" w:right="759" w:firstLine="270"/>
        <w:spacing w:after="0" w:line="286" w:lineRule="auto"/>
        <w:rPr>
          <w:sz w:val="20"/>
          <w:szCs w:val="20"/>
          <w:color w:val="auto"/>
        </w:rPr>
      </w:pPr>
      <w:r>
        <w:rPr>
          <w:rFonts w:ascii="Arial" w:cs="Arial" w:eastAsia="Arial" w:hAnsi="Arial"/>
          <w:sz w:val="17"/>
          <w:szCs w:val="17"/>
          <w:color w:val="auto"/>
        </w:rPr>
        <w:t>Under the 1940 Act, a BDC may not acquire any asset other than assets of the type listed in Section 55(a) of the 1940 Act, or “Qualifying Assets,” unless, at the time the acquisition is made, Qualifying Assets represent at least 70% of the company’s total assets. The principal categories of Qualifying Assets relevant to our business are the following:</w:t>
      </w:r>
    </w:p>
    <w:p>
      <w:pPr>
        <w:spacing w:after="0" w:line="57" w:lineRule="exact"/>
        <w:rPr>
          <w:sz w:val="20"/>
          <w:szCs w:val="20"/>
          <w:color w:val="auto"/>
        </w:rPr>
      </w:pPr>
    </w:p>
    <w:p>
      <w:pPr>
        <w:ind w:left="600" w:right="95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in transactions not involving any public offering. An “eligible portfolio company” is defined in the 1940 Act as any issuer which:</w:t>
      </w:r>
    </w:p>
    <w:p>
      <w:pPr>
        <w:spacing w:after="0" w:line="62" w:lineRule="exact"/>
        <w:rPr>
          <w:rFonts w:ascii="Arial" w:cs="Arial" w:eastAsia="Arial" w:hAnsi="Arial"/>
          <w:sz w:val="18"/>
          <w:szCs w:val="18"/>
          <w:color w:val="auto"/>
        </w:rPr>
      </w:pPr>
    </w:p>
    <w:p>
      <w:pPr>
        <w:ind w:left="820" w:hanging="272"/>
        <w:spacing w:after="0"/>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ind w:left="820" w:right="1159" w:hanging="272"/>
        <w:spacing w:after="0" w:line="308" w:lineRule="auto"/>
        <w:tabs>
          <w:tab w:leader="none" w:pos="8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is not an investment company (other than a small business investment company wholly-owned by the BDC) or a company that would be an investment company but for certain exclusions under the 1940 Act; and</w:t>
      </w:r>
    </w:p>
    <w:p>
      <w:pPr>
        <w:spacing w:after="0" w:line="38" w:lineRule="exact"/>
        <w:rPr>
          <w:rFonts w:ascii="Arial" w:cs="Arial" w:eastAsia="Arial" w:hAnsi="Arial"/>
          <w:sz w:val="17"/>
          <w:szCs w:val="17"/>
          <w:color w:val="auto"/>
        </w:rPr>
      </w:pPr>
    </w:p>
    <w:p>
      <w:pPr>
        <w:ind w:left="820" w:hanging="272"/>
        <w:spacing w:after="0"/>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080" w:right="539" w:hanging="262"/>
        <w:spacing w:after="0" w:line="264" w:lineRule="auto"/>
        <w:tabs>
          <w:tab w:leader="none" w:pos="10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(or, if it has a class of securities listed on a national securities exchange, has an aggregate market value of outstanding voting and non-voting common equity of less than $250 million);</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080" w:right="919" w:hanging="26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w:t>
      </w:r>
    </w:p>
    <w:p>
      <w:pPr>
        <w:spacing w:after="0" w:line="62" w:lineRule="exact"/>
        <w:rPr>
          <w:sz w:val="20"/>
          <w:szCs w:val="20"/>
          <w:color w:val="auto"/>
        </w:rPr>
      </w:pPr>
    </w:p>
    <w:p>
      <w:pPr>
        <w:ind w:left="1080" w:right="859" w:hanging="269"/>
        <w:spacing w:after="0" w:line="277" w:lineRule="auto"/>
        <w:rPr>
          <w:sz w:val="20"/>
          <w:szCs w:val="20"/>
          <w:color w:val="auto"/>
        </w:rPr>
      </w:pPr>
      <w:r>
        <w:rPr>
          <w:rFonts w:ascii="Arial" w:cs="Arial" w:eastAsia="Arial" w:hAnsi="Arial"/>
          <w:sz w:val="18"/>
          <w:szCs w:val="18"/>
          <w:color w:val="auto"/>
        </w:rPr>
        <w:t>(iii)is a small and solvent company having total assets of not more than $4 million and capital and surplus of not less than $2 million; or</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(iv)does not have outstanding any class of securities with respect to which a broker or dealer may extend margin credit.</w:t>
      </w:r>
    </w:p>
    <w:p>
      <w:pPr>
        <w:spacing w:after="0" w:line="140" w:lineRule="exact"/>
        <w:rPr>
          <w:sz w:val="20"/>
          <w:szCs w:val="20"/>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17"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and is in bankruptcy and subject to reorganization;</w:t>
      </w:r>
    </w:p>
    <w:p>
      <w:pPr>
        <w:spacing w:after="0" w:line="62" w:lineRule="exact"/>
        <w:rPr>
          <w:rFonts w:ascii="Arial" w:cs="Arial" w:eastAsia="Arial" w:hAnsi="Arial"/>
          <w:sz w:val="18"/>
          <w:szCs w:val="18"/>
          <w:color w:val="auto"/>
        </w:rPr>
      </w:pPr>
    </w:p>
    <w:p>
      <w:pPr>
        <w:ind w:left="600" w:right="111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conversion of warrants or rights relating to such securities; and</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Managerial Assistance</w:t>
      </w:r>
    </w:p>
    <w:p>
      <w:pPr>
        <w:spacing w:after="0" w:line="121" w:lineRule="exact"/>
        <w:rPr>
          <w:sz w:val="20"/>
          <w:szCs w:val="20"/>
          <w:color w:val="auto"/>
        </w:rPr>
      </w:pPr>
    </w:p>
    <w:p>
      <w:pPr>
        <w:ind w:left="40" w:right="619" w:firstLine="270"/>
        <w:spacing w:after="0" w:line="289" w:lineRule="auto"/>
        <w:rPr>
          <w:sz w:val="20"/>
          <w:szCs w:val="20"/>
          <w:color w:val="auto"/>
        </w:rPr>
      </w:pPr>
      <w:r>
        <w:rPr>
          <w:rFonts w:ascii="Arial" w:cs="Arial" w:eastAsia="Arial" w:hAnsi="Arial"/>
          <w:sz w:val="16"/>
          <w:szCs w:val="16"/>
          <w:color w:val="auto"/>
        </w:rPr>
        <w:t>A BDC must be organized and have its principal place of business in the United States and must be operated for the purpose of making investments in the types of securities described above. In addition, BDCs must generally offer to make available to such issuer of the securities (other than small and solvent companies described above) significant managerial assistance; except that, where we purchase such securities in conjunction with one or more other persons acting together, one of the other persons is the group may make available such managerial assistance. Making available significant managerial assistance means, among other things, any arrangement whereby the BDC, through its directors, officers or employees, offers to provide, and, if accepted, does so provide, guidance and counsel concerning the management, operations or business objectives and policies of a portfolio company through monitoring of portfolio company operations, selective participation in board and management meetings, consulting with and advising a portfolio company’s officers or other organizational or financial guidance.</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 quality debt securities maturing in one year or less from the time of investment, which we refer to, collectively, as temporary investments, so that at least 70% of our assets are “Qualifying Assets.” Typically, we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 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that are treated, under applicable tax rules, as being issued by a single counterparty, we would not meet the diversification tests imposed on us by the Code to qualify for tax treatment as a RIC for U.S. federal income tax purposes. Thus, we do not intend to enter into repurchase agreements treated as issued, under applicable tax rules, by a single counterparty in excess of this limit. We monitor the creditworthiness of the counterparties with which we enter into repurchase agreement transactions.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Indebtedness; Coverage Ratio</w:t>
      </w:r>
    </w:p>
    <w:p>
      <w:pPr>
        <w:spacing w:after="0" w:line="121"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We may also borrow amounts up to 5% of the value of our total assets for temporary purposes.</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59" w:lineRule="auto"/>
        <w:rPr>
          <w:sz w:val="20"/>
          <w:szCs w:val="20"/>
          <w:color w:val="auto"/>
        </w:rPr>
      </w:pPr>
      <w:r>
        <w:rPr>
          <w:rFonts w:ascii="Arial" w:cs="Arial" w:eastAsia="Arial" w:hAnsi="Arial"/>
          <w:sz w:val="18"/>
          <w:szCs w:val="18"/>
          <w:color w:val="auto"/>
        </w:rPr>
        <w:t>For a discussion of the risks associated with the resulting leverage, see “Item 1A. Risk Factors — Risks Related to Our Business and Structure — We borrow money, which magnifies the potential for gain or loss on amounts invested and may increase the risk of investing in us.” As of December 31, 2016, our asset coverage ratio was 205%, above the minimum required asset coverage level of 200%.</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0" w:right="619" w:firstLine="270"/>
        <w:spacing w:after="0" w:line="290" w:lineRule="auto"/>
        <w:rPr>
          <w:sz w:val="20"/>
          <w:szCs w:val="20"/>
          <w:color w:val="auto"/>
        </w:rPr>
      </w:pPr>
      <w:r>
        <w:rPr>
          <w:rFonts w:ascii="Arial" w:cs="Arial" w:eastAsia="Arial" w:hAnsi="Arial"/>
          <w:sz w:val="16"/>
          <w:szCs w:val="16"/>
          <w:color w:val="auto"/>
        </w:rPr>
        <w:t>We are not generally able to issue and sell our common stock at a price below net asset value per share. We may, however, sell our common stock, at a price below the current net asset value of the common stock if our Board of Directors determines that such sale is in our best interests and that of our stockholders, and our stockholders approve such sale. In any such case, the price at which our common stock is to be issued and sold may not be less than a price which, in the determination of our Board of Directors, closely approximates the market value of such common stock (less any distributing commission or discount). We may also make rights offerings to our stockholders at prices per share less than the net asset value per share, subject to applicable requirements of the 1940 Act. See “Item 1A. Risk Factors — Risks Relating to Our Business and Structure — Regulations governing our operation as a BDC affect our ability to, and the way in which we, raise additional capital.”</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40" w:right="659" w:firstLine="270"/>
        <w:spacing w:after="0" w:line="289" w:lineRule="auto"/>
        <w:rPr>
          <w:sz w:val="20"/>
          <w:szCs w:val="20"/>
          <w:color w:val="auto"/>
        </w:rPr>
      </w:pPr>
      <w:r>
        <w:rPr>
          <w:rFonts w:ascii="Arial" w:cs="Arial" w:eastAsia="Arial" w:hAnsi="Arial"/>
          <w:sz w:val="16"/>
          <w:szCs w:val="16"/>
          <w:color w:val="auto"/>
        </w:rPr>
        <w:t xml:space="preserve">We adopted and maintain a code of ethics pursuant to Rule 17j-1 under the 1940 Act that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 A copy of the code of ethics is available on the Corporate Governance section of the Company’s website at </w:t>
      </w:r>
      <w:r>
        <w:rPr>
          <w:rFonts w:ascii="Arial" w:cs="Arial" w:eastAsia="Arial" w:hAnsi="Arial"/>
          <w:sz w:val="16"/>
          <w:szCs w:val="16"/>
          <w:i w:val="1"/>
          <w:iCs w:val="1"/>
          <w:color w:val="auto"/>
        </w:rPr>
        <w:t>http://www.kcapfinancial.com</w:t>
      </w:r>
      <w:r>
        <w:rPr>
          <w:rFonts w:ascii="Arial" w:cs="Arial" w:eastAsia="Arial" w:hAnsi="Arial"/>
          <w:sz w:val="16"/>
          <w:szCs w:val="16"/>
          <w:color w:val="auto"/>
        </w:rPr>
        <w:t xml:space="preserve">. Our code of ethics may also be reviewed and copied at the Public Reference Room of the SEC at 100 F Street, N.E., Washington, D.C. 20549. You may obtain information on the operation of the Public Reference Room by calling the SEC at 1-800-SEC-0330. Copies of the code of ethics may be obtained, after paying a duplicating fee, by electronic request at the following e-mail address: </w:t>
      </w:r>
      <w:r>
        <w:rPr>
          <w:rFonts w:ascii="Arial" w:cs="Arial" w:eastAsia="Arial" w:hAnsi="Arial"/>
          <w:sz w:val="16"/>
          <w:szCs w:val="16"/>
          <w:i w:val="1"/>
          <w:iCs w:val="1"/>
          <w:color w:val="auto"/>
        </w:rPr>
        <w:t>publicinfo@sec.gov</w:t>
      </w:r>
      <w:r>
        <w:rPr>
          <w:rFonts w:ascii="Arial" w:cs="Arial" w:eastAsia="Arial" w:hAnsi="Arial"/>
          <w:sz w:val="16"/>
          <w:szCs w:val="16"/>
          <w:color w:val="auto"/>
        </w:rPr>
        <w:t xml:space="preserve">, or by writing the SEC’s Public Reference Section, Washington, D.C. 20549-0102. In addition, our code of ethics is available on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jc w:val="both"/>
        <w:ind w:left="40" w:right="679" w:firstLine="270"/>
        <w:spacing w:after="0" w:line="264" w:lineRule="auto"/>
        <w:rPr>
          <w:sz w:val="20"/>
          <w:szCs w:val="20"/>
          <w:color w:val="auto"/>
        </w:rPr>
      </w:pPr>
      <w:r>
        <w:rPr>
          <w:rFonts w:ascii="Arial" w:cs="Arial" w:eastAsia="Arial" w:hAnsi="Arial"/>
          <w:sz w:val="18"/>
          <w:szCs w:val="18"/>
          <w:color w:val="auto"/>
        </w:rPr>
        <w:t>We are committed to maintaining the privacy of our stockholders and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left="40" w:right="919" w:firstLine="270"/>
        <w:spacing w:after="0" w:line="259"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some non-public personal information of our stockholders may become available to us. We do not disclose any non-public personal information about our stockholders or former stockholders to anyone, except as is necessary to service stockholder accounts, such as to a transfer agent, or as otherwise permitted by law.</w:t>
      </w:r>
    </w:p>
    <w:p>
      <w:pPr>
        <w:spacing w:after="0" w:line="79" w:lineRule="exact"/>
        <w:rPr>
          <w:sz w:val="20"/>
          <w:szCs w:val="20"/>
          <w:color w:val="auto"/>
        </w:rPr>
      </w:pPr>
    </w:p>
    <w:p>
      <w:pPr>
        <w:ind w:left="40" w:right="659" w:firstLine="270"/>
        <w:spacing w:after="0" w:line="342" w:lineRule="auto"/>
        <w:rPr>
          <w:sz w:val="20"/>
          <w:szCs w:val="20"/>
          <w:color w:val="auto"/>
        </w:rPr>
      </w:pPr>
      <w:r>
        <w:rPr>
          <w:rFonts w:ascii="Arial" w:cs="Arial" w:eastAsia="Arial" w:hAnsi="Arial"/>
          <w:sz w:val="16"/>
          <w:szCs w:val="16"/>
          <w:color w:val="auto"/>
        </w:rPr>
        <w:t>We restrict access to non-public personal information about our stockholders to our employees with a legitimate business need for the information. We maintain safeguards designed to protect the non-public personal information of our stockholders.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Proxy Voting Policy and Procedures</w:t>
      </w:r>
    </w:p>
    <w:p>
      <w:pPr>
        <w:spacing w:after="0" w:line="121"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Although the securities we hold are not typically voting securities, some of our investments could entitle us to voting rights. If this were to occur we would vote our portfolio securities in the best interest of our stockholders and we would review on a case-by-case basis each proposal submitted to a stockholder vote to determine its impact on the portfolio securities held by us. Although we would generally vote against proposals that we believe may have a negative impact on our portfolio securities, we may vote for such a proposal if we were to believe there exists a compelling long-term reason to do so.</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firstLine="270"/>
        <w:spacing w:after="0" w:line="276" w:lineRule="auto"/>
        <w:rPr>
          <w:sz w:val="20"/>
          <w:szCs w:val="20"/>
          <w:color w:val="auto"/>
        </w:rPr>
      </w:pPr>
      <w:r>
        <w:rPr>
          <w:rFonts w:ascii="Arial" w:cs="Arial" w:eastAsia="Arial" w:hAnsi="Arial"/>
          <w:sz w:val="17"/>
          <w:szCs w:val="17"/>
          <w:color w:val="auto"/>
        </w:rPr>
        <w:t>Our voting decisions would be made by our Investment Committee. To ensure that our vote would not the product of a conflict of interest, we would require that (1) anyone involved in the decision making process disclose to our Chief Compliance Officer any potential conflict that he or she is aware of and any contact that he or she has had with any interested party regarding a vote; and (2) employees involved in the decision making process or vote administration are prohibited from revealing how we intend to vote on a proposal to reduce any attempted influence from interested parties.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periodically examined by the SEC for compliance with the 1940 Act.</w:t>
      </w:r>
    </w:p>
    <w:p>
      <w:pPr>
        <w:spacing w:after="0" w:line="117"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are required to provide and maintain a bond issued by a reputable fidelity insurance company to protect us against larceny and embezzlement. Furthermore, as a BDC, we are prohibited from indemnifying any director or officer against any liability to our stockholders arising from willful misfeasance, bad faith, gross negligence or reckless disregard of the duties involved in the conduct of such person’s office.</w:t>
      </w:r>
    </w:p>
    <w:p>
      <w:pPr>
        <w:spacing w:after="0" w:line="79"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are required to adopt and implement written policies and procedures reasonably designed to prevent violation of the federal securities laws and to review these policies and procedures annually for their adequacy and the effectiveness of their implementation. We have a designated Chief Compliance Officer who is responsible for administering these policies and procedures.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TAXATION AS A REGULATED INVESTMENT COMPANY</w:t>
      </w:r>
    </w:p>
    <w:p>
      <w:pPr>
        <w:spacing w:after="0" w:line="121"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We have elected to be treated for U.S. federal income tax purposes as a Regulated Investment Company (“RIC”) under subchapter M of the Internal Revenue Code of 1986, as amended (the “Code”), and intend to operate in a manner to maintain our RIC tax treatment. As a RIC, we generally will not have to pay corporate-level U.S. federal income taxes on any ordinary income or capital gains that we timely distribute to our stockholders as dividends. To qualify as a RIC, we must, among other things, meet certain source-of-income and asset diversification requirements (as described below). In addition, we must distribute to our stockholders, for each taxable year, at least 90% of our “investment company taxable income,” which is generally our net ordinary taxable income plus the excess of our realized net short-term capital gains over our realized net long-term capital losses (the “Annual Distribution Requirement”).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117"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For any taxable year in which we qualify as a RIC and satisfy the Annual Distribution Requirement, we generally will not be subject to U.S. federal income tax on the portion of our investment company taxable income and net capital gain, defined as net long-term capital gains in excess of net short-term capital losses, we distribute to stockholders. We will be subject to U.S. federal income tax at the regular corporate rates on any net ordinary income or net capital gain not distributed (or deemed distributed) to our stockholders.</w:t>
      </w:r>
    </w:p>
    <w:p>
      <w:pPr>
        <w:spacing w:after="0" w:line="80"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We will be subject to a 4% nondeductible U.S. federal excise tax on our undistributed income unless we distribute in a timely manner an amount at least equal to the sum of (a) 98% of our net ordinary income for each calendar year, (b) 98.2% of our capital gain net income for the one-year period ending October 31 in that calendar year and (c) any income or gains realized, but not distributed, in the preceding year and on which we paid no U.S. federal income tax (the “Excise Tax Avoidance Requirement”). For this purpose, however, any net ordinary income or capital gain net income retained by us that is subject to corporate-level U.S. federal income tax for the tax year ending in that calendar year will be considered to have been distributed by year end (or earlier if estimated taxes are paid). Although we generally endeavor to make sufficient distributions each taxable year to satisfy the Excise Tax Avoidance Requirement, we may incur a U.S. federal excise tax.</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qualify as a RIC for U.S. federal income tax purposes, we must, among other things:</w:t>
      </w:r>
    </w:p>
    <w:p>
      <w:pPr>
        <w:spacing w:after="0" w:line="117" w:lineRule="exact"/>
        <w:rPr>
          <w:sz w:val="20"/>
          <w:szCs w:val="20"/>
          <w:color w:val="auto"/>
        </w:rPr>
      </w:pPr>
    </w:p>
    <w:p>
      <w:pPr>
        <w:ind w:left="600" w:hanging="322"/>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qualify to be regulated as a business development company under the 1940 Act at all times during each taxable year;</w:t>
      </w:r>
    </w:p>
    <w:p>
      <w:pPr>
        <w:spacing w:after="0" w:line="128" w:lineRule="exact"/>
        <w:rPr>
          <w:rFonts w:ascii="Arial" w:cs="Arial" w:eastAsia="Arial" w:hAnsi="Arial"/>
          <w:sz w:val="17"/>
          <w:szCs w:val="17"/>
          <w:color w:val="auto"/>
        </w:rPr>
      </w:pPr>
    </w:p>
    <w:p>
      <w:pPr>
        <w:jc w:val="both"/>
        <w:ind w:left="600" w:right="919" w:hanging="322"/>
        <w:spacing w:after="0" w:line="264"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or other income derived with respect to our business of investing in such stock or securities, and net income derived</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0" w:right="599"/>
        <w:spacing w:after="0" w:line="264" w:lineRule="auto"/>
        <w:rPr>
          <w:sz w:val="20"/>
          <w:szCs w:val="20"/>
          <w:color w:val="auto"/>
        </w:rPr>
      </w:pPr>
      <w:r>
        <w:rPr>
          <w:rFonts w:ascii="Arial" w:cs="Arial" w:eastAsia="Arial" w:hAnsi="Arial"/>
          <w:sz w:val="18"/>
          <w:szCs w:val="18"/>
          <w:color w:val="auto"/>
        </w:rPr>
        <w:t>from interests in “qualified publicly traded partnerships” (which generally are partnerships that are traded on an established securities market or tradable on a secondary market, other than partnerships that derive 90% of their income from interest, dividends and other permitted RIC income) (the “90% Income Test”); and</w:t>
      </w:r>
    </w:p>
    <w:p>
      <w:pPr>
        <w:spacing w:after="0" w:line="73" w:lineRule="exact"/>
        <w:rPr>
          <w:sz w:val="20"/>
          <w:szCs w:val="20"/>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17" w:lineRule="exact"/>
        <w:rPr>
          <w:rFonts w:ascii="Arial" w:cs="Arial" w:eastAsia="Arial" w:hAnsi="Arial"/>
          <w:sz w:val="18"/>
          <w:szCs w:val="18"/>
          <w:color w:val="auto"/>
        </w:rPr>
      </w:pPr>
    </w:p>
    <w:p>
      <w:pPr>
        <w:ind w:left="820" w:right="679" w:hanging="272"/>
        <w:spacing w:after="0" w:line="286" w:lineRule="auto"/>
        <w:tabs>
          <w:tab w:leader="none" w:pos="8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7" w:lineRule="exact"/>
        <w:rPr>
          <w:rFonts w:ascii="Arial" w:cs="Arial" w:eastAsia="Arial" w:hAnsi="Arial"/>
          <w:sz w:val="17"/>
          <w:szCs w:val="17"/>
          <w:color w:val="auto"/>
        </w:rPr>
      </w:pPr>
    </w:p>
    <w:p>
      <w:pPr>
        <w:ind w:left="820" w:right="619" w:hanging="272"/>
        <w:spacing w:after="0" w:line="279" w:lineRule="auto"/>
        <w:tabs>
          <w:tab w:leader="none" w:pos="8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the securities of one or more qualified publicly traded partnerships (the “Diversification Tests”).</w:t>
      </w:r>
    </w:p>
    <w:p>
      <w:pPr>
        <w:spacing w:after="0" w:line="63"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If we do not satisfy the requirements of the Diversification Tests as of the end of any quarter, we will not lose our status as RIC provided that (i) we satisfied the requirements in a prior quarter and (ii) our failure to satisfy the requirements in the current quarter is not due in whole or in part to an acquisition of any security or other property.</w:t>
      </w:r>
    </w:p>
    <w:p>
      <w:pPr>
        <w:spacing w:after="0" w:line="73"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We may invest in partnerships, including qualified publicly traded partnerships, which may result in our being subject to state, local or foreign income, franchise or withholding liabilities.</w:t>
      </w:r>
    </w:p>
    <w:p>
      <w:pPr>
        <w:spacing w:after="0" w:line="62"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debt obligations that are treated under applicable tax rules as having original issue discount (such as debt instruments with payment-in-kind (“PIK”) interest or, in certain cases, with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 If we are not able to obtain sufficient cash from other sources to satisfy the Annual Distribution Requirement, we may fail to qualify as a RIC and become subject to corporate-level U.S. federal income taxes on all of our taxable income without the benefit of the dividends-paid deduction.</w:t>
      </w:r>
    </w:p>
    <w:p>
      <w:pPr>
        <w:spacing w:after="0" w:line="70"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Although we do not presently expect to do so, we are authorized to borrow funds and to sell assets in order (i) to satisfy the Annual Distribution Requirement and to otherwise eliminate our liability for U.S. federal income and excise taxes and (ii) to satisfy the Diversification Tests. However, under the 1940 Act, we are not permitted to borrow additional funds or to make distributions to our stockholders while our debt obligations and other senior securities are outstanding unless a certain “asset coverage” test is met. See “Regulation — Indebtedness; Coverage Ratio.” Moreover, our ability to dispose of assets to meet the Annual Distribution Requirement, the Excise Tax Avoidance Requirement or the Diversification Tests may be limited by (a) the illiquid nature of our portfolio and/or (b) other requirements relating to our qualification as a RIC. If we dispose of assets in order to meet the Annual Distribution Requirement, the Excise Tax Avoidance Requirement, or the Diversification Tests, we may make such dispositions at times that, from an investment standpoint, are not advantageous.</w:t>
      </w:r>
    </w:p>
    <w:p>
      <w:pPr>
        <w:spacing w:after="0" w:line="74"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 (a) treat dividends that would otherwise constitute qualified dividend income as non-qualified dividend income, (b) treat dividends that would otherwise be eligible for the corporate dividends received deduction as ineligible for such treatment, (c) disallow, suspend or otherwise limit the allowance of certain losses or deductions, (d) convert lower-taxed long-term capital gain into higher-taxed short-term capital gain or ordinary income, (e) convert an ordinary loss or a deduction into a capital loss (the deductibility of which is more limited), (f) cause us to recognize income or gain without a corresponding receipt of cash, (g) adversely affect the time as to when a purchase or sale of stock or securities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759"/>
        <w:spacing w:after="0" w:line="286" w:lineRule="auto"/>
        <w:rPr>
          <w:sz w:val="20"/>
          <w:szCs w:val="20"/>
          <w:color w:val="auto"/>
        </w:rPr>
      </w:pPr>
      <w:r>
        <w:rPr>
          <w:rFonts w:ascii="Arial" w:cs="Arial" w:eastAsia="Arial" w:hAnsi="Arial"/>
          <w:sz w:val="17"/>
          <w:szCs w:val="17"/>
          <w:color w:val="auto"/>
        </w:rPr>
        <w:t>is deemed to occur, (h) adversely alter the characterization of certain complex financial transactions and (i) produce income that will not be qualifying income for purposes of the 90% Income Test. We intend to monitor our transactions and may make certain tax elections to mitigate the effect of these provisions and prevent our disqualification as a RIC.</w:t>
      </w:r>
    </w:p>
    <w:p>
      <w:pPr>
        <w:spacing w:after="0" w:line="57"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capital gain or loss generally will be long-term or short-term, depending on how long we held a particular warrant.</w:t>
      </w:r>
    </w:p>
    <w:p>
      <w:pPr>
        <w:spacing w:after="0" w:line="73"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Some of the income and fees that we may recognize will not satisfy the 90% Income Test. In order to ensure that such income and fees do not disqualify us as a RIC for a failure to satisfy the 90% Income Test, we may hold assets that generate such income and provide services that generate such fees indirectly through one or more entities treated as corporations for U.S. federal income tax purposes. Such corporations will be required to pay corporate-level U.S. federal income taxes on their earnings, which ultimately will reduce our return on such income and fees.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Failure to Qualify as a Regulated Investment Company</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If we were unable to qualify for treatment as a RIC, we would be subject to tax on all of our taxable income at regular corporate rates, regardless of whether we make any distributions to our stockholders. Distributions would not be required, and any distributions made would be taxable to our stockholders as ordinary dividend income that, subject to certain limitations, may be eligible for the 20.0% maximum rate to the extent of our current and accumulated earnings and profits.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If we fail to qualify as a RIC for a period greater than two taxable years, to qualify as a RIC in a subsequent year we may be subject to regular corporate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40" w:right="559" w:firstLine="270"/>
        <w:spacing w:after="0" w:line="302" w:lineRule="auto"/>
        <w:rPr>
          <w:sz w:val="20"/>
          <w:szCs w:val="20"/>
          <w:color w:val="auto"/>
        </w:rPr>
      </w:pPr>
      <w:r>
        <w:rPr>
          <w:rFonts w:ascii="Arial" w:cs="Arial" w:eastAsia="Arial" w:hAnsi="Arial"/>
          <w:sz w:val="16"/>
          <w:szCs w:val="16"/>
          <w:color w:val="auto"/>
        </w:rPr>
        <w:t>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w:t>
      </w:r>
    </w:p>
    <w:p>
      <w:pPr>
        <w:spacing w:after="0" w:line="46" w:lineRule="exact"/>
        <w:rPr>
          <w:sz w:val="20"/>
          <w:szCs w:val="20"/>
          <w:color w:val="auto"/>
        </w:rPr>
      </w:pPr>
    </w:p>
    <w:p>
      <w:pPr>
        <w:ind w:left="40" w:right="619" w:firstLine="270"/>
        <w:spacing w:after="0" w:line="290" w:lineRule="auto"/>
        <w:rPr>
          <w:sz w:val="20"/>
          <w:szCs w:val="20"/>
          <w:color w:val="auto"/>
        </w:rPr>
      </w:pPr>
      <w:r>
        <w:rPr>
          <w:rFonts w:ascii="Arial" w:cs="Arial" w:eastAsia="Arial" w:hAnsi="Arial"/>
          <w:sz w:val="16"/>
          <w:szCs w:val="16"/>
          <w:color w:val="auto"/>
        </w:rPr>
        <w:t>No action is required on the part of a registered stockholder to have such shareholder’s cash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ten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58"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62"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dividend payable to such stockholder by the market price per share of our common stock at the close of regular trading on The NASDAQ Global Select Market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57" w:lineRule="auto"/>
        <w:rPr>
          <w:sz w:val="20"/>
          <w:szCs w:val="20"/>
          <w:color w:val="auto"/>
        </w:rPr>
      </w:pPr>
      <w:r>
        <w:rPr>
          <w:rFonts w:ascii="Arial" w:cs="Arial" w:eastAsia="Arial" w:hAnsi="Arial"/>
          <w:sz w:val="18"/>
          <w:szCs w:val="18"/>
          <w:color w:val="auto"/>
        </w:rPr>
        <w:t>on the dividend payment date. Market price per share on that date will be the closing price for such shares on The NASDAQ Global Select Market or, if no sale is reported for such day, at the average of their reported bid and asked prices. Shares purchased in open market transactions by the plan administrator of the dividend reinvestment plan will be allocated to a stockholder based upon the average purchase price, excluding any brokerage charges or other charges, of all shares of common stock purchased with respect to the distribution.</w:t>
      </w:r>
    </w:p>
    <w:p>
      <w:pPr>
        <w:spacing w:after="0" w:line="80" w:lineRule="exact"/>
        <w:rPr>
          <w:sz w:val="20"/>
          <w:szCs w:val="20"/>
          <w:color w:val="auto"/>
        </w:rPr>
      </w:pPr>
    </w:p>
    <w:p>
      <w:pPr>
        <w:ind w:left="40" w:right="539" w:firstLine="270"/>
        <w:spacing w:after="0" w:line="302"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administrator’s fees under the plan are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46" w:lineRule="exact"/>
        <w:rPr>
          <w:sz w:val="20"/>
          <w:szCs w:val="20"/>
          <w:color w:val="auto"/>
        </w:rPr>
      </w:pPr>
    </w:p>
    <w:p>
      <w:pPr>
        <w:ind w:left="40" w:right="519" w:firstLine="270"/>
        <w:spacing w:after="0" w:line="308" w:lineRule="auto"/>
        <w:rPr>
          <w:sz w:val="20"/>
          <w:szCs w:val="20"/>
          <w:color w:val="auto"/>
        </w:rPr>
      </w:pPr>
      <w:r>
        <w:rPr>
          <w:rFonts w:ascii="Arial" w:cs="Arial" w:eastAsia="Arial" w:hAnsi="Arial"/>
          <w:sz w:val="17"/>
          <w:szCs w:val="17"/>
          <w:color w:val="auto"/>
        </w:rPr>
        <w:t>If your distributions are reinvested, you will be required to pay tax on the distributions in the same manner as if the distributions were received in cash. The taxation of distributions will not be affected by the form in which you receive them.</w:t>
      </w:r>
    </w:p>
    <w:p>
      <w:pPr>
        <w:spacing w:after="0" w:line="38" w:lineRule="exact"/>
        <w:rPr>
          <w:sz w:val="20"/>
          <w:szCs w:val="20"/>
          <w:color w:val="auto"/>
        </w:rPr>
      </w:pPr>
    </w:p>
    <w:p>
      <w:pPr>
        <w:ind w:left="40" w:right="1159" w:firstLine="270"/>
        <w:spacing w:after="0" w:line="286" w:lineRule="auto"/>
        <w:rPr>
          <w:sz w:val="20"/>
          <w:szCs w:val="20"/>
          <w:color w:val="auto"/>
        </w:rPr>
      </w:pPr>
      <w:r>
        <w:rPr>
          <w:rFonts w:ascii="Arial" w:cs="Arial" w:eastAsia="Arial" w:hAnsi="Arial"/>
          <w:sz w:val="17"/>
          <w:szCs w:val="17"/>
          <w:color w:val="auto"/>
        </w:rPr>
        <w:t xml:space="preserve">Participants may terminate their accounts under the plan by notifying the plan administrator via its website at </w:t>
      </w:r>
      <w:r>
        <w:rPr>
          <w:rFonts w:ascii="Arial" w:cs="Arial" w:eastAsia="Arial" w:hAnsi="Arial"/>
          <w:sz w:val="17"/>
          <w:szCs w:val="17"/>
          <w:i w:val="1"/>
          <w:iCs w:val="1"/>
          <w:color w:val="auto"/>
        </w:rPr>
        <w:t>www.amstock.com</w:t>
      </w:r>
      <w:r>
        <w:rPr>
          <w:rFonts w:ascii="Arial" w:cs="Arial" w:eastAsia="Arial" w:hAnsi="Arial"/>
          <w:sz w:val="17"/>
          <w:szCs w:val="17"/>
          <w:color w:val="auto"/>
        </w:rPr>
        <w:t>, by filling out the transaction request form located at bottom of their statement and sending it to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at the address set forth below or by calling the plan administrator at 1-866-668-8564.</w:t>
      </w:r>
    </w:p>
    <w:p>
      <w:pPr>
        <w:spacing w:after="0" w:line="57"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and additional information about the plan may be obtained from, the plan administrator by mail at American Stock Transfer &amp; Trust Company, Attn. Dividend Reinvestment Department, P.O. Box 922, Wall Street Station, New York, NY 10269-0560 or by telephone at 1-866-668-8564.</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i w:val="1"/>
          <w:iCs w:val="1"/>
          <w:color w:val="auto"/>
        </w:rPr>
        <w:t>Investing in our securities involves a high degree of risk. In addition to the other information contained in this annual report on Form 10-K, the following information should be carefully considered before making an investment in our securities.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part or all of your investment.</w:t>
      </w:r>
    </w:p>
    <w:p>
      <w:pPr>
        <w:spacing w:after="0" w:line="17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48" w:lineRule="exact"/>
        <w:rPr>
          <w:sz w:val="20"/>
          <w:szCs w:val="20"/>
          <w:color w:val="auto"/>
        </w:rPr>
      </w:pPr>
    </w:p>
    <w:p>
      <w:pPr>
        <w:ind w:left="40" w:right="1059"/>
        <w:spacing w:after="0" w:line="308" w:lineRule="auto"/>
        <w:rPr>
          <w:sz w:val="20"/>
          <w:szCs w:val="20"/>
          <w:color w:val="auto"/>
        </w:rPr>
      </w:pPr>
      <w:r>
        <w:rPr>
          <w:rFonts w:ascii="Arial" w:cs="Arial" w:eastAsia="Arial" w:hAnsi="Arial"/>
          <w:sz w:val="17"/>
          <w:szCs w:val="17"/>
          <w:b w:val="1"/>
          <w:bCs w:val="1"/>
          <w:i w:val="1"/>
          <w:iCs w:val="1"/>
          <w:color w:val="auto"/>
        </w:rPr>
        <w:t>Economic recessions or downturns may have a material adverse effect on our business, financial condition and results of operations, and could impair the ability of our portfolio companies to repay loans.</w:t>
      </w:r>
    </w:p>
    <w:p>
      <w:pPr>
        <w:spacing w:after="0" w:line="38"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Economic recessions or downturns may result in a prolonged period of market illiquidity which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63"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In the event of economic recessions and downturns, the financial results of middle-market companies, like those in which we invest, will likely experience deterioration, which could ultimately lead to difficulty in meeting debt service requirements and an increase in defaults. Additionally, the end markets for certain of our portfolio companies’ products and services would likely experience negative financial trends. The performances of certain of our portfolio companies have been, and may continue to be, negatively impacted by these economic or other conditions, which may ultimately result in our receipt of a reduced level of interest income from our portfolio companies and/or losses or charge offs related to our investments, and, in turn, may adversely affect distributable income. Further, adverse economic conditions may decrease the value of collateral securing some of our loans and the value of our equity investments. As a result, we may need to modify the payment terms of our investments, including changes in payment-in-kind interest provisions and/or cash interest rates. These factors may result in our receipt of a reduced level of interest income from our portfolio companies and/or losses or charge offs related to our investments, and, in turn, may adversely affect distributable income and have a material adverse effect on our results of operations.</w:t>
      </w:r>
    </w:p>
    <w:p>
      <w:pPr>
        <w:spacing w:after="0" w:line="105" w:lineRule="exact"/>
        <w:rPr>
          <w:sz w:val="20"/>
          <w:szCs w:val="20"/>
          <w:color w:val="auto"/>
        </w:rPr>
      </w:pPr>
    </w:p>
    <w:p>
      <w:pPr>
        <w:ind w:left="40" w:right="619"/>
        <w:spacing w:after="0" w:line="342" w:lineRule="auto"/>
        <w:rPr>
          <w:sz w:val="20"/>
          <w:szCs w:val="20"/>
          <w:color w:val="auto"/>
        </w:rPr>
      </w:pPr>
      <w:r>
        <w:rPr>
          <w:rFonts w:ascii="Arial" w:cs="Arial" w:eastAsia="Arial" w:hAnsi="Arial"/>
          <w:sz w:val="16"/>
          <w:szCs w:val="16"/>
          <w:b w:val="1"/>
          <w:bCs w:val="1"/>
          <w:i w:val="1"/>
          <w:iCs w:val="1"/>
          <w:color w:val="auto"/>
        </w:rPr>
        <w:t>The capital markets may experience periods of disruption and instability. Such market conditions may materially and adversely affect debt and equity capital markets, which may have a negative impact on our business and operations.</w:t>
      </w:r>
    </w:p>
    <w:p>
      <w:pPr>
        <w:spacing w:after="0" w:line="16"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While market conditions have largely recovered from the events of 2008 and 2009, there have been continuing periods of volatility, some lasting longer than others. For example, beginning in the second half of 2015 and continuing into 2016, economic uncertainty and market volatility in China and geopolitical unrest in the Middle East, combined with continued volatility of oil prices, among other factors, have caused disruption in the capital markets, including the markets in which we participate. In addition, the referendum by British voters to exit the European Union (“Brexit”) in June 2016 has led to further disruption and instability in the global markets. The potential impact of the results of the 2016 U.S. Presidential and congressional election and resulting uncertainties regarding possible policies that could be implemented has also led to further disruption and instability in the global markets. There can be no assurance these market conditions will not continue or worsen in the future.</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19" w:firstLine="270"/>
        <w:spacing w:after="0" w:line="286" w:lineRule="auto"/>
        <w:rPr>
          <w:sz w:val="20"/>
          <w:szCs w:val="20"/>
          <w:color w:val="auto"/>
        </w:rPr>
      </w:pPr>
      <w:r>
        <w:rPr>
          <w:rFonts w:ascii="Arial" w:cs="Arial" w:eastAsia="Arial" w:hAnsi="Arial"/>
          <w:sz w:val="17"/>
          <w:szCs w:val="17"/>
          <w:color w:val="auto"/>
        </w:rPr>
        <w:t>Equity capital may be difficult to raise during periods of adverse or volatile market conditions because, subject to some limited exceptions, as a BDC, we are generally not able to issue additional shares of our common stock at a price less than net asset value without first obtaining approval for such issuance from our stockholders and our independent directors.</w:t>
      </w:r>
    </w:p>
    <w:p>
      <w:pPr>
        <w:spacing w:after="0" w:line="57"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Volatility and dislocation in the capital markets can also create a challenging environment in which to raise or access debt capital. The reappearance of market conditions similar to those experienced from 2008 through 2009 for any substantial length of time could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w:t>
      </w:r>
    </w:p>
    <w:p>
      <w:pPr>
        <w:spacing w:after="0" w:line="84"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Significant changes or volatility in the capital markets may also have a negative effect on the valuations of our investments. While most of our investments are not publicly traded, applicable accounting standards require us to assume as part of our valuation process that our investments are sold in a principal market to market participants (even if we plan on holding an investment through its maturity). Significant changes in the capital markets may also affect the pace of our investment activity and the potential for liquidity events involving our investments. Thus, 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could have a material adverse effect on our business, financial condition or results of operations.</w:t>
      </w:r>
    </w:p>
    <w:p>
      <w:pPr>
        <w:spacing w:after="0" w:line="98"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Uncertainty about the financial stability of the United States, China and several countries in the European Union could have a significant adverse effect on our business, financial condition and results of operations.</w:t>
      </w:r>
    </w:p>
    <w:p>
      <w:pPr>
        <w:spacing w:after="0" w:line="62"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Due to federal budget deficit concerns, S&amp;P downgraded the federal government’s credit rating from AAA to AA+ for the first time in history on August 5, 2011. Further, Moody’s and Fitch had warned that they may downgrade the federal government’s credit rating. Further downgrades or warnings by S&amp;P or other rating agencies, and the United States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w:t>
      </w:r>
    </w:p>
    <w:p>
      <w:pPr>
        <w:spacing w:after="0" w:line="70"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In 2010, a financial crisis emerged in Europe, triggered by high budget deficits and rising direct and contingent sovereign debt in Greece, Ireland, Italy, Portugal and Spain, which created concerns about the ability of these nations to continue to service their sovereign debt obligations. While the financial stability of many of such countries has improved significantly, risks resulting from any future debt crisis in Europe or any similar crisis could have a detrimental impact on the global economic recovery, sovereign and non-sovereign debt in these countries and the financial condition of European financial institutions. In July and August 2015, Greece reached agreements with its international creditors for bailouts that provide aid in exchange for austerity terms that had previously been rejected by Greek voters. Market and economic disruptions have affected, and may in the future affect, consumer confidence levels and spending, personal bankruptcy rates, levels of incurrence and default on consumer debt and home prices, among other factors. We cannot assure you that market disruptions in Europe,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In the second quarter of 2015, stock prices in China experienced a significant drop, resulting primarily from continued sell-off of shares trading in Chinese markets. In addition, in August 2015, Chinese authorities sharply devalued China’s currency. Since then, the Chinese capital markets have continued to experience periods of instability. In June 2016, British voters passed a referendum to exit the European Union leading to heightened volatility in global markets and foreign currencies. These market and economic disruptions have affected, and may in the future affect, the U.S. capital markets, which could adversely affect our business, financial condition or results of operations.</w:t>
      </w:r>
    </w:p>
    <w:p>
      <w:pPr>
        <w:spacing w:after="0" w:line="85"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Additionally, the Federal Reserve raised the Federal Funds Rate in December 2015 and again in December 2016, and has announced its intention to continue to raise the federal funds rate over time. These developments, along with the United States government’s credit and deficit concerns, the European sovereign debt crisis and the economic slowdown in China, could cause interest rates and borrowing costs to rise, which may negatively impact our ability to access the debt markets on favorable terms.</w:t>
      </w:r>
    </w:p>
    <w:p>
      <w:pPr>
        <w:spacing w:after="0" w:line="162" w:lineRule="exact"/>
        <w:rPr>
          <w:sz w:val="20"/>
          <w:szCs w:val="20"/>
          <w:color w:val="auto"/>
        </w:rPr>
      </w:pPr>
    </w:p>
    <w:p>
      <w:pPr>
        <w:ind w:left="40" w:right="3579" w:firstLine="3008"/>
        <w:spacing w:after="0" w:line="443" w:lineRule="auto"/>
        <w:rPr>
          <w:sz w:val="20"/>
          <w:szCs w:val="20"/>
          <w:color w:val="auto"/>
        </w:rPr>
      </w:pPr>
      <w:r>
        <w:rPr>
          <w:rFonts w:ascii="Arial" w:cs="Arial" w:eastAsia="Arial" w:hAnsi="Arial"/>
          <w:sz w:val="16"/>
          <w:szCs w:val="16"/>
          <w:b w:val="1"/>
          <w:bCs w:val="1"/>
          <w:color w:val="auto"/>
        </w:rPr>
        <w:t xml:space="preserve">Risks Related to Our Business and Structure </w:t>
      </w:r>
      <w:r>
        <w:rPr>
          <w:rFonts w:ascii="Arial" w:cs="Arial" w:eastAsia="Arial" w:hAnsi="Arial"/>
          <w:sz w:val="16"/>
          <w:szCs w:val="16"/>
          <w:b w:val="1"/>
          <w:bCs w:val="1"/>
          <w:i w:val="1"/>
          <w:iCs w:val="1"/>
          <w:color w:val="auto"/>
        </w:rPr>
        <w:t>Ineffective internal controls could impact our business and operating results.</w:t>
      </w:r>
    </w:p>
    <w:p>
      <w:pPr>
        <w:ind w:left="40" w:right="659" w:firstLine="270"/>
        <w:spacing w:after="0" w:line="255" w:lineRule="auto"/>
        <w:rPr>
          <w:sz w:val="20"/>
          <w:szCs w:val="20"/>
          <w:color w:val="auto"/>
        </w:rPr>
      </w:pPr>
      <w:r>
        <w:rPr>
          <w:rFonts w:ascii="Arial" w:cs="Arial" w:eastAsia="Arial" w:hAnsi="Arial"/>
          <w:sz w:val="18"/>
          <w:szCs w:val="18"/>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26" w:lineRule="exact"/>
        <w:rPr>
          <w:sz w:val="20"/>
          <w:szCs w:val="20"/>
          <w:color w:val="auto"/>
        </w:rPr>
      </w:pPr>
    </w:p>
    <w:p>
      <w:pPr>
        <w:ind w:left="40" w:right="759"/>
        <w:spacing w:after="0" w:line="264" w:lineRule="auto"/>
        <w:rPr>
          <w:sz w:val="20"/>
          <w:szCs w:val="20"/>
          <w:color w:val="auto"/>
        </w:rPr>
      </w:pPr>
      <w:r>
        <w:rPr>
          <w:rFonts w:ascii="Arial" w:cs="Arial" w:eastAsia="Arial" w:hAnsi="Arial"/>
          <w:sz w:val="18"/>
          <w:szCs w:val="18"/>
          <w:b w:val="1"/>
          <w:bCs w:val="1"/>
          <w:i w:val="1"/>
          <w:iCs w:val="1"/>
          <w:color w:val="auto"/>
        </w:rPr>
        <w:t>We are dependent upon our senior management for our future success, and if we are unable to hire and retain qualified personnel or if we lose any member of our senior management team, our ability to achieve our investment objectives could be significantly harmed.</w:t>
      </w:r>
    </w:p>
    <w:p>
      <w:pPr>
        <w:spacing w:after="0" w:line="73"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We depend on the members of our senior management as well as other key personnel for the identification, final selection, structuring, closing and monitoring of our investments. These employees have critical industry experience and relationships that we rely on to implement our business plan. Our future success depends on the continued service of our senior management team. The departure of any of the members of our senior management or a significant number of our senior personnel could have a material adverse effect on our ability to achieve our investment objective. As a result, we may not be able to operate our business as we expect, and our ability to compete could be harmed, which could cause our operating results to suffer.</w:t>
      </w:r>
    </w:p>
    <w:p>
      <w:pPr>
        <w:spacing w:after="0" w:line="57" w:lineRule="exact"/>
        <w:rPr>
          <w:sz w:val="20"/>
          <w:szCs w:val="20"/>
          <w:color w:val="auto"/>
        </w:rPr>
      </w:pPr>
    </w:p>
    <w:p>
      <w:pPr>
        <w:ind w:left="40" w:right="779" w:firstLine="270"/>
        <w:spacing w:after="0" w:line="302" w:lineRule="auto"/>
        <w:rPr>
          <w:sz w:val="20"/>
          <w:szCs w:val="20"/>
          <w:color w:val="auto"/>
        </w:rPr>
      </w:pPr>
      <w:r>
        <w:rPr>
          <w:rFonts w:ascii="Arial" w:cs="Arial" w:eastAsia="Arial" w:hAnsi="Arial"/>
          <w:sz w:val="16"/>
          <w:szCs w:val="16"/>
          <w:color w:val="auto"/>
        </w:rPr>
        <w:t>Additionally, the management agreements governing some of the CLO funds managed by our Asset Manager Affiliates have “key person” provisions that provide certain CLO investors with rights upon the departure of a “key person”, as defined in each agreement. As a result, the departure of a “key person” could trigger a material change in the Asset Manager Affiliate’s role in managing the CLO Funds, and therefore KCAP’s financial benefits from its investments in the Asset Manager Affiliates.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 large number of entities compete with us to make the types of investments that we make. We compete with other BDCs, as well as a number of investment funds, investment banks and other sources of financing, including traditional financial services companies, such as commercial banks and finance companies. Many of our competitors are substantially larger and have considerably greater financial, marketing and other resources than we do. For example, some competitors may have a lower cost of funds and access to funding sources</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270" w:lineRule="auto"/>
        <w:rPr>
          <w:sz w:val="20"/>
          <w:szCs w:val="20"/>
          <w:color w:val="auto"/>
        </w:rPr>
      </w:pPr>
      <w:r>
        <w:rPr>
          <w:rFonts w:ascii="Arial" w:cs="Arial" w:eastAsia="Arial" w:hAnsi="Arial"/>
          <w:sz w:val="17"/>
          <w:szCs w:val="17"/>
          <w:color w:val="auto"/>
        </w:rPr>
        <w:t>that are not available to us. This may enable some of our competitors to make commercial loans with interest rates that are lower than the rates we typically offer. We may lose prospective portfolio investments if we do not match our competitors’ pricing, terms and structure. If we do match our competitors’ pricing, terms or structure, we may experience decreased net interest income. In addition, some of our competitors may have higher risk tolerances or different risk assessments, which could allow them to consider a wider variety of investments, establish more relationships and build their market shares. Furthermore, many of our potential competitors are not subject to the regulatory restrictions that the 1940 Act imposes on us as a BDC. As a result of this competition, there can be no assurance that we will be able to identify and take advantage of attractive investment opportunities or that we will be able to fully invest our available capital. If we are not able to compete effectively, our business and financial condition and results of operations will be adversely affected.</w:t>
      </w:r>
    </w:p>
    <w:p>
      <w:pPr>
        <w:spacing w:after="0" w:line="101"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b w:val="1"/>
          <w:bCs w:val="1"/>
          <w:i w:val="1"/>
          <w:iCs w:val="1"/>
          <w:color w:val="auto"/>
        </w:rPr>
        <w:t>If we are unable to source investments effectively, we may be unable to achieve our investment objectives and provide returns to stockholders.</w:t>
      </w:r>
    </w:p>
    <w:p>
      <w:pPr>
        <w:spacing w:after="0" w:line="62"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Our ability to achieve our investment objective depends on our senior management team’s ability to identify, evaluate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 addition to monitoring the performance of our existing investments, members of our management team may also be called upon to focus their attention on other aspects of our business, including strategic opportunities available to us and/or the Asset Manager Affiliates from time to time. These demands on their time may distract them or slow the rate of investment. To grow, we need to continue to hire, train, supervise and manage new employees and to implement computer and other systems capable of effectively accommodating our growth. However, we cannot provide assurance that any such employees will contribute to the success of our business or that we will implement such systems effectively. Failure to source investments effectively could have a material adverse effect on our business, financial condition and results of operations.</w:t>
      </w:r>
    </w:p>
    <w:p>
      <w:pPr>
        <w:spacing w:after="0" w:line="102" w:lineRule="exact"/>
        <w:rPr>
          <w:sz w:val="20"/>
          <w:szCs w:val="20"/>
          <w:color w:val="auto"/>
        </w:rPr>
      </w:pPr>
    </w:p>
    <w:p>
      <w:pPr>
        <w:jc w:val="both"/>
        <w:ind w:left="40" w:right="659"/>
        <w:spacing w:after="0" w:line="264" w:lineRule="auto"/>
        <w:rPr>
          <w:sz w:val="20"/>
          <w:szCs w:val="20"/>
          <w:color w:val="auto"/>
        </w:rPr>
      </w:pPr>
      <w:r>
        <w:rPr>
          <w:rFonts w:ascii="Arial" w:cs="Arial" w:eastAsia="Arial" w:hAnsi="Arial"/>
          <w:sz w:val="18"/>
          <w:szCs w:val="18"/>
          <w:b w:val="1"/>
          <w:bCs w:val="1"/>
          <w:i w:val="1"/>
          <w:iCs w:val="1"/>
          <w:color w:val="auto"/>
        </w:rPr>
        <w:t>Our business model depends to a significant extent upon strong referral relationships, and our inability to maintain or develop these relationships, as well as the failure of these relationships to generate investment opportunities, could adversely affect our business.</w:t>
      </w:r>
    </w:p>
    <w:p>
      <w:pPr>
        <w:spacing w:after="0" w:line="73"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We expect that members of our senior management team will maintain their relationships with intermediaries, financial institutions, investment bankers, commercial bankers, financial advisors, attorneys, accountants, consultants and other individuals within their networks, and we will rely to a significant extent upon these relationships to provide us with potential investment opportunities. If our senior management team fails to maintain its existing relationships or develop new relationships with sources of investment opportunities, we will not be able to grow our investment portfolio. In addition, individuals with whom members of our senior management team have relationships are not obligated to provide us with investment opportunities, and, therefore, there is no assurance that such relationships will generate investment opportunities for us.</w:t>
      </w:r>
    </w:p>
    <w:p>
      <w:pPr>
        <w:spacing w:after="0" w:line="100" w:lineRule="exact"/>
        <w:rPr>
          <w:sz w:val="20"/>
          <w:szCs w:val="20"/>
          <w:color w:val="auto"/>
        </w:rPr>
      </w:pPr>
    </w:p>
    <w:p>
      <w:pPr>
        <w:ind w:left="40" w:right="1039"/>
        <w:spacing w:after="0" w:line="277" w:lineRule="auto"/>
        <w:rPr>
          <w:sz w:val="20"/>
          <w:szCs w:val="20"/>
          <w:color w:val="auto"/>
        </w:rPr>
      </w:pPr>
      <w:r>
        <w:rPr>
          <w:rFonts w:ascii="Arial" w:cs="Arial" w:eastAsia="Arial" w:hAnsi="Arial"/>
          <w:sz w:val="18"/>
          <w:szCs w:val="18"/>
          <w:b w:val="1"/>
          <w:bCs w:val="1"/>
          <w:i w:val="1"/>
          <w:iCs w:val="1"/>
          <w:color w:val="auto"/>
        </w:rPr>
        <w:t>We may have difficulty paying distributions required to maintain our RIC status if we recognize income before or without receiving cash equal to such income.</w:t>
      </w:r>
    </w:p>
    <w:p>
      <w:pPr>
        <w:spacing w:after="0" w:line="62"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In accordance with the Code, we include in income certain amounts that we have not yet received in cash, such as contracted non-cash PIK interest, which represents contractual interest added to the loan balance and due at the end of the loan term. The increases in loan balances as a result of contracted non-cash PIK arrangements are included in income for the period in which such non-cash PIK interest was received, which is often in advance of receiving cash payment, and are separately identified on our statements of cash flows. We also may be required to include in income certain other amounts that we will not receive in cash. Any warrants that we receive in connection with our debt investments generally are valued as part of the negotiation process with the particular portfolio company. As a result, a portion of the aggregate purchase price for the debt investments and warrants is allocated to the warrants that we receive. This generally results in the associated debt investment having “original issue discount” for tax purposes, which we must recognize as ordinary income as it accrues. This increases the amounts we are required to distribute to maintain our</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59" w:lineRule="auto"/>
        <w:rPr>
          <w:sz w:val="20"/>
          <w:szCs w:val="20"/>
          <w:color w:val="auto"/>
        </w:rPr>
      </w:pPr>
      <w:r>
        <w:rPr>
          <w:rFonts w:ascii="Arial" w:cs="Arial" w:eastAsia="Arial" w:hAnsi="Arial"/>
          <w:sz w:val="18"/>
          <w:szCs w:val="18"/>
          <w:color w:val="auto"/>
        </w:rPr>
        <w:t>qualification for tax treatment as a RIC. Because such original issue discount income might exceed the amount of cash received in a given year with respect to such investment, we might need to obtain cash from other sources to satisfy such distribution requirements. Other features of the debt instruments that we hold may also cause such instruments to generate original issue discount.</w:t>
      </w:r>
    </w:p>
    <w:p>
      <w:pPr>
        <w:spacing w:after="0" w:line="79" w:lineRule="exact"/>
        <w:rPr>
          <w:sz w:val="20"/>
          <w:szCs w:val="20"/>
          <w:color w:val="auto"/>
        </w:rPr>
      </w:pPr>
    </w:p>
    <w:p>
      <w:pPr>
        <w:ind w:left="40" w:right="639" w:firstLine="270"/>
        <w:spacing w:after="0" w:line="293" w:lineRule="auto"/>
        <w:rPr>
          <w:sz w:val="20"/>
          <w:szCs w:val="20"/>
          <w:color w:val="auto"/>
        </w:rPr>
      </w:pPr>
      <w:r>
        <w:rPr>
          <w:rFonts w:ascii="Arial" w:cs="Arial" w:eastAsia="Arial" w:hAnsi="Arial"/>
          <w:sz w:val="16"/>
          <w:szCs w:val="16"/>
          <w:color w:val="auto"/>
        </w:rPr>
        <w:t>Since, in certain cases, we may recognize income before or without receiving cash representing such income, we may have difficulty meeting the annual distribution requirement necessary to maintain RIC tax treatment under the Code. Accordingly,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U.S. federal income tax. For additional discussion regarding the tax implications of a RIC, see “Business — Regulation — Taxation as a Regulated Investment Company.”</w:t>
      </w:r>
    </w:p>
    <w:p>
      <w:pPr>
        <w:spacing w:after="0" w:line="84" w:lineRule="exact"/>
        <w:rPr>
          <w:sz w:val="20"/>
          <w:szCs w:val="20"/>
          <w:color w:val="auto"/>
        </w:rPr>
      </w:pPr>
    </w:p>
    <w:p>
      <w:pPr>
        <w:jc w:val="both"/>
        <w:ind w:left="40" w:right="679"/>
        <w:spacing w:after="0" w:line="340" w:lineRule="auto"/>
        <w:rPr>
          <w:sz w:val="20"/>
          <w:szCs w:val="20"/>
          <w:color w:val="auto"/>
        </w:rPr>
      </w:pPr>
      <w:r>
        <w:rPr>
          <w:rFonts w:ascii="Arial" w:cs="Arial" w:eastAsia="Arial" w:hAnsi="Arial"/>
          <w:sz w:val="15"/>
          <w:szCs w:val="15"/>
          <w:b w:val="1"/>
          <w:bCs w:val="1"/>
          <w:i w:val="1"/>
          <w:iCs w:val="1"/>
          <w:color w:val="auto"/>
        </w:rPr>
        <w:t>Our Asset Manager Affiliates may incur losses as a result of “first loss” agreements that they may enter into from time-to-time in connection with warehousing credit arrangements which may be put in place prior to raising a CLO Fund and pursuant to which they would typically agree to reimburse credit providers for a portion of losses (if any) on warehouse investments.</w:t>
      </w:r>
    </w:p>
    <w:p>
      <w:pPr>
        <w:spacing w:after="0" w:line="23" w:lineRule="exact"/>
        <w:rPr>
          <w:sz w:val="20"/>
          <w:szCs w:val="20"/>
          <w:color w:val="auto"/>
        </w:rPr>
      </w:pPr>
    </w:p>
    <w:p>
      <w:pPr>
        <w:ind w:left="40" w:right="599" w:firstLine="270"/>
        <w:spacing w:after="0" w:line="288" w:lineRule="auto"/>
        <w:rPr>
          <w:sz w:val="20"/>
          <w:szCs w:val="20"/>
          <w:color w:val="auto"/>
        </w:rPr>
      </w:pPr>
      <w:r>
        <w:rPr>
          <w:rFonts w:ascii="Arial" w:cs="Arial" w:eastAsia="Arial" w:hAnsi="Arial"/>
          <w:sz w:val="16"/>
          <w:szCs w:val="16"/>
          <w:color w:val="auto"/>
        </w:rPr>
        <w:t>Our Asset Manager Affiliates enter into “first loss” agreements in connection with warehouse credit lines established to fund the initial accumulation of loan investments for future CLO Funds that our Asset Manager Affiliates will manage. Under such agreements, our Asset Manager Affiliates generally make a junior investment in a warehouse facility, which serves as a loss buffer for the senior capital provider. Such junior investment may be subject to losses (either in whole or in part) that stem from factors including (i) losses as a result of individual loan or other investments being ineligible for purchase by the CLO Fund (typically due to a payment default on such loan or other investments) when such fund formation is completed or (ii) if the CLO Fund has not been completed before the expiration of the warehouse credit line, the loss (if any, and net of any accumulated interest income) on the resale of such loans funded by the warehouse credit line, or (iii) realized losses from trading activity within the warehouse facility. As a result, our Asset Manager Affiliates may incur losses if loans and debt obligations, if applicable, that had been purchased in the warehouse facility become ineligible for inclusion in the CLO Fund or if a planned CLO Fund does not close.</w:t>
      </w:r>
    </w:p>
    <w:p>
      <w:pPr>
        <w:spacing w:after="0" w:line="102"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loan portfolio may be an indication of future realized losses, which could reduce our income available to make distributions.</w:t>
      </w:r>
    </w:p>
    <w:p>
      <w:pPr>
        <w:spacing w:after="0" w:line="62" w:lineRule="exact"/>
        <w:rPr>
          <w:sz w:val="20"/>
          <w:szCs w:val="20"/>
          <w:color w:val="auto"/>
        </w:rPr>
      </w:pPr>
    </w:p>
    <w:p>
      <w:pPr>
        <w:ind w:left="40" w:right="719" w:firstLine="270"/>
        <w:spacing w:after="0" w:line="293" w:lineRule="auto"/>
        <w:rPr>
          <w:sz w:val="20"/>
          <w:szCs w:val="20"/>
          <w:color w:val="auto"/>
        </w:rPr>
      </w:pPr>
      <w:r>
        <w:rPr>
          <w:rFonts w:ascii="Arial" w:cs="Arial" w:eastAsia="Arial" w:hAnsi="Arial"/>
          <w:sz w:val="16"/>
          <w:szCs w:val="16"/>
          <w:color w:val="auto"/>
        </w:rPr>
        <w:t>As a BDC, we are required to carry our investments at market value or, if no market value is ascertainable, at the fair value as determined in good faith by our Board of Directors pursuant to a valuation methodology approved by our Board of Directors. Decreases in the market values or fair values of our investments will be recorded as unrealized losses. An unrealized loss in our loan portfolio could be an indication of a portfolio company’s inability to meet its repayment obligations with respect to the affected loans. This could result in realized losses in the future and ultimately in reductions of our income available to pay dividends or interest and principal on our securities and could cause you to lose all or part of your investment.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operating results and credit spreads.</w:t>
      </w:r>
    </w:p>
    <w:p>
      <w:pPr>
        <w:spacing w:after="0" w:line="117"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We could experience fluctuations in our quarterly and annual operating results due to a number of factors, some of which are beyond our control, including our ability to make investments in companies that meet our investment criteria, the interest rate payable on the debt securities we acquire (which could stem from the general level of interest rates, credit spreads, or both), the default rate on such securities, prepayment upon the triggering of covenants in our middle market loans as well as our CLO Funds, our level of expenses, variations in and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and spreads.</w:t>
      </w:r>
    </w:p>
    <w:p>
      <w:pPr>
        <w:spacing w:after="0" w:line="117"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Changes in interest rates may have a substantial negative impact on our investments, the value of our securities and our rate of return on invested capital. A reduction in the interest spreads on new investments could also have an adverse impact on our net interest income. An increase in interest rates could decrease the value of any investments we hold which earn fixed interest rates, including mezzanine securities and high-yield bonds, and also could increase our interest expense, thereby decreasing our net income. An increase in interest rates due to an increase in credit spreads, regardless of general interest rate fluctuations, could also negatively impact the value of any investments we hold in our portfolio.</w:t>
      </w:r>
    </w:p>
    <w:p>
      <w:pPr>
        <w:spacing w:after="0" w:line="70"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In addition, an increase in interest rates available to investors could make an investment in our securities less attractive than alternative investments, a situation which could reduce the value of our securities. Conversely, a decrease in interest rates may have an adverse impact on our returns by requiring us to seek lower yields on our debt investments and by increasing the risk that our portfolio companies will prepay our debt investments, resulting in the need to redeploy capital at potentially lower rates. A decrease in market interest rates may also adversely impact our returns on idle funds, which would reduce our net investment income.</w:t>
      </w:r>
    </w:p>
    <w:p>
      <w:pPr>
        <w:spacing w:after="0" w:line="91"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We borrow money, which magnifies the potential for gain or loss on amounts invested and may increase the risk of investing in us.</w:t>
      </w:r>
    </w:p>
    <w:p>
      <w:pPr>
        <w:spacing w:after="0" w:line="62"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Borrowings, also known as leverage, magnify the potential for gain or loss on amounts invested and, therefore, increase the risks associated with investing in us. We have issued senior securities, and in the future may borrow from, or issue additional senior securities (such as preferred or convertible securities or debt securities) to, banks and other lenders and investors. Subject to prevailing market conditions, we intend to grow our portfolio of assets by raising additional capital, including through the prudent use of leverage available to us. Lenders and holders of such senior securities would have fixed dollar claims on our assets that are superior to the claims of our common stockholders. Leverage is generally considered a speculative 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 not incurred leverage. Such a decline could negatively affect our ability to make distributions to our stockholders and service our debt obligations. In addition, our common stockholders will bear the burden of any increase in our expenses as a result of leverage. There can be no assurance that our leveraging strategy will be successful.</w:t>
      </w:r>
    </w:p>
    <w:p>
      <w:pPr>
        <w:spacing w:after="0" w:line="65" w:lineRule="exact"/>
        <w:rPr>
          <w:sz w:val="20"/>
          <w:szCs w:val="20"/>
          <w:color w:val="auto"/>
        </w:rPr>
      </w:pPr>
    </w:p>
    <w:p>
      <w:pPr>
        <w:ind w:left="40" w:right="719" w:firstLine="270"/>
        <w:spacing w:after="0" w:line="276" w:lineRule="auto"/>
        <w:rPr>
          <w:sz w:val="20"/>
          <w:szCs w:val="20"/>
          <w:color w:val="auto"/>
        </w:rPr>
      </w:pPr>
      <w:r>
        <w:rPr>
          <w:rFonts w:ascii="Arial" w:cs="Arial" w:eastAsia="Arial" w:hAnsi="Arial"/>
          <w:sz w:val="17"/>
          <w:szCs w:val="17"/>
          <w:color w:val="auto"/>
        </w:rPr>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status as a RIC. A failure to add new debt facilities or issue additional debt securities or other evidences of indebtedness in lieu of or in addition to existing indebtedness could have a material adverse effect on our business, financial condition or results of operations.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indebtedness could adversely affect our financial health and our ability to respond to changes in our business.</w:t>
      </w:r>
    </w:p>
    <w:p>
      <w:pPr>
        <w:spacing w:after="0" w:line="129"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With certain limited exceptions, we are only allowed to borrow amounts or issue senior securities such that our asset coverage, as defined in the 1940 Act, is at least 200% immediately after such borrowing or issuance. As of December 31, 2016, our asset coverage ratio was 205%. The amount of leverage that we employ in the future will depend on our management’s and our Board of Directors’ assessment of market and other factors at the time of any proposed borrowing. There is no assurance that a leveraging strategy will be successful. As a result of the level of our leverage:</w:t>
      </w:r>
    </w:p>
    <w:p>
      <w:pPr>
        <w:spacing w:after="0" w:line="64" w:lineRule="exact"/>
        <w:rPr>
          <w:sz w:val="20"/>
          <w:szCs w:val="20"/>
          <w:color w:val="auto"/>
        </w:rPr>
      </w:pPr>
    </w:p>
    <w:p>
      <w:pPr>
        <w:ind w:left="600" w:right="579" w:hanging="322"/>
        <w:spacing w:after="0" w:line="264"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exposure to risk of loss is greater if we incur debt or issue senior securities to finance investments because a decrease in the value of our investments has a greater negative impact on our equity returns and, therefore, the value of our business if we did not use leverage;</w:t>
      </w:r>
    </w:p>
    <w:p>
      <w:pPr>
        <w:spacing w:after="0" w:line="73" w:lineRule="exact"/>
        <w:rPr>
          <w:rFonts w:ascii="Arial" w:cs="Arial" w:eastAsia="Arial" w:hAnsi="Arial"/>
          <w:sz w:val="18"/>
          <w:szCs w:val="18"/>
          <w:color w:val="auto"/>
        </w:rPr>
      </w:pPr>
    </w:p>
    <w:p>
      <w:pPr>
        <w:ind w:left="600" w:right="111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decrease in our asset coverage ratio resulting from increased leverage and the covenants contained in documents governing our indebtedness (which may impose asset coverage or</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659"/>
        <w:spacing w:after="0" w:line="264" w:lineRule="auto"/>
        <w:rPr>
          <w:sz w:val="20"/>
          <w:szCs w:val="20"/>
          <w:color w:val="auto"/>
        </w:rPr>
      </w:pPr>
      <w:r>
        <w:rPr>
          <w:rFonts w:ascii="Arial" w:cs="Arial" w:eastAsia="Arial" w:hAnsi="Arial"/>
          <w:sz w:val="18"/>
          <w:szCs w:val="18"/>
          <w:color w:val="auto"/>
        </w:rPr>
        <w:t>investment portfolio composition requirements that are more stringent than those imposed by the 1940 Act) limit our flexibility in planning for, or reacting to, changes in our business and industry, as a result of which we could be required to liquidate investments at an inopportune time;</w:t>
      </w:r>
    </w:p>
    <w:p>
      <w:pPr>
        <w:spacing w:after="0" w:line="73" w:lineRule="exact"/>
        <w:rPr>
          <w:sz w:val="20"/>
          <w:szCs w:val="20"/>
          <w:color w:val="auto"/>
        </w:rPr>
      </w:pPr>
    </w:p>
    <w:p>
      <w:pPr>
        <w:ind w:left="600" w:right="77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required to dedicate a portion of our cash flow to interest payments, limiting the availability of cash for dividends and other purposes;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may be impaired.</w:t>
      </w:r>
    </w:p>
    <w:p>
      <w:pPr>
        <w:spacing w:after="0" w:line="117" w:lineRule="exact"/>
        <w:rPr>
          <w:sz w:val="20"/>
          <w:szCs w:val="20"/>
          <w:color w:val="auto"/>
        </w:rPr>
      </w:pPr>
    </w:p>
    <w:p>
      <w:pPr>
        <w:jc w:val="both"/>
        <w:ind w:left="40" w:right="619" w:firstLine="270"/>
        <w:spacing w:after="0" w:line="312" w:lineRule="auto"/>
        <w:rPr>
          <w:sz w:val="20"/>
          <w:szCs w:val="20"/>
          <w:color w:val="auto"/>
        </w:rPr>
      </w:pPr>
      <w:r>
        <w:rPr>
          <w:rFonts w:ascii="Arial" w:cs="Arial" w:eastAsia="Arial" w:hAnsi="Arial"/>
          <w:sz w:val="16"/>
          <w:szCs w:val="16"/>
          <w:color w:val="auto"/>
        </w:rPr>
        <w:t>We cannot be sure that our leverage will not have a material adverse effect on us. In addition, we cannot be sure that additional financing will be available when required or, if available, will be on terms satisfactory to us. Further, even if we are able to obtain additional financing, we may be required to use some or all of the proceeds thereof to repay our outstanding indebtedness.</w:t>
      </w:r>
    </w:p>
    <w:p>
      <w:pPr>
        <w:spacing w:after="0" w:line="66"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Because we intend to continue to distribute substantially all of our income and net realized capital gains to our stockholders, we will need additional capital to finance our growth.</w:t>
      </w:r>
    </w:p>
    <w:p>
      <w:pPr>
        <w:spacing w:after="0" w:line="62"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In order to continue to qualify as a RIC, to avoid payment of excise taxes and to minimize or avoid payment of U.S. federal income taxes, we intend to continue to distribute to our stockholders substantially all of our net ordinary income and realized net capital gains except for certain net long-term capital gains (which we may retain, pay applicable U.S. federal income taxes with respect thereto, and elect to treat as deemed distributions to our stockholders). As a BDC, in order to incur new debt, we are generally required to meet a coverage ratio of total assets to total senior securities, which includes all of our borrowings and any preferred stock we may issue in the future, of at least 200%, as measured immediately after issuance of such security. This requirement limits the amount that we may borrow. Because we will continue to need capital to grow our loan and investment portfolio, this limitation may prevent us from incurring debt and require us to issue additional equity at a time when it may be disadvantageous to do so. We cannot assure you that debt and equity financing will be available to us on favorable terms, or at all, and debt financings may be restricted by the terms of such borrowings. Also, as a business development company, we generally are not permitted to issue equity securities priced below net asset value without stockholder approval. If additional funds are not available to us, we could be forced to curtail or cease new lending and investment activities.</w:t>
      </w:r>
    </w:p>
    <w:p>
      <w:pPr>
        <w:spacing w:after="0" w:line="101"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We may from time to time expand our business through acquisitions, which could disrupt our business and harm our financial condition.</w:t>
      </w:r>
    </w:p>
    <w:p>
      <w:pPr>
        <w:spacing w:after="0" w:line="62"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We may pursue potential acquisitions of, and investments in, businesses complementary to our business and from time to time engage in discussions regarding such possible acquisitions. For example, in February 2012, we completed the acquisition of Trimaran Advisors. Such acquisition and any other acquisitions we may undertake involve a number of risks, including:</w:t>
      </w:r>
    </w:p>
    <w:p>
      <w:pPr>
        <w:spacing w:after="0" w:line="39" w:lineRule="exact"/>
        <w:rPr>
          <w:sz w:val="20"/>
          <w:szCs w:val="20"/>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the acquired businesses to achieve the results we expect;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cash expenditures;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capital and management attention from operational matters;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businesses;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incurrence of debt and contingent liabilities and risks associated with unanticipated events or liabilities; and</w:t>
      </w:r>
    </w:p>
    <w:p>
      <w:pPr>
        <w:spacing w:after="0" w:line="117" w:lineRule="exact"/>
        <w:rPr>
          <w:rFonts w:ascii="Arial" w:cs="Arial" w:eastAsia="Arial" w:hAnsi="Arial"/>
          <w:sz w:val="18"/>
          <w:szCs w:val="18"/>
          <w:color w:val="auto"/>
        </w:rPr>
      </w:pPr>
    </w:p>
    <w:p>
      <w:pPr>
        <w:ind w:left="600" w:right="87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disruption and strain on our existing business and resources that could result from our planned growth and continuing integration of our acquisitions.</w:t>
      </w:r>
    </w:p>
    <w:p>
      <w:pPr>
        <w:spacing w:after="0" w:line="62"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If we fail to properly evaluate acquisitions or investments, we may not achieve the anticipated benefits of such acquisitions, we may incur costs in excess of what we anticipate, and management resources and attention may be diverted from other necessary or valuable activities. Any acquisition, including the Trimaran Advisors acquisition, may not result in short-term or long-term benefits to us. If we are unable to integrate or successfully manage any business that we acquire, we may not realize anticipated cost savings, improved efficiencies or revenue growth, which may result in reduced profitability or operating losses.</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1319"/>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w:t>
      </w:r>
    </w:p>
    <w:p>
      <w:pPr>
        <w:spacing w:after="0" w:line="62"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However, absent stockholder approval, we may not change the nature of our business so as to cease to be, or withdraw our election as, a BDC. We cannot predict the effect any changes to our current operating policies and strategies would have on our business and operating results. Nevertheless, the effects may adversely affect our business and they could negatively impact our ability to pay you dividends and could cause you to lose all or part of your investment in our securities.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left="40" w:right="739" w:firstLine="270"/>
        <w:spacing w:after="0" w:line="255" w:lineRule="auto"/>
        <w:rPr>
          <w:sz w:val="20"/>
          <w:szCs w:val="20"/>
          <w:color w:val="auto"/>
        </w:rPr>
      </w:pPr>
      <w:r>
        <w:rPr>
          <w:rFonts w:ascii="Arial" w:cs="Arial" w:eastAsia="Arial" w:hAnsi="Arial"/>
          <w:sz w:val="18"/>
          <w:szCs w:val="18"/>
          <w:color w:val="auto"/>
        </w:rPr>
        <w:t>As a BDC under the 1940 Act, we are generally not permitted to incur indebtedness unless immediately after such borrowing we have an asset coverage for total borrowings of at least 200% (i.e., the amount of debt may not exceed 50% of the value of our assets). Legislation introduced in the U.S. House of Representatives, if eventually passed, would modify this section of the 1940 Act and increase the amount of debt that business development companies may incur by modifying the percentage from 200% to 150%, as proposed. As a result, we may be able to incur additional indebtedness in the future and therefore your risk of an investment in our securities may increase.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businesses may be adversely affected by litigation and regulatory proceedings.</w:t>
      </w:r>
    </w:p>
    <w:p>
      <w:pPr>
        <w:spacing w:after="0" w:line="117"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From time to time, we may be subject to legal actions as well as various regulatory, governmental and law enforcement inquiries, investigations and subpoenas. In any such claims or actions, demands for substantial monetary damages may be asserted against us and may result in financial liability or an adverse effect on our reputation among investors. We may be unable to accurately estimate our exposure to litigation risk when we record balance sheet reserves for probable loss contingencies. As a result, any reserves we establish to cover any settlements or judgments may not be sufficient to cover our actual financial exposure, which may have a material impact on our results of operations or financial condition. In regulatory enforcement matters, claims for disgorgement, the imposition of penalties and the imposition of other remedial sanctions are possible.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Regulations governing our operation as a BDC affect our ability to, and the way in which we, raise additional capital.</w:t>
      </w:r>
    </w:p>
    <w:p>
      <w:pPr>
        <w:spacing w:after="0" w:line="129"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Our business requires a substantial amount of additional capital. We may acquire additional capital from the issuance of senior securities or other indebtedness, the issuance of additional shares of our common stock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immediately after such issuance or incurrence.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If the value of our assets declines, we may be unable to satisfy the asset coverage test. Furthermore, any amounts that we use to service our indebtedness would not be available for distributions to our common stockholders.</w:t>
      </w:r>
    </w:p>
    <w:p>
      <w:pPr>
        <w:spacing w:after="0" w:line="75"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All of the costs of offering and servicing such debt or preferred stock (if issued by us in the future),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59" w:firstLine="270"/>
        <w:spacing w:after="0" w:line="288" w:lineRule="auto"/>
        <w:rPr>
          <w:sz w:val="20"/>
          <w:szCs w:val="20"/>
          <w:color w:val="auto"/>
        </w:rPr>
      </w:pPr>
      <w:r>
        <w:rPr>
          <w:rFonts w:ascii="Arial" w:cs="Arial" w:eastAsia="Arial" w:hAnsi="Arial"/>
          <w:sz w:val="16"/>
          <w:szCs w:val="16"/>
          <w:color w:val="auto"/>
        </w:rPr>
        <w:t>We are not generally able to issue and sell our common stock at a price below net asset value per share. We may, however, sell our common stock at a price below the then-current net asset value of our common stock if our board of directors determines that such sale is in the best interests of KCAP and its stockholders, and our stockholders approve, giving us the authority to do so.</w:t>
      </w:r>
    </w:p>
    <w:p>
      <w:pPr>
        <w:ind w:left="40" w:right="539"/>
        <w:spacing w:after="0" w:line="287" w:lineRule="auto"/>
        <w:rPr>
          <w:sz w:val="20"/>
          <w:szCs w:val="20"/>
          <w:color w:val="auto"/>
        </w:rPr>
      </w:pPr>
      <w:r>
        <w:rPr>
          <w:rFonts w:ascii="Arial" w:cs="Arial" w:eastAsia="Arial" w:hAnsi="Arial"/>
          <w:sz w:val="16"/>
          <w:szCs w:val="16"/>
          <w:color w:val="auto"/>
        </w:rPr>
        <w:t>Although we currently do not have such authorization, we previously sought and received such authorization from our stockholders in the past and may seek such authorization in the future.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 In addition to issuing securities to raise capital as described above; we may securitize a portion of the loans generate cash for funding new investments. If we are unable to successfully securitize our loan portfolio our ability to grow our business and fully execute our business strategy and our earnings (if any) may be adversely affected. Moreover, even successful securitization of our loan portfolio might expose us to losses, as the residual loans in which we do not sell interests tend to be those that are riskier and more apt to generate losses.</w:t>
      </w:r>
    </w:p>
    <w:p>
      <w:pPr>
        <w:spacing w:after="0" w:line="85" w:lineRule="exact"/>
        <w:rPr>
          <w:sz w:val="20"/>
          <w:szCs w:val="20"/>
          <w:color w:val="auto"/>
        </w:rPr>
      </w:pPr>
    </w:p>
    <w:p>
      <w:pPr>
        <w:ind w:left="40" w:right="639"/>
        <w:spacing w:after="0" w:line="264" w:lineRule="auto"/>
        <w:rPr>
          <w:sz w:val="20"/>
          <w:szCs w:val="20"/>
          <w:color w:val="auto"/>
        </w:rPr>
      </w:pPr>
      <w:r>
        <w:rPr>
          <w:rFonts w:ascii="Arial" w:cs="Arial" w:eastAsia="Arial" w:hAnsi="Arial"/>
          <w:sz w:val="18"/>
          <w:szCs w:val="18"/>
          <w:b w:val="1"/>
          <w:bCs w:val="1"/>
          <w:i w:val="1"/>
          <w:iCs w:val="1"/>
          <w:color w:val="auto"/>
        </w:rPr>
        <w:t>Changes in the laws or regulations governing our business and the business of our Asset Manager Affiliates, or changes in the interpretations thereof, and any failure by us or our Asset Manager Affiliates to comply with these laws or regulations, could negatively affect the profitability of our operations.</w:t>
      </w:r>
    </w:p>
    <w:p>
      <w:pPr>
        <w:spacing w:after="0" w:line="73"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Changes in the laws or regulations or the interpretations of the laws and regulations that govern BDCs, Registered Investment Advisers (such as our Asset Manager Affiliates), RICs or non-depository commercial lenders could significantly affect our operations and our cost of doing business. We are subject to federal, state and local laws and regulations as well as the rules of the stock exchange on which our securities are listed, and are subject to judicial and administrative decisions that affect our operations, including our loan originations, maximum interest rates, fees and other charges, disclosures to portfolio companies, the terms of secured transactions, collection and foreclosure procedures and other trade practices. The various regulatory bodies, including the SEC and the NASDAQ Global Select Market, that administer these laws and regulations have issued a significant number of new and increasingly complex requirements and regulations over the course of the last several years and continue to develop additional regulations.</w:t>
      </w:r>
    </w:p>
    <w:p>
      <w:pPr>
        <w:spacing w:after="0" w:line="74"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In addition, as registered investment advisers, the Asset Manager Affiliates are subject to new and existing regulations, regulatory risks, costs and expenses associated with operating as registered investment advisers that may limit their ability to operate, structure or expand their businesses in the future. If these laws, regulations or decisions change, or if we expand our business into jurisdictions that have adopted more stringent requirements than those in which we currently conduct business, we may have to incur significant expenses in order to comply or we might have to restrict our operations. In addition, if we do not comply with applicable laws, regulations and decisions, we may lose licenses needed for the conduct of our business and be subject to civil fines and criminal penalties, any of which could have a material adverse effect upon our business, results of operations or financial condition.</w:t>
      </w:r>
    </w:p>
    <w:p>
      <w:pPr>
        <w:spacing w:after="0" w:line="84"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Moreover, the Dodd-Frank Wall Street Reform and Consumer Protection Act (the “Dodd-Frank Act”) has increased and may significantly increase the regulation of the financial services industry. The Dodd-Frank Act contains a broad set of provisions designed to govern the practices and oversight of financial institutions and other participants in the financial markets. One such provision, Section 619 of the Dodd-Frank Act, commonly referred to as the Volcker Rule, contains certain prohibitions and restrictions on the ability of a “banking entity” — which includes insured depository institutions, bank holding companies, foreign banking entities regulated by the Federal Reserve Board and their respective affiliates — and nonbank financial company supervised by the Federal Reserve to engage in proprietary trading and have certain interests in, or relationships with certain private funds (“covered funds”). Under the final regulations implementing the Volcker Rule, which were adopted in December 2013, many CLOs will be covered funds if they invest, or are permitted to invest, in assets other than loans, certain cash equivalents and interest rate or currency hedges. As a result, many banking entities, including many U.S. and non-U.S. broker-dealers with affiliated banks, may be unable to invest in, or in some cases to make a market in, the securities of CLOs in which we have invested, which may reduce liquidity in these securities and have a material adverse effect on their valuation. Moreover, the Volcker Rule regulations may affect the market for CLOs such that our Asset Manager Affiliates may be</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57" w:lineRule="auto"/>
        <w:rPr>
          <w:sz w:val="20"/>
          <w:szCs w:val="20"/>
          <w:color w:val="auto"/>
        </w:rPr>
      </w:pPr>
      <w:r>
        <w:rPr>
          <w:rFonts w:ascii="Arial" w:cs="Arial" w:eastAsia="Arial" w:hAnsi="Arial"/>
          <w:sz w:val="18"/>
          <w:szCs w:val="18"/>
          <w:color w:val="auto"/>
        </w:rPr>
        <w:t>unable to establish, or to obtain warehouse funding for, new CLOs that would be covered funds. If our Asset Manager Affiliates establish CLOs that are structured not to be covered funds and thus do not permit investments in customary assets such as corporate bonds, asset-backed securities or synthetic investments, and we invest in such CLOs, the ability of our Asset Manager Affiliates to manage such CLOs will be constrained by those limitations, which could materially adversely affect any investments we make in such CLOs.</w:t>
      </w:r>
    </w:p>
    <w:p>
      <w:pPr>
        <w:spacing w:after="0" w:line="80" w:lineRule="exact"/>
        <w:rPr>
          <w:sz w:val="20"/>
          <w:szCs w:val="20"/>
          <w:color w:val="auto"/>
        </w:rPr>
      </w:pPr>
    </w:p>
    <w:p>
      <w:pPr>
        <w:ind w:left="40" w:right="639" w:firstLine="270"/>
        <w:spacing w:after="0" w:line="290" w:lineRule="auto"/>
        <w:rPr>
          <w:sz w:val="20"/>
          <w:szCs w:val="20"/>
          <w:color w:val="auto"/>
        </w:rPr>
      </w:pPr>
      <w:r>
        <w:rPr>
          <w:rFonts w:ascii="Arial" w:cs="Arial" w:eastAsia="Arial" w:hAnsi="Arial"/>
          <w:sz w:val="16"/>
          <w:szCs w:val="16"/>
          <w:color w:val="auto"/>
        </w:rPr>
        <w:t>In October 2014, the SEC, the FDIC, the Federal Reserve and certain other prudential banking regulators adopted final rules mandating risk retention for securitizations, including CLOs, which became effective on December 24, 2016. Under the final risk-retentions rules, our Asset Manager Affiliates (or a majority-owned affiliate of such entities, including the Company) will be required to hold interests equal to 5% of the fair value of any CLO they sponsor (unless the CLO invests only in certain qualifying loans, which we do not expect to be the case) and would be prohibited from selling or hedging those interests in accordance with the limitations on such sales or hedges set forth in the final rule. Our Asset Manager Affiliates (or a majority-owned affiliate of such entities, including the Company) will need to have the requisite capital to hold such interests as a condition to their ability to sponsor new CLOs, and the restrictions on hedging such interests may create greater risk with respect to those interests.</w:t>
      </w:r>
    </w:p>
    <w:p>
      <w:pPr>
        <w:spacing w:after="0" w:line="58" w:lineRule="exact"/>
        <w:rPr>
          <w:sz w:val="20"/>
          <w:szCs w:val="20"/>
          <w:color w:val="auto"/>
        </w:rPr>
      </w:pPr>
    </w:p>
    <w:p>
      <w:pPr>
        <w:jc w:val="both"/>
        <w:ind w:left="40" w:right="819" w:firstLine="270"/>
        <w:spacing w:after="0" w:line="264" w:lineRule="auto"/>
        <w:rPr>
          <w:sz w:val="20"/>
          <w:szCs w:val="20"/>
          <w:color w:val="auto"/>
        </w:rPr>
      </w:pPr>
      <w:r>
        <w:rPr>
          <w:rFonts w:ascii="Arial" w:cs="Arial" w:eastAsia="Arial" w:hAnsi="Arial"/>
          <w:sz w:val="18"/>
          <w:szCs w:val="18"/>
          <w:color w:val="auto"/>
        </w:rPr>
        <w:t>Our Asset Manager Affiliates’ (or a majority owned affiliate’s) investments in such CLOs, or their inability to invest in such CLOs (and thus inability to sponsor them) could each have a material adverse effect upon our business, results of operations or financial condition.</w:t>
      </w:r>
    </w:p>
    <w:p>
      <w:pPr>
        <w:spacing w:after="0" w:line="73"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In April 2010, the SEC proposed revised rules for asset-backed securities offerings (“Regulation AB II”) that, if adopted, would substantially change the disclosure, reporting and offering process for public and private offerings of asset-backed securities, including CLOs. The proposed rules, if adopted, would have required significant additional disclosures and would have altered the safe-harbor standards for the private placement of asset-backed securities to impose informational requirements similar to those that would apply to registered public offerings of such securities. The application of such informational requirements to CLOs, which have not historically been publicly registered, was unclear. On August 27, 2014, the SEC adopted a set of Regulation AB II final rules that was limited to asset-backed securities that were publicly registered. These rules impose changes to the offering process for publicly registered asset-backed securities and require disclosure of loan-level data for a subset of classes addressed in the proposed rules, but do not at this time extend to privately offered CLOs. However, the SEC has indicated that many aspects of the rule proposals, including the expansion of loan-level or grouped data disclosure requirements to additional asset classes and the possible application of the rules to private offerings of securities, remain under active consideration. The timing of the adoption of any additional final rules, their application to privately offered securities in general and to CLOs in particular, the cost of compliance with such rules, and whether compliance would compromise proprietary methods or strategies of our Asset Manager Affiliates, is currently unclear.</w:t>
      </w:r>
    </w:p>
    <w:p>
      <w:pPr>
        <w:spacing w:after="0" w:line="77"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Other financial reform regulations, including regulations requiring clearing and margining of swap transactions, which may affect our ability to enter into hedging transactions; changes in the definition and regulation of commodity pool operators and commodity trading advisors, which could subject our Asset Manager Affiliates to additional regulations; leveraged lending guidance that may affect the ways in which banking institutions originate the loans in which we and our affiliates invest; heightened regulatory capital and liquidity requirements for banks that may affect our ability to borrow on reasonable terms; and non-US regulations of financial market participants that may overlap, expand upon or be inconsistent with US regulations may all have material adverse effects on our business.</w:t>
      </w:r>
    </w:p>
    <w:p>
      <w:pPr>
        <w:spacing w:after="0" w:line="108"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If we do not invest a sufficient portion of our assets in Qualifying Assets, we could be precluded from investing according to our current business strategy.</w:t>
      </w:r>
    </w:p>
    <w:p>
      <w:pPr>
        <w:spacing w:after="0" w:line="62" w:lineRule="exact"/>
        <w:rPr>
          <w:sz w:val="20"/>
          <w:szCs w:val="20"/>
          <w:color w:val="auto"/>
        </w:rPr>
      </w:pPr>
    </w:p>
    <w:p>
      <w:pPr>
        <w:ind w:left="40" w:right="539" w:firstLine="270"/>
        <w:spacing w:after="0" w:line="342" w:lineRule="auto"/>
        <w:rPr>
          <w:sz w:val="20"/>
          <w:szCs w:val="20"/>
          <w:color w:val="auto"/>
        </w:rPr>
      </w:pPr>
      <w:r>
        <w:rPr>
          <w:rFonts w:ascii="Arial" w:cs="Arial" w:eastAsia="Arial" w:hAnsi="Arial"/>
          <w:sz w:val="16"/>
          <w:szCs w:val="16"/>
          <w:color w:val="auto"/>
        </w:rPr>
        <w:t>As a BDC, we may not acquire any assets other than Qualifying Assets for purposes of the 1940 Act unless, at the time of and after giving effect to such acquisition, at least 70% of our total assets are “qualifying assets”. See “Item 1: Business — Regulation”.</w:t>
      </w:r>
    </w:p>
    <w:p>
      <w:pPr>
        <w:spacing w:after="0" w:line="16" w:lineRule="exact"/>
        <w:rPr>
          <w:sz w:val="20"/>
          <w:szCs w:val="20"/>
          <w:color w:val="auto"/>
        </w:rPr>
      </w:pPr>
    </w:p>
    <w:p>
      <w:pPr>
        <w:jc w:val="both"/>
        <w:ind w:left="40" w:right="719" w:firstLine="270"/>
        <w:spacing w:after="0" w:line="259" w:lineRule="auto"/>
        <w:rPr>
          <w:sz w:val="20"/>
          <w:szCs w:val="20"/>
          <w:color w:val="auto"/>
        </w:rPr>
      </w:pPr>
      <w:r>
        <w:rPr>
          <w:rFonts w:ascii="Arial" w:cs="Arial" w:eastAsia="Arial" w:hAnsi="Arial"/>
          <w:sz w:val="18"/>
          <w:szCs w:val="18"/>
          <w:color w:val="auto"/>
        </w:rPr>
        <w:t>We believe that most of the senior loans and mezzanine investments that we acquire constitute “qualifying assets.” However, investments in the securities of CLO Funds generally do not constitute “qualifying assets,” and we may invest in other assets that are not “qualifying assets.” If we do not invest a sufficient portion of our assets in “qualifying assets,” we may be precluded from investing in what we believe</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39"/>
        <w:spacing w:after="0" w:line="279" w:lineRule="auto"/>
        <w:rPr>
          <w:sz w:val="20"/>
          <w:szCs w:val="20"/>
          <w:color w:val="auto"/>
        </w:rPr>
      </w:pPr>
      <w:r>
        <w:rPr>
          <w:rFonts w:ascii="Arial" w:cs="Arial" w:eastAsia="Arial" w:hAnsi="Arial"/>
          <w:sz w:val="17"/>
          <w:szCs w:val="17"/>
          <w:color w:val="auto"/>
        </w:rPr>
        <w:t>are attractive investments, which would have a material adverse effect on our business, financial condition and results of operations. These restrictions could also prevent us from making investments in the equity securities of CLO Funds, which could limit our Asset Manager Affiliates’ ability to organize new CLO Funds. Similarly, these rules could prevent us from making follow-on investments in existing portfolio companies (which could result in the dilution of our position).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the members of our independent directors and, in some cases, the SEC. Any person that owns, directly or indirectly, 5%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will be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or directors or their affiliates.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 failure on our part to maintain our status as a BDC would significantly reduce our operating flexibility.</w:t>
      </w:r>
    </w:p>
    <w:p>
      <w:pPr>
        <w:spacing w:after="0" w:line="117"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If we fail to maintain our status as a BDC, we might be regulated as a closed-end investment company that is required to register under the Investment Company Act, which would subject us to additional regulatory restrictions and significantly decrease our operating flexibility. In addition, any such failure could cause an event of default under our outstanding indebtedness, which could have a material adverse effect on our business, financial condition or results of operations.</w:t>
      </w:r>
    </w:p>
    <w:p>
      <w:pPr>
        <w:spacing w:after="0" w:line="104"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taxes if we are unable to qualify as a RIC under Subchapter M of the Code.</w:t>
      </w:r>
    </w:p>
    <w:p>
      <w:pPr>
        <w:spacing w:after="0" w:line="62" w:lineRule="exact"/>
        <w:rPr>
          <w:sz w:val="20"/>
          <w:szCs w:val="20"/>
          <w:color w:val="auto"/>
        </w:rPr>
      </w:pPr>
    </w:p>
    <w:p>
      <w:pPr>
        <w:ind w:left="40" w:right="1079" w:firstLine="270"/>
        <w:spacing w:after="0" w:line="277" w:lineRule="auto"/>
        <w:rPr>
          <w:sz w:val="20"/>
          <w:szCs w:val="20"/>
          <w:color w:val="auto"/>
        </w:rPr>
      </w:pPr>
      <w:r>
        <w:rPr>
          <w:rFonts w:ascii="Arial" w:cs="Arial" w:eastAsia="Arial" w:hAnsi="Arial"/>
          <w:sz w:val="18"/>
          <w:szCs w:val="18"/>
          <w:color w:val="auto"/>
        </w:rPr>
        <w:t>To maintain RIC tax treatment under the Code, we must meet the following annual distribution, income source and asset diversification requirements:</w:t>
      </w:r>
    </w:p>
    <w:p>
      <w:pPr>
        <w:spacing w:after="0" w:line="62" w:lineRule="exact"/>
        <w:rPr>
          <w:sz w:val="20"/>
          <w:szCs w:val="20"/>
          <w:color w:val="auto"/>
        </w:rPr>
      </w:pPr>
    </w:p>
    <w:p>
      <w:pPr>
        <w:ind w:left="600" w:right="519" w:hanging="322"/>
        <w:spacing w:after="0" w:line="272"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annual distribution requirement for a RIC will be satisfied if we distribute to our stockholders on an annual basis at least 90% of our net ordinary income and realized net short-term capital gains in excess of realized net long-term capital losses, if any. Because we use debt financing, we are subject to certain asset coverage ratio requirements under the 1940 Act and are (and may in the future become) subject to certain financial covenants under loan, indenture and credit agreements that could, under certain circumstances, restrict us from making distributions necessary to satisfy the distribution requirement. If we are unable to obtain cash from other sources, we could fail to qualify for RIC tax treatment and thus become subject to corporate-level U.S. federal income taxes.</w:t>
      </w:r>
    </w:p>
    <w:p>
      <w:pPr>
        <w:spacing w:after="0" w:line="69" w:lineRule="exact"/>
        <w:rPr>
          <w:rFonts w:ascii="Arial" w:cs="Arial" w:eastAsia="Arial" w:hAnsi="Arial"/>
          <w:sz w:val="17"/>
          <w:szCs w:val="17"/>
          <w:color w:val="auto"/>
        </w:rPr>
      </w:pPr>
    </w:p>
    <w:p>
      <w:pPr>
        <w:ind w:left="600" w:right="959" w:hanging="322"/>
        <w:spacing w:after="0" w:line="277"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source income requirement will be satisfied if we obtain at least 90% of our income for each year from dividends, interest, gains from the sale of stock or securities or similar sources.</w:t>
      </w:r>
    </w:p>
    <w:p>
      <w:pPr>
        <w:spacing w:after="0" w:line="62" w:lineRule="exact"/>
        <w:rPr>
          <w:rFonts w:ascii="Arial" w:cs="Arial" w:eastAsia="Arial" w:hAnsi="Arial"/>
          <w:sz w:val="18"/>
          <w:szCs w:val="18"/>
          <w:color w:val="auto"/>
        </w:rPr>
      </w:pPr>
    </w:p>
    <w:p>
      <w:pPr>
        <w:ind w:left="600" w:right="539" w:hanging="322"/>
        <w:spacing w:after="0" w:line="270"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asset diversification requirement will be satisfied if we meet certain asset diversification requirements at the end of each quarter of our taxable year. To satisfy this requirement, at least 50% of the value of our assets must consist of cash, cash equivalents,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If we do not satisfy the diversification requirements as of the end of any quarter, we will not lose our status as RIC provided that (i) we satisfied the requirements in a prior quarter and (ii) our failure to satisfy the requirements in the current quarter is not due in whole or in part to an acquisition of any security or other property.</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79" w:firstLine="270"/>
        <w:spacing w:after="0" w:line="273" w:lineRule="auto"/>
        <w:rPr>
          <w:sz w:val="20"/>
          <w:szCs w:val="20"/>
          <w:color w:val="auto"/>
        </w:rPr>
      </w:pPr>
      <w:r>
        <w:rPr>
          <w:rFonts w:ascii="Arial" w:cs="Arial" w:eastAsia="Arial" w:hAnsi="Arial"/>
          <w:sz w:val="17"/>
          <w:szCs w:val="17"/>
          <w:color w:val="auto"/>
        </w:rPr>
        <w:t>Failure to meet these requirements may result in our having to dispose of certain investments quickly in order to prevent the loss of RIC status. Because most of our investments will be in private companies, and therefore will be illiquid, any such dispositions could be made at disadvantageous prices and could result in substantial losses. Moreover, if we fail to maintain RIC tax treatment for any reason and are subject to corporate-level U.S. federal income taxes, the resulting taxes could substantially reduce our net assets, the amount of income available for distribution and the amount of our distributions. Such a failure would have a material adverse effect on us and on our stockholders.</w:t>
      </w:r>
    </w:p>
    <w:p>
      <w:pPr>
        <w:spacing w:after="0" w:line="97" w:lineRule="exact"/>
        <w:rPr>
          <w:sz w:val="20"/>
          <w:szCs w:val="20"/>
          <w:color w:val="auto"/>
        </w:rPr>
      </w:pPr>
    </w:p>
    <w:p>
      <w:pPr>
        <w:ind w:left="40" w:right="1239"/>
        <w:spacing w:after="0" w:line="277" w:lineRule="auto"/>
        <w:rPr>
          <w:sz w:val="20"/>
          <w:szCs w:val="20"/>
          <w:color w:val="auto"/>
        </w:rPr>
      </w:pPr>
      <w:r>
        <w:rPr>
          <w:rFonts w:ascii="Arial" w:cs="Arial" w:eastAsia="Arial" w:hAnsi="Arial"/>
          <w:sz w:val="18"/>
          <w:szCs w:val="18"/>
          <w:b w:val="1"/>
          <w:bCs w:val="1"/>
          <w:i w:val="1"/>
          <w:iCs w:val="1"/>
          <w:color w:val="auto"/>
        </w:rPr>
        <w:t>Proposed regulations may impact our ability to qualify as a RIC if we do not receive timely distributions from our CLO investments.</w:t>
      </w:r>
    </w:p>
    <w:p>
      <w:pPr>
        <w:spacing w:after="0" w:line="62"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may be required to include in our income our proportionate share of the income of certain CLO investments to the extent that such CLOs are passive foreign investment companies (“PFICs”) for which we have made a qualifying electing fund (“QEF”) election or are controlled foreign corporations (“CFCs”). To qualify as a RIC, we must, among other thing, derive in each taxable year at least 90% of our gross income from certain sources specified in the Code (the “90% Income Test”). Although the Code generally provides that the income inclusions from a QEF or a CFC will be “good income” for purposes of this 90% Income Test to the extent that the QEF or the CFC distribute such income to us in the same taxable year to which the income is included in our income, the Code does not specifically provide whether these income inclusions would be “good income” for this 90% Income Test if we do not receive distributions from the QEF or CFC during such taxable year. The IRS has issued a series of private rulings in which it has concluded that all income inclusions from a QEF or a CFC included in a RIC’s gross income would constitute “good income” for purposes of the 90% Income Test. Such rulings are not binding on the IRS except with respect to the taxpayers to whom such rulings were issued. Accordingly, under current law, we believe that the income inclusions from a CLO that is a QEF or a CFC would be “good income” for purposes of the 90% Income Test. Recently, the IRS and U.S. Treasury Department issued proposed regulations that provide that the income inclusions from a QEF or a CFC would not be good income for purposes of the 90% Income Test unless we receive a cash distribution from such entity in the same year attributable to the included income. If such income were not considered “good income” for purposes of the 90% Income Test, we may fail to qualify as a RIC.</w:t>
      </w:r>
    </w:p>
    <w:p>
      <w:pPr>
        <w:spacing w:after="0" w:line="16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Risks Associated with Our Information Technology Systems</w:t>
      </w:r>
    </w:p>
    <w:p>
      <w:pPr>
        <w:spacing w:after="0" w:line="12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We rely on various information technology systems to manage our operations. Information technology systems are subject to numerous risks including unanticipated operating problems, system failures, rapid technological change, failure of the systems that operate as anticipated, reliance on third party computer hardware, software and IT service providers, computer viruses, telecommunication failures, data breaches, denial of service attacks, spamming, phishing attacks, computer hackers and other similar disruptions, any of which could materially adversely impact our consolidated financial condition and results of operations. Additional risks include, but are not limited to, the following:</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Disruptions in current systems or difficulties in integrating new systems.</w:t>
      </w:r>
    </w:p>
    <w:p>
      <w:pPr>
        <w:spacing w:after="0" w:line="117"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We regularly maintain, upgrade, enhance or replace our information technology systems to support our business strategies and provide business continuity. Replacing legacy systems with successor systems, making changes to existing systems or acquiring new systems with new functionality have inherent risks including disruptions, delays, or difficulties that may impair the effectiveness of our information technology systems.</w:t>
      </w:r>
    </w:p>
    <w:p>
      <w:pPr>
        <w:spacing w:after="0" w:line="119" w:lineRule="exact"/>
        <w:rPr>
          <w:sz w:val="20"/>
          <w:szCs w:val="20"/>
          <w:color w:val="auto"/>
        </w:rPr>
      </w:pPr>
    </w:p>
    <w:p>
      <w:pPr>
        <w:ind w:left="40" w:right="619"/>
        <w:spacing w:after="0" w:line="264" w:lineRule="auto"/>
        <w:rPr>
          <w:sz w:val="20"/>
          <w:szCs w:val="20"/>
          <w:color w:val="auto"/>
        </w:rPr>
      </w:pPr>
      <w:r>
        <w:rPr>
          <w:rFonts w:ascii="Arial" w:cs="Arial" w:eastAsia="Arial" w:hAnsi="Arial"/>
          <w:sz w:val="18"/>
          <w:szCs w:val="18"/>
          <w:b w:val="1"/>
          <w:bCs w:val="1"/>
          <w:i w:val="1"/>
          <w:iCs w:val="1"/>
          <w:color w:val="auto"/>
        </w:rPr>
        <w:t>If we are unable to maintain the availability of our electronic data systems and safeguard the security of our data, our ability to conduct business may be compromised, which impair our liquidity, disrupt our business, damage our reputation and cause losses.</w:t>
      </w:r>
    </w:p>
    <w:p>
      <w:pPr>
        <w:spacing w:after="0" w:line="73"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Cybersecurity refers to the combination of technologies, processes, and procedures established to protect information technology systems and data from unauthorized access, attack, or damage. We are subject to cybersecurity risks. Information cyber security risks have significantly increased in recent years and, while we have not experienced any material losses relating to cyber attacks or other information security breaches, we could suffer such losses in the future. Our computer systems, software and networks may be vulnerable to</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87" w:lineRule="auto"/>
        <w:rPr>
          <w:sz w:val="20"/>
          <w:szCs w:val="20"/>
          <w:color w:val="auto"/>
        </w:rPr>
      </w:pPr>
      <w:r>
        <w:rPr>
          <w:rFonts w:ascii="Arial" w:cs="Arial" w:eastAsia="Arial" w:hAnsi="Arial"/>
          <w:sz w:val="16"/>
          <w:szCs w:val="16"/>
          <w:color w:val="auto"/>
        </w:rPr>
        <w:t>unauthorized access, computer viruses or other malicious code and other events that could have a security impact. If one or more of such events occur, this potentially could jeopardize confidential and other information, including nonpublic personal information and sensitive business data, processed and stored in, and transmitted through, our computer systems and networks, or otherwise cause interruptions or malfunctions in our operations or the operations of our customers or counterparties, which could result in significant losses or reputational damage. This could result in significant losses, reputational damage, litigation, regulatory fines or penalties, or otherwise adversely affect our business, financial condition or results of operations. Privacy and information security laws and regulation changes, and compliance with those changes, may result in cost increases due to system changes and the development of new administrative processes. In addition, we may be required to expend significant additional resources to modify our protective measures and to investigate and remediate vulnerabilities or other exposures arising from operational and security risks. We currently do not maintain insurance coverage relating to cybersecurity risks, and we may be required to expend significant additional resources to modify our protective measures or to investigate and remediate vulnerabilities or other exposures, and we may be subject to litigation and financial losses that are not fully insured.</w:t>
      </w:r>
    </w:p>
    <w:p>
      <w:pPr>
        <w:spacing w:after="0" w:line="61"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Third parties with which we do business may also be sources of cybersecurity or other technological risks. We outsource certain functions and these relationships allow for the storage and processing of our information, as well as customer,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w:t>
      </w:r>
    </w:p>
    <w:p>
      <w:pPr>
        <w:spacing w:after="0" w:line="107" w:lineRule="exact"/>
        <w:rPr>
          <w:sz w:val="20"/>
          <w:szCs w:val="20"/>
          <w:color w:val="auto"/>
        </w:rPr>
      </w:pPr>
    </w:p>
    <w:p>
      <w:pPr>
        <w:ind w:left="40" w:right="579"/>
        <w:spacing w:after="0" w:line="375" w:lineRule="auto"/>
        <w:rPr>
          <w:sz w:val="20"/>
          <w:szCs w:val="20"/>
          <w:color w:val="auto"/>
        </w:rPr>
      </w:pPr>
      <w:r>
        <w:rPr>
          <w:rFonts w:ascii="Arial" w:cs="Arial" w:eastAsia="Arial" w:hAnsi="Arial"/>
          <w:sz w:val="15"/>
          <w:szCs w:val="15"/>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 w:lineRule="exact"/>
        <w:rPr>
          <w:sz w:val="20"/>
          <w:szCs w:val="20"/>
          <w:color w:val="auto"/>
        </w:rPr>
      </w:pPr>
    </w:p>
    <w:p>
      <w:pPr>
        <w:ind w:left="40" w:right="579" w:firstLine="270"/>
        <w:spacing w:after="0" w:line="288"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6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Risks Related to Our Debt Securitization Financing Transactions</w:t>
      </w:r>
    </w:p>
    <w:p>
      <w:pPr>
        <w:spacing w:after="0" w:line="162"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We are subject to certain risks as a result of our indirect interests in the subordinated notes and membership interests of KCAP Senior Funding I, LLC.</w:t>
      </w:r>
    </w:p>
    <w:p>
      <w:pPr>
        <w:spacing w:after="0" w:line="62" w:lineRule="exact"/>
        <w:rPr>
          <w:sz w:val="20"/>
          <w:szCs w:val="20"/>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On June 18, 2013, KCAP Senior Funding I, LLC, a specialty finance subsidiary of the Company, was capitalized through the issuance of $140 million of notes (the “KCAP Senior Funding I Notes”). In December 2014, KCAP Senior Funding I, LLC, issued an additional $56 million of notes. The KCAP Senior Funding I Notes are backed by a diversified portfolio of bank loans.</w:t>
      </w:r>
    </w:p>
    <w:p>
      <w:pPr>
        <w:spacing w:after="0" w:line="39"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Under the terms of the master loan sale agreement governing the debt securitization financing transaction, (1) we sold and/or contributed to KCAP Senior Funding I Holdings, LLC (“Holdings”) all of our ownership interest in our portfolio loans and participations for the purchase price and other consideration set forth in the master loan sale agreement and (2) Holdings, in turn, sold and/or contributed to KCAP Senior Funding I, LLC (the “Issuer”) all of its ownership interest in such portfolio loans and participations for the purchase price and the consideration set forth in the master loan sale agreement. Following these transfers, the Issuer, and not Holdings or us, held all of the ownership interest in such portfolio loans and participations. As a result of the debt securitization financing transaction, we hold indirectly through Holdings all of the</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55" w:lineRule="auto"/>
        <w:rPr>
          <w:sz w:val="20"/>
          <w:szCs w:val="20"/>
          <w:color w:val="auto"/>
        </w:rPr>
      </w:pPr>
      <w:r>
        <w:rPr>
          <w:rFonts w:ascii="Arial" w:cs="Arial" w:eastAsia="Arial" w:hAnsi="Arial"/>
          <w:sz w:val="18"/>
          <w:szCs w:val="18"/>
          <w:color w:val="auto"/>
        </w:rPr>
        <w:t>subordinated notes and membership interests of the Issuer. As a result, we consolidate the financial statements of Holdings and the Issuer in our consolidated financial statements. Because Holdings and the Issuer are disregarded as entities separate from its owner for U.S. federal income tax purposes, each of the sale or contribution of portfolio loans by us to Holdings, and the sale of portfolio loans by Holdings to the Issuer, did not constitute a taxable event for U.S. federal income tax purposes. If the U.S. Internal Revenue Service were to take a contrary position, there could be a material adverse effect on our business, financial condition, results of operations or cash flows.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subordinated notes and membership interests of the Issuer are subordinated obligations of the Issuer.</w:t>
      </w:r>
    </w:p>
    <w:p>
      <w:pPr>
        <w:spacing w:after="0" w:line="117"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The subordinated notes of the Issuer are the junior class of notes issued by the Issuer, are subordinated in priority of payment to the secured notes issued by the Issuer and are subject to certain payment restrictions set forth in the indenture governing the notes of the Issuer. Therefore, Holdings only receives cash distributions on the subordinated notes if the Issuer has made all cash interest payments on the secured notes it has issued, and we only receive cash distributions in respect of our indirect ownership of the Issuer to the extent that Holdings receives any cash distributions in respect of its direct ownership of the Issuer. The subordinated notes of the Issuer are also unsecured and rank behind all of the secured creditors, known or unknown, of the Issuer, including the holders of the secured notes it has issued. Consequently, to the extent that the value of either the Issuer’s portfolio of loan investments has been reduced as a result of conditions in the credit markets, or as a result of defaulted loans or individual fund assets, the value of the subordinated notes of such securitization issuer at their redemption could be reduced. Accordingly, our investment in the Issuer may be subject to complete loss.</w:t>
      </w:r>
    </w:p>
    <w:p>
      <w:pPr>
        <w:spacing w:after="0" w:line="70"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The membership interests in the Issuer represent all of the residual economic interest in the Issuer. As such, the holder of the membership interests of the Issuer is the residual claimant on distributions, if any, made by the Issuer after holders of all classes of notes issued by the Issuer have been paid in full on each payment date or upon maturity of such notes under the debt securitization financing transaction documents.</w:t>
      </w:r>
    </w:p>
    <w:p>
      <w:pPr>
        <w:spacing w:after="0" w:line="79"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If an event of default has occurred and acceleration occurs in accordance with the terms of the indenture governing the notes of the Issuer, the secured notes of the Issuer then outstanding will be paid in full before any further payment or distribution on the subordinated notes of the Issuer. In addition, if an event of default occurs, holders of a majority of the most senior class of secured notes then outstanding will be entitled to determine the remedies to be exercised under the indenture, subject to the terms of the indenture. For example, upon the occurrence of an event of default with respect to the notes issued by the Issuer, the trustee or holders of a majority of the most senior class of secured notes of the Issuer then outstanding may declare the principal, together with any accrued interest, of all the notes of such class and any junior classes to be immediately due and payable. This would have the effect of accelerating the principal on such notes, triggering a repayment obligation on the part of the Issuer. If at such time the portfolio loans of the Issuer were not performing well, the Issuer may not have sufficient proceeds available to enable the trustee under the indenture to repay the obligations of holders of the subordinated notes of the Securitization Issuer, or to pay a dividend to holders of the membership interests of the Issuer.</w:t>
      </w:r>
    </w:p>
    <w:p>
      <w:pPr>
        <w:spacing w:after="0" w:line="75"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Remedies pursued by the holders of the secured notes of the Issuer could be adverse to the interests of the holders of the subordinated notes of the Issuer, and the holders of such secured notes will have no obligation to consider any possible adverse effect on such other interests. Thus, any remedies pursued by the holders of the secured notes of the Issuer may not be in our best interests and we may not receive payments or distributions upon an acceleration of the secured notes. Any failure of the Issuer to make distributions on the subordinated notes we hold, directly or indirectly, whether as a result of an event of default or otherwise, could have a material adverse effect on our business, financial condition, results of operations and cash flows and may result in an inability of us to make distributions sufficient to allow our qualification as a RIC.</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Issuer may fail to meet certain coverage tests.</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Under the documents governing the debt securitization financing transaction, there are two coverage tests applicable to the secured notes. The first such test compares the amount of interest received on the portfolio loans held by the Issuer to the amount of interest payable in respect of the secured notes of the Issuer. To meet this test at any time, interest received on the portfolio loans must equal at least 127% to 150% (based</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87" w:lineRule="auto"/>
        <w:rPr>
          <w:sz w:val="20"/>
          <w:szCs w:val="20"/>
          <w:color w:val="auto"/>
        </w:rPr>
      </w:pPr>
      <w:r>
        <w:rPr>
          <w:rFonts w:ascii="Arial" w:cs="Arial" w:eastAsia="Arial" w:hAnsi="Arial"/>
          <w:sz w:val="16"/>
          <w:szCs w:val="16"/>
          <w:color w:val="auto"/>
        </w:rPr>
        <w:t>upon a graduated scale for the most senior class of secured notes then outstanding as provided for in the indenture) of the interest payable in respect of the secured notes of the Issuer. The second such test compares the principal amount of the portfolio loans held by the Issuer to the aggregate outstanding principal amount of the secured notes of the Issuer. To meet this test at any time, the aggregate principal amount of the portfolio loans held by the Issuer must equal at least 124% to 147% (based upon a graduated scale for the most senior class of secured notes then outstanding as provided for in the indenture) of the outstanding principal amount of the secured notes of the Issuer. If either coverage test is not satisfied, interest and principal received by the Issuer are diverted on the following payment date to pay the most senior class or classes of secured notes to the extent necessary to cause all coverage tests to be satisfied on a pro forma basis after giving effect to all payments made in respect of the notes, which, with respect to the payment of any principal amount of the secured notes, we refer to as a mandatory redemption. If any coverage test with respect to the secured notes is not met, proceeds from the portfolio of loan investments that otherwise would have been distributed to the Issuer and the holders of its subordinated notes will instead be used to redeem first the secured notes of the Issuer, to the extent necessary to satisfy the applicable coverage tests.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receive cash on our equity interests in the Issuer.</w:t>
      </w:r>
    </w:p>
    <w:p>
      <w:pPr>
        <w:spacing w:after="0" w:line="117"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We receive cash from the Issuer only to the extent that we or Holdings, as applicable, receives payments on the subordinated notes or membership interests of the Issuer. The Issuer may only make payments on such securities to the extent permitted by the payment priority provisions of the indenture governing the notes, which generally provides that principal payments on the subordinated notes may not be made on any payment date unless all amounts owing under the secured notes issued under such indenture are paid in full. In addition, if the Issuer does not meet the coverage tests set forth in the documents governing the debt securitization financing transaction, cash would be diverted from the subordinated notes of the Issuer to first pay the secured notes of the Issuer in amounts sufficient to cause such tests to be satisfied. In the event that we fail to directly or indirectly receive cash from the Issuer, we could be unable to make distributions in amounts sufficient to maintain our status as a RIC, or at all. We also could be forced to sell investments in portfolio companies at less than their fair value in order to continue making such distributions. However, the indenture places significant restrictions on the Issuer’s ability to sell investments. As a result, there may be times or circumstances during which the Issuer is unable to sell investments or take other actions that might be in our best interests.</w:t>
      </w:r>
    </w:p>
    <w:p>
      <w:pPr>
        <w:spacing w:after="0" w:line="112" w:lineRule="exact"/>
        <w:rPr>
          <w:sz w:val="20"/>
          <w:szCs w:val="20"/>
          <w:color w:val="auto"/>
        </w:rPr>
      </w:pPr>
    </w:p>
    <w:p>
      <w:pPr>
        <w:ind w:left="40" w:right="699"/>
        <w:spacing w:after="0" w:line="286" w:lineRule="auto"/>
        <w:rPr>
          <w:sz w:val="20"/>
          <w:szCs w:val="20"/>
          <w:color w:val="auto"/>
        </w:rPr>
      </w:pPr>
      <w:r>
        <w:rPr>
          <w:rFonts w:ascii="Arial" w:cs="Arial" w:eastAsia="Arial" w:hAnsi="Arial"/>
          <w:sz w:val="17"/>
          <w:szCs w:val="17"/>
          <w:b w:val="1"/>
          <w:bCs w:val="1"/>
          <w:i w:val="1"/>
          <w:iCs w:val="1"/>
          <w:color w:val="auto"/>
        </w:rPr>
        <w:t>A significant portion of the assets reflected on our financial statements are held by the Issuer and are subject to security interests under the senior secured notes issued by the Issuer and if it defaults on its obligations under the senior secured notes we and the Issuer may suffer adverse consequences, including foreclosure on those assets.</w:t>
      </w:r>
    </w:p>
    <w:p>
      <w:pPr>
        <w:spacing w:after="0" w:line="5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In connection with our debt securitization financing transaction, we transferred all of our interests in certain portfolio loans to the Issuer. In doing so, we transferred any right we previously had to the payments made on such portfolio loans in exchange for 100% of the residual interests in the Issuer. As a result, we face a heightened risk of loss due to the impact of leverage utilized by the Issuer, which would have the effect of magnifying the impact on us of a loss on any portfolio loan held by the Issuer. In addition, while we serve as the collateral manager for the Issuer, which provides us with the authority to enforce payment obligations and loan covenants of the portfolio loans that we transferred to the Issuer, we are required to exercise such authority for the interests of the Issuer, rather than for our own interests alone.</w:t>
      </w:r>
    </w:p>
    <w:p>
      <w:pPr>
        <w:spacing w:after="0" w:line="70" w:lineRule="exact"/>
        <w:rPr>
          <w:sz w:val="20"/>
          <w:szCs w:val="20"/>
          <w:color w:val="auto"/>
        </w:rPr>
      </w:pPr>
    </w:p>
    <w:p>
      <w:pPr>
        <w:ind w:left="40" w:right="519" w:firstLine="270"/>
        <w:spacing w:after="0" w:line="254" w:lineRule="auto"/>
        <w:rPr>
          <w:sz w:val="20"/>
          <w:szCs w:val="20"/>
          <w:color w:val="auto"/>
        </w:rPr>
      </w:pPr>
      <w:r>
        <w:rPr>
          <w:rFonts w:ascii="Arial" w:cs="Arial" w:eastAsia="Arial" w:hAnsi="Arial"/>
          <w:sz w:val="18"/>
          <w:szCs w:val="18"/>
          <w:color w:val="auto"/>
        </w:rPr>
        <w:t>The structure of the debt securitization financing transaction is intended to prevent, in the event of our bankruptcy or the bankruptcy of Holdings, the consolidation for purposes of such bankruptcy proceedings of the Issuer with our operations or those of Holdings. If the true sale of these assets were not respected in the event of our insolvency, a trustee or debtor-in-possession might reclaim the assets of the Issuer for our estate. However, in doing so, we would become directly liable for all of the indebtedness then outstanding under the debt securitization financing transaction, which would equal the full amount of debt of the Issuer reflected on our consolidated balance sheet. In addition, we cannot assure that the recovery in the event we were consolidated with the Issuer for purposes of any bankruptcy proceeding would exceed the amount to which we would otherwise be entitled as a direct or indirect.</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As of December 31, 2016, $190.4 million of the assets that are reflected on our consolidated financial statements were held by the Issuer and pledged as collateral under the senior secured notes issued by the Issuer. If the Issuer defaults on its obligations under the senior secured notes, the holders of the senior secured notes may have the right to foreclose upon and sell, or otherwise transfer, the Issuer’s assets. In such event, we and the Issuer may be forced to sell the Issuer’s investments to raise funds to repay the Issuer’s outstanding borrowings in order to avoid foreclosure and these forced sales may be at times and at prices we and the Issuer would not consider advantageous, which could result in a decrease in the value of the Company’s equity investment in the Issuer. Moreover, such deleveraging of our company could significantly impair our ability to effectively operate our business in the manner in which we have historically operated. As a result, we could be forced to curtail or cease new investment activities and lower or eliminate the dividends that we have historically paid to our stockholders.</w:t>
      </w:r>
    </w:p>
    <w:p>
      <w:pPr>
        <w:spacing w:after="0" w:line="59"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In addition, in certain limited circumstances in the event of default, if the holders of the senior secured notes exercise their right to sell the assets pledged by the Issuer, such sales may be completed at distressed sale prices, thereby diminishing or potentially eliminating the amount of cash available to the Issuer and us after repayment of the amounts outstanding under the senior secured notes.</w:t>
      </w:r>
    </w:p>
    <w:p>
      <w:pPr>
        <w:spacing w:after="0" w:line="18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Risks Related to Our Investments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investments may be risky, and you could lose all or part of your investment.</w:t>
      </w:r>
    </w:p>
    <w:p>
      <w:pPr>
        <w:spacing w:after="0" w:line="117" w:lineRule="exact"/>
        <w:rPr>
          <w:sz w:val="20"/>
          <w:szCs w:val="20"/>
          <w:color w:val="auto"/>
        </w:rPr>
      </w:pPr>
    </w:p>
    <w:p>
      <w:pPr>
        <w:ind w:left="40" w:right="519" w:firstLine="270"/>
        <w:spacing w:after="0" w:line="279" w:lineRule="auto"/>
        <w:rPr>
          <w:sz w:val="20"/>
          <w:szCs w:val="20"/>
          <w:color w:val="auto"/>
        </w:rPr>
      </w:pPr>
      <w:r>
        <w:rPr>
          <w:rFonts w:ascii="Arial" w:cs="Arial" w:eastAsia="Arial" w:hAnsi="Arial"/>
          <w:sz w:val="17"/>
          <w:szCs w:val="17"/>
          <w:color w:val="auto"/>
        </w:rPr>
        <w:t>We invest primarily in senior secured term loans, mezzanine debt, selected equity investments issued by middle market companies, CLO Funds and our Asset Manager Affiliates. The investments in our Debt Securities Portfolio are all or predominantly below investment grade, may be highly leveraged, and therefore have speculative characteristics with respect to the issuer’s capacity to pay interest and repay principal. Defaults by portfolio companies may harm our operating results.</w:t>
      </w:r>
    </w:p>
    <w:p>
      <w:pPr>
        <w:spacing w:after="0" w:line="63"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i w:val="1"/>
          <w:iCs w:val="1"/>
          <w:color w:val="auto"/>
        </w:rPr>
        <w:t>Secured Loans</w:t>
      </w:r>
      <w:r>
        <w:rPr>
          <w:rFonts w:ascii="Arial" w:cs="Arial" w:eastAsia="Arial" w:hAnsi="Arial"/>
          <w:sz w:val="16"/>
          <w:szCs w:val="16"/>
          <w:color w:val="auto"/>
        </w:rPr>
        <w:t>. When we extend secured term loans, we generally take a security interest (either as a first lien position or as a</w:t>
      </w:r>
      <w:r>
        <w:rPr>
          <w:rFonts w:ascii="Arial" w:cs="Arial" w:eastAsia="Arial" w:hAnsi="Arial"/>
          <w:sz w:val="16"/>
          <w:szCs w:val="16"/>
          <w:i w:val="1"/>
          <w:iCs w:val="1"/>
          <w:color w:val="auto"/>
        </w:rPr>
        <w:t xml:space="preserve"> </w:t>
      </w:r>
      <w:r>
        <w:rPr>
          <w:rFonts w:ascii="Arial" w:cs="Arial" w:eastAsia="Arial" w:hAnsi="Arial"/>
          <w:sz w:val="16"/>
          <w:szCs w:val="16"/>
          <w:color w:val="auto"/>
        </w:rPr>
        <w:t>second lien position) in the available assets of these portfolio companies, including the equity interests of their subsidiaries, which we expect to assist in mitigating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exercise our remedies.</w:t>
      </w:r>
    </w:p>
    <w:p>
      <w:pPr>
        <w:spacing w:after="0" w:line="6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i w:val="1"/>
          <w:iCs w:val="1"/>
          <w:color w:val="auto"/>
        </w:rPr>
        <w:t>Mezzanine Debt</w:t>
      </w:r>
      <w:r>
        <w:rPr>
          <w:rFonts w:ascii="Arial" w:cs="Arial" w:eastAsia="Arial" w:hAnsi="Arial"/>
          <w:sz w:val="18"/>
          <w:szCs w:val="18"/>
          <w:color w:val="auto"/>
        </w:rPr>
        <w:t>. Our mezzanine debt investments generally are subordinated to senior loans and generally are unsecured. This</w:t>
      </w:r>
      <w:r>
        <w:rPr>
          <w:rFonts w:ascii="Arial" w:cs="Arial" w:eastAsia="Arial" w:hAnsi="Arial"/>
          <w:sz w:val="18"/>
          <w:szCs w:val="18"/>
          <w:i w:val="1"/>
          <w:iCs w:val="1"/>
          <w:color w:val="auto"/>
        </w:rPr>
        <w:t xml:space="preserve"> </w:t>
      </w:r>
      <w:r>
        <w:rPr>
          <w:rFonts w:ascii="Arial" w:cs="Arial" w:eastAsia="Arial" w:hAnsi="Arial"/>
          <w:sz w:val="18"/>
          <w:szCs w:val="18"/>
          <w:color w:val="auto"/>
        </w:rPr>
        <w:t>may result in an above average amount of risk and volatility or loss of principal.</w:t>
      </w:r>
    </w:p>
    <w:p>
      <w:pPr>
        <w:spacing w:after="0" w:line="62"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These investments may entail additional risks that could adversely affect our investment returns. To the extent interest payments associated with such debt are deferred, such debt is subject to greater fluctuations in value based on changes in interest rates and such debt could subject us to phantom income. Since we generally do not receive any cash prior to maturity of the debt, the investment is of greater risk.</w:t>
      </w:r>
    </w:p>
    <w:p>
      <w:pPr>
        <w:spacing w:after="0" w:line="79" w:lineRule="exact"/>
        <w:rPr>
          <w:sz w:val="20"/>
          <w:szCs w:val="20"/>
          <w:color w:val="auto"/>
        </w:rPr>
      </w:pPr>
    </w:p>
    <w:p>
      <w:pPr>
        <w:jc w:val="both"/>
        <w:ind w:left="40" w:right="1159" w:firstLine="270"/>
        <w:spacing w:after="0" w:line="288" w:lineRule="auto"/>
        <w:rPr>
          <w:sz w:val="20"/>
          <w:szCs w:val="20"/>
          <w:color w:val="auto"/>
        </w:rPr>
      </w:pPr>
      <w:r>
        <w:rPr>
          <w:rFonts w:ascii="Arial" w:cs="Arial" w:eastAsia="Arial" w:hAnsi="Arial"/>
          <w:sz w:val="16"/>
          <w:szCs w:val="16"/>
          <w:i w:val="1"/>
          <w:iCs w:val="1"/>
          <w:color w:val="auto"/>
        </w:rPr>
        <w:t>Equity Investments</w:t>
      </w:r>
      <w:r>
        <w:rPr>
          <w:rFonts w:ascii="Arial" w:cs="Arial" w:eastAsia="Arial" w:hAnsi="Arial"/>
          <w:sz w:val="16"/>
          <w:szCs w:val="16"/>
          <w:color w:val="auto"/>
        </w:rPr>
        <w:t>. We have made and expect to make selected equity investments in the middle market companies.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when we invest in senior secured loans or mezzanine debt, we may acquire warrants in the equity of the portfolio company. Our goal is ultimately to dispose of such equity interests and realize gains upon our disposition of such interests.</w:t>
      </w:r>
    </w:p>
    <w:p>
      <w:pPr>
        <w:ind w:left="40" w:right="559"/>
        <w:spacing w:after="0" w:line="255" w:lineRule="auto"/>
        <w:rPr>
          <w:sz w:val="20"/>
          <w:szCs w:val="20"/>
          <w:color w:val="auto"/>
        </w:rPr>
      </w:pPr>
      <w:r>
        <w:rPr>
          <w:rFonts w:ascii="Arial" w:cs="Arial" w:eastAsia="Arial" w:hAnsi="Arial"/>
          <w:sz w:val="18"/>
          <w:szCs w:val="18"/>
          <w:color w:val="auto"/>
        </w:rPr>
        <w:t>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200" w:lineRule="exact"/>
        <w:rPr>
          <w:sz w:val="20"/>
          <w:szCs w:val="20"/>
          <w:color w:val="auto"/>
        </w:rPr>
      </w:pPr>
    </w:p>
    <w:p>
      <w:pPr>
        <w:spacing w:after="0" w:line="34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299" w:firstLine="270"/>
        <w:spacing w:after="0" w:line="277" w:lineRule="auto"/>
        <w:rPr>
          <w:sz w:val="20"/>
          <w:szCs w:val="20"/>
          <w:color w:val="auto"/>
        </w:rPr>
      </w:pPr>
      <w:r>
        <w:rPr>
          <w:rFonts w:ascii="Arial" w:cs="Arial" w:eastAsia="Arial" w:hAnsi="Arial"/>
          <w:sz w:val="18"/>
          <w:szCs w:val="18"/>
          <w:i w:val="1"/>
          <w:iCs w:val="1"/>
          <w:color w:val="auto"/>
        </w:rPr>
        <w:t>Risks Associated with Middle Market Companies</w:t>
      </w:r>
      <w:r>
        <w:rPr>
          <w:rFonts w:ascii="Arial" w:cs="Arial" w:eastAsia="Arial" w:hAnsi="Arial"/>
          <w:sz w:val="18"/>
          <w:szCs w:val="18"/>
          <w:color w:val="auto"/>
        </w:rPr>
        <w:t>. Investments in middle market companies also involve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risks, including:</w:t>
      </w:r>
    </w:p>
    <w:p>
      <w:pPr>
        <w:spacing w:after="0" w:line="62" w:lineRule="exact"/>
        <w:rPr>
          <w:sz w:val="20"/>
          <w:szCs w:val="20"/>
          <w:color w:val="auto"/>
        </w:rPr>
      </w:pPr>
    </w:p>
    <w:p>
      <w:pPr>
        <w:ind w:left="600" w:right="519" w:hanging="322"/>
        <w:spacing w:after="0" w:line="26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limited financial resources and inability to meet their obligations, which may be accompanied by a deterioration in the value of any collateral and a reduction in the likelihood of our realizing the value of any guarantees we may have obtained in connection with our investment;</w:t>
      </w:r>
    </w:p>
    <w:p>
      <w:pPr>
        <w:spacing w:after="0" w:line="73" w:lineRule="exact"/>
        <w:rPr>
          <w:rFonts w:ascii="Arial" w:cs="Arial" w:eastAsia="Arial" w:hAnsi="Arial"/>
          <w:sz w:val="18"/>
          <w:szCs w:val="18"/>
          <w:color w:val="auto"/>
        </w:rPr>
      </w:pPr>
    </w:p>
    <w:p>
      <w:pPr>
        <w:ind w:left="600" w:right="759" w:hanging="322"/>
        <w:spacing w:after="0" w:line="342"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shorter operating histories, narrower product lines and smaller market shares than larger businesses, which tend to render them more vulnerable to competitors’ actions and market conditions, as well as general economic downturns;</w:t>
      </w:r>
    </w:p>
    <w:p>
      <w:pPr>
        <w:spacing w:after="0" w:line="15" w:lineRule="exact"/>
        <w:rPr>
          <w:rFonts w:ascii="Arial" w:cs="Arial" w:eastAsia="Arial" w:hAnsi="Arial"/>
          <w:sz w:val="16"/>
          <w:szCs w:val="16"/>
          <w:color w:val="auto"/>
        </w:rPr>
      </w:pPr>
    </w:p>
    <w:p>
      <w:pPr>
        <w:ind w:left="600" w:right="579" w:hanging="322"/>
        <w:spacing w:after="0" w:line="26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dependence on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rFonts w:ascii="Arial" w:cs="Arial" w:eastAsia="Arial" w:hAnsi="Arial"/>
          <w:sz w:val="18"/>
          <w:szCs w:val="18"/>
          <w:color w:val="auto"/>
        </w:rPr>
      </w:pPr>
    </w:p>
    <w:p>
      <w:pPr>
        <w:ind w:left="600" w:right="559" w:hanging="322"/>
        <w:spacing w:after="0" w:line="26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predictable operating results, being parties to litigation from time to time, engaging in rapidly changing businesses with products subject to a substantial risk of obsolescence and requiring substantial additional capital expenditures to support their operations, finance expansion or maintain their competitive position;</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accessing the capital markets to meet future capital needs;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generally less publicly available information about their businesses, operations and financial condition.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CLO Fund Investments. </w:t>
      </w:r>
      <w:r>
        <w:rPr>
          <w:rFonts w:ascii="Arial" w:cs="Arial" w:eastAsia="Arial" w:hAnsi="Arial"/>
          <w:sz w:val="18"/>
          <w:szCs w:val="18"/>
          <w:color w:val="auto"/>
        </w:rPr>
        <w:t>Investments in CLO Funds also involve a number of significant risks, including:</w:t>
      </w:r>
    </w:p>
    <w:p>
      <w:pPr>
        <w:spacing w:after="0" w:line="117" w:lineRule="exact"/>
        <w:rPr>
          <w:sz w:val="20"/>
          <w:szCs w:val="20"/>
          <w:color w:val="auto"/>
        </w:rPr>
      </w:pPr>
    </w:p>
    <w:p>
      <w:pPr>
        <w:ind w:left="600" w:right="57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CLOs typically are comprised of a portfolio of senior secured loans; payments on CLO investments are and will be payable solely from the cash-flows from such senior secured loans;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 investments are exposed to leveraged credit risk;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 Funds are highly leveraged;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the potential for interruption and deferral of cash-flow from CLO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rates paid by corporate borrowers are subject to volatility;</w:t>
      </w:r>
    </w:p>
    <w:p>
      <w:pPr>
        <w:spacing w:after="0" w:line="117"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a CLO collateral manager to reinvest the proceeds of the prepayment of senior secured loans may adversely affect us;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CLO investments are subject to prepayments and calls, increasing re-investment risk;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limited control of the administration and amendment of any CLO in which we invest;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senior secured loans of CLOs may be sold and replaced resulting in a loss to us;</w:t>
      </w:r>
    </w:p>
    <w:p>
      <w:pPr>
        <w:spacing w:after="0" w:line="117"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financial results may be affected adversely if one or more of our significant equity or junior debt investments in a CLO vehicle defaults on its payment obligations or fails to perform as we expect;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non-investment grade debt involves a greater risk of default and higher price volatility than investment grade debt.</w:t>
      </w:r>
    </w:p>
    <w:p>
      <w:pPr>
        <w:spacing w:after="0" w:line="129"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We may not receive all or a portion of the cash distributions we expect to continue to receive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 Manager Affiliates, including from their receipt of incentive fees.</w:t>
      </w:r>
    </w:p>
    <w:p>
      <w:pPr>
        <w:spacing w:after="0" w:line="62"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We expect to receive cash distributions from our Asset Manager Affiliates. However, the existing asset management agreements pursuant to which our Asset Manager Affiliates receive fee income from the CLO Funds for which they serve as managers may be terminated for “cause” by the holders of a majority of the most senior class of securities issued by such CLO Funds and the holders of a majority of the subordinated securities issued by such CLO Funds. “Cause” is defined in the asset management agreements to include a material breach by our Asset Manager Affiliates of the indenture governing the applicable</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39"/>
        <w:spacing w:after="0" w:line="257" w:lineRule="auto"/>
        <w:rPr>
          <w:sz w:val="20"/>
          <w:szCs w:val="20"/>
          <w:color w:val="auto"/>
        </w:rPr>
      </w:pPr>
      <w:r>
        <w:rPr>
          <w:rFonts w:ascii="Arial" w:cs="Arial" w:eastAsia="Arial" w:hAnsi="Arial"/>
          <w:sz w:val="18"/>
          <w:szCs w:val="18"/>
          <w:color w:val="auto"/>
        </w:rPr>
        <w:t>CLO Fund, breaches by our Asset Manager Affiliates of certain specified provisions of the indenture (including, in some cases, a “key person” provision), material breaches of representations or warranties made by our Asset Manager Affiliates, bankruptcy or insolvency of our Asset Manager Affiliates, fraud or criminal activity on the part of our Asset Manager Affiliates or an event of default under the indenture governing the CLO Funds. We expect that future asset management agreements will contain comparable provisions.</w:t>
      </w:r>
    </w:p>
    <w:p>
      <w:pPr>
        <w:spacing w:after="0" w:line="80"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Further, a significant portion of the asset management fees payable to our Asset Manager Affiliates under the asset management agreements are subordinated to the prior payments of interest on the senior securities issued by the CLO Funds. If the asset management agreements are terminated, or the CLO Funds do not generate enough income (due to run-off of existing funds and de-leveraging), or otherwise have insufficient residual cash flow due to diversion of cash as a result of the failure by the CLO Funds to satisfy certain restrictive covenants contained in their indenture agreements to pay the subordinated management fees, the Asset Manager Affiliates will not receive the fee income that they expect to continue to receive which would reduce cash distributions available to us, and in turn reduce our ability to make distributions to our stockholders.</w:t>
      </w:r>
    </w:p>
    <w:p>
      <w:pPr>
        <w:spacing w:after="0" w:line="86" w:lineRule="exact"/>
        <w:rPr>
          <w:sz w:val="20"/>
          <w:szCs w:val="20"/>
          <w:color w:val="auto"/>
        </w:rPr>
      </w:pPr>
    </w:p>
    <w:p>
      <w:pPr>
        <w:ind w:left="40" w:right="639"/>
        <w:spacing w:after="0" w:line="264" w:lineRule="auto"/>
        <w:rPr>
          <w:sz w:val="20"/>
          <w:szCs w:val="20"/>
          <w:color w:val="auto"/>
        </w:rPr>
      </w:pPr>
      <w:r>
        <w:rPr>
          <w:rFonts w:ascii="Arial" w:cs="Arial" w:eastAsia="Arial" w:hAnsi="Arial"/>
          <w:sz w:val="18"/>
          <w:szCs w:val="18"/>
          <w:b w:val="1"/>
          <w:bCs w:val="1"/>
          <w:i w:val="1"/>
          <w:iCs w:val="1"/>
          <w:color w:val="auto"/>
        </w:rPr>
        <w:t>Our portfolio investments for which there is no readily available market, including our investment in our Asset Manager Affiliates and our investments in CLO Funds, are recorded at fair value as determined in good faith by our Board of Directors. As a result, there is uncertainty as to the value of these investments.</w:t>
      </w:r>
    </w:p>
    <w:p>
      <w:pPr>
        <w:spacing w:after="0" w:line="73"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Our investments consist primarily of securities issued by privately-held companies, the fair value of which is not readily determinable. In addition, we are not permitted to maintain a general reserve for anticipated loan losses. Instead, we are required by the 1940 Act to specifically value each investment and record an unrealized gain or loss for any asset that we believe has increased or decreased in value. We value these securities at fair value as determined in good faith by our Board of Directors pursuant to a valuation methodology approved by our Board of Directors. These valuations are initially prepared by our management and reviewed by our Valuation Committee, which uses its best judgment in arriving at the fair value of these securities. However, the Board of Directors retains ultimate authority to determine the appropriate valuation for each investment.</w:t>
      </w:r>
    </w:p>
    <w:p>
      <w:pPr>
        <w:spacing w:after="0" w:line="59" w:lineRule="exact"/>
        <w:rPr>
          <w:sz w:val="20"/>
          <w:szCs w:val="20"/>
          <w:color w:val="auto"/>
        </w:rPr>
      </w:pPr>
    </w:p>
    <w:p>
      <w:pPr>
        <w:ind w:left="40" w:right="519" w:firstLine="270"/>
        <w:spacing w:after="0" w:line="285" w:lineRule="auto"/>
        <w:rPr>
          <w:sz w:val="20"/>
          <w:szCs w:val="20"/>
          <w:color w:val="auto"/>
        </w:rPr>
      </w:pPr>
      <w:r>
        <w:rPr>
          <w:rFonts w:ascii="Arial" w:cs="Arial" w:eastAsia="Arial" w:hAnsi="Arial"/>
          <w:sz w:val="16"/>
          <w:szCs w:val="16"/>
          <w:color w:val="auto"/>
        </w:rPr>
        <w:t>The Company has engaged an independent valuation firm to provide third party valuation consulting services to the Company’s Board of Directors. Each quarter, the independent valuation firm performs third party valuations on the Company’s material investments in illiquid securities, such that they are reviewed at least once during a trailing 12 month period. These third party valuation estimates are one of the relevant data points in the Board of Director’s determination of fair value. The Board of Directors intends to continue to engage an independent valuation firm in the future to provide certain valuation services, including the review of certain portfolio assets, as part of the quarterly and annual year-end valuation process. In addition to such third-party input, the types of factors that may be considered in valuing our investments include the nature and realizable value of any collateral, the portfolio company’s ability to make payments and its earnings, the markets in which the portfolio company does business, comparison to publicly-traded companies, discounted cash flow and other relevant factors. Our investment in our Asset Manager Affiliates is carried at 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Because such valuations, and particularly valuations of private investments and private companies, are inherently uncertain and may be based on estimates, our determinations of fair value may differ materially from the values that would be assessed if a ready market for these securities existed. Our net asset value could be adversely affected if our determinations regarding the fair value of our illiquid investments were materially higher than the values that we ultimately realize upon the disposal of such securities.</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599"/>
        <w:spacing w:after="0" w:line="312" w:lineRule="auto"/>
        <w:rPr>
          <w:sz w:val="20"/>
          <w:szCs w:val="20"/>
          <w:color w:val="auto"/>
        </w:rPr>
      </w:pPr>
      <w:r>
        <w:rPr>
          <w:rFonts w:ascii="Arial" w:cs="Arial" w:eastAsia="Arial" w:hAnsi="Arial"/>
          <w:sz w:val="16"/>
          <w:szCs w:val="16"/>
          <w:b w:val="1"/>
          <w:bCs w:val="1"/>
          <w:i w:val="1"/>
          <w:iCs w:val="1"/>
          <w:color w:val="auto"/>
        </w:rPr>
        <w:t>We are a non-diversified investment company within the meaning of the 1940 Act, and therefore we may invest a significant portion of our assets in a relatively small number of issuers, which subjects us to a risk of significant loss if any of these issuers defaults on its obligations under any of its debt instruments or as a result of a downturn in the particular industry.</w:t>
      </w:r>
    </w:p>
    <w:p>
      <w:pPr>
        <w:spacing w:after="0" w:line="39"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We are classified as a non-diversified investment company within the meaning of the 1940 Act, and therefore we may invest a significant portion of our assets in a relatively small number of issuers in a limited number of industries. As of December 31, 2016, our largest investment, our 100% equity interest in our Asset Manager Affiliates, equaled approximately 11.0% of the fair value of our total investments. Beyond the asset diversification requirements associated with our qualification as a RIC, we do not have fixed guidelines for diversification, and while we are not targeting any specific industries, relatively few industries may become significantly represented among our investments.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changes in fair value over time or a downturn in any particular industry. We may also be more susceptible to any single economic or regulatory occurrence than a diversified investment company.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Defaults by our portfolio companies could harm our operating results.</w:t>
      </w:r>
    </w:p>
    <w:p>
      <w:pPr>
        <w:spacing w:after="0" w:line="117"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A portfolio company’s failure to satisfy financial or operating covenants imposed by us or other debt holders could lead to defaults and, potentially, acceleration of the time when the loans are due and foreclosure on its secured assets. Such events could trigger cross-defaults under other agreements and jeopardize a portfolio company’s ability to meet its obligations under the debt that we hold and the value of any equity securities we own. We may incur expenses to the extent necessary to seek recovery upon default or to negotiate new terms with a defaulting portfolio company.</w:t>
      </w:r>
    </w:p>
    <w:p>
      <w:pPr>
        <w:spacing w:after="0" w:line="105" w:lineRule="exact"/>
        <w:rPr>
          <w:sz w:val="20"/>
          <w:szCs w:val="20"/>
          <w:color w:val="auto"/>
        </w:rPr>
      </w:pPr>
    </w:p>
    <w:p>
      <w:pPr>
        <w:ind w:left="40" w:right="639"/>
        <w:spacing w:after="0" w:line="342" w:lineRule="auto"/>
        <w:rPr>
          <w:sz w:val="20"/>
          <w:szCs w:val="20"/>
          <w:color w:val="auto"/>
        </w:rPr>
      </w:pPr>
      <w:r>
        <w:rPr>
          <w:rFonts w:ascii="Arial" w:cs="Arial" w:eastAsia="Arial" w:hAnsi="Arial"/>
          <w:sz w:val="16"/>
          <w:szCs w:val="16"/>
          <w:b w:val="1"/>
          <w:bCs w:val="1"/>
          <w:i w:val="1"/>
          <w:iCs w:val="1"/>
          <w:color w:val="auto"/>
        </w:rPr>
        <w:t>When we are a debt or minority equity investor in a portfolio company, which generally is the case, we may not be in a position to control the entity, and its management may make decisions that could decrease the value of our investment.</w:t>
      </w:r>
    </w:p>
    <w:p>
      <w:pPr>
        <w:spacing w:after="0" w:line="16"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Most of our investments are either debt or minority equity investments in our portfolio companies. Therefore, we are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 In addition, we generally are not in a position to control any portfolio company by investing in its debt securities.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have limited access to information about privately held companies in which we invest.</w:t>
      </w:r>
    </w:p>
    <w:p>
      <w:pPr>
        <w:spacing w:after="0" w:line="117" w:lineRule="exact"/>
        <w:rPr>
          <w:sz w:val="20"/>
          <w:szCs w:val="20"/>
          <w:color w:val="auto"/>
        </w:rPr>
      </w:pPr>
    </w:p>
    <w:p>
      <w:pPr>
        <w:jc w:val="both"/>
        <w:ind w:left="40" w:right="639" w:firstLine="270"/>
        <w:spacing w:after="0" w:line="276" w:lineRule="auto"/>
        <w:rPr>
          <w:sz w:val="20"/>
          <w:szCs w:val="20"/>
          <w:color w:val="auto"/>
        </w:rPr>
      </w:pPr>
      <w:r>
        <w:rPr>
          <w:rFonts w:ascii="Arial" w:cs="Arial" w:eastAsia="Arial" w:hAnsi="Arial"/>
          <w:sz w:val="17"/>
          <w:szCs w:val="17"/>
          <w:color w:val="auto"/>
        </w:rPr>
        <w:t>We invest primarily in privately-held companies. Generally, little public information exists about these companies, and we are required to rely on the ability of our investment professionals to obtain adequate information to evaluate the potential returns from investing in these companies. These companies and their financial information are not subject to the Sarbanes-Oxley Act of 2002 and other rules that govern public companies. If we are unable to uncover all material information about these companies, we may not make a fully informed investment decision, and we may lose money on our investment.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Prepayments of our debt investments by our portfolio companies could negatively impact our operating results.</w:t>
      </w:r>
    </w:p>
    <w:p>
      <w:pPr>
        <w:spacing w:after="0" w:line="129"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We are subject to the risk that the investments we make in our portfolio companies may be repaid prior to maturity. When this occurs, we generally reinvest these proceeds in temporary investments, pending their future investment in new portfolio companies. These temporary investments typically have substantially lower yields than the debt being prepaid and we could experience significant delays in reinvesting these amounts. Any future investment in a new portfolio company may also be at lower yields than the debt that was repaid. Consequently, our results of operations could be materially adversely affected if one or more of our portfolio companies elects to prepay amounts owed to us. Additionally, prepayments could negatively impact our return on equity, which could result in a decline in the market price of our common stock.</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and repayments from investments on acceptable terms, which would harm our financial condition and operating results.</w:t>
      </w:r>
    </w:p>
    <w:p>
      <w:pPr>
        <w:spacing w:after="0" w:line="62" w:lineRule="exact"/>
        <w:rPr>
          <w:sz w:val="20"/>
          <w:szCs w:val="20"/>
          <w:color w:val="auto"/>
        </w:rPr>
      </w:pPr>
    </w:p>
    <w:p>
      <w:pPr>
        <w:jc w:val="both"/>
        <w:ind w:left="40" w:right="619" w:firstLine="270"/>
        <w:spacing w:after="0" w:line="302"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and repayments from investments in interest-bearing deposits or other short-term instruments or use the net proceeds from such offerings to reduce then-outstanding debt obligations. We cannot assure you that we will be able to find enough appropriate investments that meet our investment criteria or that any investment we complete using the proceeds from an offering will produce a sufficient return.</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portfolio companies may incur debt that ranks equal with, or senior to, our investments in such companies.</w:t>
      </w:r>
    </w:p>
    <w:p>
      <w:pPr>
        <w:spacing w:after="0" w:line="129"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We invest primarily in debt securities issued by our portfolio companies. In some cases portfolio companies are permitted to have other debt that ranks equal with, or senior to, the debt securities in which we invest. By their terms, such debt instruments may provide that the holders thereof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such portfolio company may not have any remaining assets to use for repaying its obligation to us. In the case of debt ranking equal with debt securities in which we invest, we would have to share on an equal basis any distributions with other creditors holding such debt in the event of an insolvency, liquidation, dissolution, reorganization or bankruptcy of a portfolio company.</w:t>
      </w:r>
    </w:p>
    <w:p>
      <w:pPr>
        <w:spacing w:after="0" w:line="110" w:lineRule="exact"/>
        <w:rPr>
          <w:sz w:val="20"/>
          <w:szCs w:val="20"/>
          <w:color w:val="auto"/>
        </w:rPr>
      </w:pPr>
    </w:p>
    <w:p>
      <w:pPr>
        <w:jc w:val="both"/>
        <w:ind w:left="40" w:right="739"/>
        <w:spacing w:after="0" w:line="264"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73" w:lineRule="exact"/>
        <w:rPr>
          <w:sz w:val="20"/>
          <w:szCs w:val="20"/>
          <w:color w:val="auto"/>
        </w:rPr>
      </w:pPr>
    </w:p>
    <w:p>
      <w:pPr>
        <w:ind w:left="40" w:right="619" w:firstLine="270"/>
        <w:spacing w:after="0" w:line="268" w:lineRule="auto"/>
        <w:rPr>
          <w:sz w:val="20"/>
          <w:szCs w:val="20"/>
          <w:color w:val="auto"/>
        </w:rPr>
      </w:pPr>
      <w:r>
        <w:rPr>
          <w:rFonts w:ascii="Arial" w:cs="Arial" w:eastAsia="Arial" w:hAnsi="Arial"/>
          <w:sz w:val="17"/>
          <w:szCs w:val="17"/>
          <w:color w:val="auto"/>
        </w:rPr>
        <w:t>Certain loans that we make are secured by a second priority security interest in the same collateral pledged by a portfolio company to secure senior debt owed by the portfolio company to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will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107" w:lineRule="exact"/>
        <w:rPr>
          <w:sz w:val="20"/>
          <w:szCs w:val="20"/>
          <w:color w:val="auto"/>
        </w:rPr>
      </w:pPr>
    </w:p>
    <w:p>
      <w:pPr>
        <w:ind w:left="40" w:right="999"/>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62" w:lineRule="exact"/>
        <w:rPr>
          <w:sz w:val="20"/>
          <w:szCs w:val="20"/>
          <w:color w:val="auto"/>
        </w:rPr>
      </w:pPr>
    </w:p>
    <w:p>
      <w:pPr>
        <w:ind w:left="40" w:right="759" w:firstLine="270"/>
        <w:spacing w:after="0" w:line="255" w:lineRule="auto"/>
        <w:rPr>
          <w:sz w:val="20"/>
          <w:szCs w:val="20"/>
          <w:color w:val="auto"/>
        </w:rPr>
      </w:pPr>
      <w:r>
        <w:rPr>
          <w:rFonts w:ascii="Arial" w:cs="Arial" w:eastAsia="Arial" w:hAnsi="Arial"/>
          <w:sz w:val="18"/>
          <w:szCs w:val="18"/>
          <w:color w:val="auto"/>
        </w:rPr>
        <w:t>Even though we may have structured certain of our investments as senior loans, if one of our portfolio companies were to go bankrupt, depending on the facts and circumstances, including the size of our investment and the extent to which we actually provided managerial assistance to that portfolio company, a bankruptcy court might recharacterize our debt investment and subordinate all or a portion of our claim to that of other 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in rendering significant managerial assistance.</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investments in equity securities involve a substantial degree of risk.</w:t>
      </w:r>
    </w:p>
    <w:p>
      <w:pPr>
        <w:spacing w:after="0" w:line="117" w:lineRule="exact"/>
        <w:rPr>
          <w:sz w:val="20"/>
          <w:szCs w:val="20"/>
          <w:color w:val="auto"/>
        </w:rPr>
      </w:pPr>
    </w:p>
    <w:p>
      <w:pPr>
        <w:ind w:left="40" w:right="659" w:firstLine="270"/>
        <w:spacing w:after="0" w:line="272" w:lineRule="auto"/>
        <w:rPr>
          <w:sz w:val="20"/>
          <w:szCs w:val="20"/>
          <w:color w:val="auto"/>
        </w:rPr>
      </w:pPr>
      <w:r>
        <w:rPr>
          <w:rFonts w:ascii="Arial" w:cs="Arial" w:eastAsia="Arial" w:hAnsi="Arial"/>
          <w:sz w:val="17"/>
          <w:szCs w:val="17"/>
          <w:color w:val="auto"/>
        </w:rPr>
        <w:t>We purchase common stock and other equity securities, including warrants. Although equity securities have historically generated higher average total returns than fixed-income securities over the long term, equity securities have also experienced significantly more volatility in those returns. The equity securities we acquire may fail to appreciate and may decline in value or become worthless, and our ability to recover our investment depends on our portfolio company’s success.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may invest in securities issued by private companies. These securities may be subject to legal and other restrictions on resale or otherwise be less liquid than publicly-traded securities.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Our investments are usually subject to contractual or legal restrictions on resale or are otherwise illiquid because there is usually no established trading market for such investments. The illiquidity of most of our investments may make it difficult for us to dispose of them at a favorable price, and, as a result, we may suffer losses.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investments in foreign securities may involve significant risks in addition to the risks inherent in U.S. investments.</w:t>
      </w:r>
    </w:p>
    <w:p>
      <w:pPr>
        <w:spacing w:after="0" w:line="140"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Our investment strategy contemplates that a portion of our investments may be in securities of foreign companies.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70"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Although it is anticipated that most of our investments will be denominated in U.S. dollars, our investments that are denominated in a foreign currency will be subject to the risk that the value of a particular currency may change in relation to the U.S. dollar.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disposition of our investments may result in contingent liabilities.</w:t>
      </w:r>
    </w:p>
    <w:p>
      <w:pPr>
        <w:spacing w:after="0" w:line="117"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We currently expect that a significant portion of our investments will involve lending directly to private companies. In connection with the disposition of an investment in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certain potential liabilities. These arrangements may result in contingent liabilities that ultimately yield funding obligations that must be satisfied through our return of certain distributions previously made to us.</w:t>
      </w:r>
    </w:p>
    <w:p>
      <w:pPr>
        <w:spacing w:after="0" w:line="111"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b w:val="1"/>
          <w:bCs w:val="1"/>
          <w:i w:val="1"/>
          <w:iCs w:val="1"/>
          <w:color w:val="auto"/>
        </w:rPr>
        <w:t>We may not receive any return on our investment in the CLO Funds in which we have invested and the Asset Manager Affiliates may be unable to raise additional CLO Funds.</w:t>
      </w:r>
    </w:p>
    <w:p>
      <w:pPr>
        <w:spacing w:after="0" w:line="62"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As of December 31, 2016, we had $54.2 million at fair value invested in the subordinated securities, preferred shares, or other securities issued by the CLO Funds managed by our Asset Manager Affiliates and certain other third party asset managers. Subject to market conditions and legal requirements applicable to us under the 1940 Act, we expect to continue to acquire subordinated securities in the future in CLO Funds managed by our Asset Manager Affiliates and/or third party managers. Subordinated securities are the most junior class of securities issued by the CLO Funds and are subordinated in priority of payment to every other</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72" w:lineRule="auto"/>
        <w:rPr>
          <w:sz w:val="20"/>
          <w:szCs w:val="20"/>
          <w:color w:val="auto"/>
        </w:rPr>
      </w:pPr>
      <w:r>
        <w:rPr>
          <w:rFonts w:ascii="Arial" w:cs="Arial" w:eastAsia="Arial" w:hAnsi="Arial"/>
          <w:sz w:val="17"/>
          <w:szCs w:val="17"/>
          <w:color w:val="auto"/>
        </w:rPr>
        <w:t>class of securities issued by these CLO Funds. Therefore, they only receive cash distributions if the CLO Funds have made all cash interest payments to all other debt securities issued by the CLO Fund. The subordinated securities are also unsecured and rank behind all of the secured creditors, known or unknown, of the CLO Fund, including the holders of the senior securities issued by the CLO Fund. Consequently, to the extent that the value of a CLO Fund’s loan investments has been reduced as a result of conditions in the credit markets, or as a result of defaulted loans or individual fund assets, the value of the subordinated securities at their redemption could be reduced. Additionally, the Asset Manager Affiliates may not be able to continue to raise new CLO Funds due to prevailing CLO market conditions, regulatory requirements or other factors.</w:t>
      </w:r>
    </w:p>
    <w:p>
      <w:pPr>
        <w:spacing w:after="0" w:line="97" w:lineRule="exact"/>
        <w:rPr>
          <w:sz w:val="20"/>
          <w:szCs w:val="20"/>
          <w:color w:val="auto"/>
        </w:rPr>
      </w:pPr>
    </w:p>
    <w:p>
      <w:pPr>
        <w:ind w:left="40" w:right="799"/>
        <w:spacing w:after="0" w:line="308" w:lineRule="auto"/>
        <w:rPr>
          <w:sz w:val="20"/>
          <w:szCs w:val="20"/>
          <w:color w:val="auto"/>
        </w:rPr>
      </w:pPr>
      <w:r>
        <w:rPr>
          <w:rFonts w:ascii="Arial" w:cs="Arial" w:eastAsia="Arial" w:hAnsi="Arial"/>
          <w:sz w:val="17"/>
          <w:szCs w:val="17"/>
          <w:b w:val="1"/>
          <w:bCs w:val="1"/>
          <w:i w:val="1"/>
          <w:iCs w:val="1"/>
          <w:color w:val="auto"/>
        </w:rPr>
        <w:t>If our Asset Manager Affiliates do not meet certain risk retention requirements, they may not be able to sponsor and manage new CLOs, which would negatively impact our results of operations and financial conditions.</w:t>
      </w:r>
    </w:p>
    <w:p>
      <w:pPr>
        <w:spacing w:after="0" w:line="38"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In October 2014, the SEC, the FDIC, the Federal Reserve and certain other prudential banking regulators finalized regulations that mandate risk retention for securitizations. The rules became effective for CLOs on December 24, 2016. Under the final rules, our Asset Manager Affiliates (directly or through any of their majority-controlled affiliates, including the Company) will be required to hold interests equal to 5% of the fair value of the assets of any CLO sponsored by our Asset Manager Affiliates (unless the CLO invests only in certain qualifying loans which we do not expect will be the case) and would be prohibited from selling or hedging those interests in accordance with the limitations on such sales or hedges set forth in the final rule. Thus, our Asset Manager Affiliates (or any of their majority-controlled affiliates, including the Company, permitted to retain risk on their behalf) will need to have the requisite capital to hold such interests as a condition to their ability to sponsor new CLOs, and the restrictions on selling or hedging such interests may create greater risk with respect to those interests, including, to the extent that we retain risk in the CLOs managed by the Asset Manager Affiliates on their behalf, our ability to sell CLO Fund Securities when advantageous for us to do so. These mandatory investments in such CLOs, or the inability to invest in such CLOs (and thus inability to sponsor them) could each have a material adverse effect upon our business, results of operations or financial condition of the Asset Manager Affiliates, which would, in turn, negatively impact the business results of operations and financial condition. In addition, the application of the risk retention rules to CLOs may have broader effects on the CLO and loan markets in general, potentially resulting in fewer or less desirable investment opportunities for the Company, our Asset Manager Affiliates, and any CLOs that our Asset Manager Affiliates sponsor or in which we otherwise invest.</w:t>
      </w:r>
    </w:p>
    <w:p>
      <w:pPr>
        <w:spacing w:after="0" w:line="17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Risks Related to Our Common Stock</w:t>
      </w:r>
    </w:p>
    <w:p>
      <w:pPr>
        <w:spacing w:after="0" w:line="162" w:lineRule="exact"/>
        <w:rPr>
          <w:sz w:val="20"/>
          <w:szCs w:val="20"/>
          <w:color w:val="auto"/>
        </w:rPr>
      </w:pPr>
    </w:p>
    <w:p>
      <w:pPr>
        <w:ind w:left="40" w:right="1259"/>
        <w:spacing w:after="0" w:line="277" w:lineRule="auto"/>
        <w:rPr>
          <w:sz w:val="20"/>
          <w:szCs w:val="20"/>
          <w:color w:val="auto"/>
        </w:rPr>
      </w:pPr>
      <w:r>
        <w:rPr>
          <w:rFonts w:ascii="Arial" w:cs="Arial" w:eastAsia="Arial" w:hAnsi="Arial"/>
          <w:sz w:val="18"/>
          <w:szCs w:val="18"/>
          <w:b w:val="1"/>
          <w:bCs w:val="1"/>
          <w:i w:val="1"/>
          <w:iCs w:val="1"/>
          <w:color w:val="auto"/>
        </w:rPr>
        <w:t>We may not be able to pay distributions to our stockholders, our distributions may not grow over time, and a portion of distributions paid to our stockholders may be a return of capital.</w:t>
      </w:r>
    </w:p>
    <w:p>
      <w:pPr>
        <w:spacing w:after="0" w:line="62"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intend to continue to make distributions on a quarterly basis to our stockholders out of assets legally available for distribution. We may not be able to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In addition, due to the asset coverage test applicable to us as a BDC and a covenant that we agreed to in connection with the issuance of the 7.375% Notes Due 2019, we are limited in our ability to make distributions in certain circumstances. In this regard, we agreed in connection with our issuance of the 7.375% Notes Due 2019 that for the period of time during which the 7.375% Notes Due 2019 are outstanding, we will not violate (regardless of whether we are subject to) Section 18(a)(1)(B) as modified by Section 61(a)(1) of the 1940 Act. These provisions generally prohibit us from declaring any cash dividend or distribution upon our common stock, or purchasing any such common stock if our asset coverage, as defined in the 1940 Act, is below 200% at the time of the declaration of the dividend or distribution or the purchase and after deducting the amount of such dividend, distribution or purchase. Further, if we invest a greater amount of assets in equity securities that do not pay current dividends, it could reduce the amount available for distribution.</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All distributions will be paid at the discretion of our Board of Directors and will depend on our earnings and those of the Asset Manager Affiliates, our financial condition, maintenance of our RIC status, compliance with applicable BDC regulations and such other factors as our Board of Directors may deem relevant from time to time. We cannot assure you that we will pay distributions to our stockholders in the future.</w:t>
      </w:r>
    </w:p>
    <w:p>
      <w:pPr>
        <w:spacing w:after="0" w:line="79"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When we make quarterly distributions, we will be required to determine the extent to which such distributions are paid out of current or accumulated earnings, recognized capital gains or capital. To the extent there is a return of capital, investors will be required to reduce their basis in our stock for U.S. federal income tax purposes, which may result in higher tax liability when the shares are sold, even if they have not increased in value or have lost value. Our distributions have over the last several years included a significant return of capital component. For more information about our distributions over the last several years that have included a return of capital component, see Note 8 — “Distributable Taxable Income” to our consolidated financial statements included elsewhere in this Annual Report.</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Investing in shares of our common stock may involve an above average degree of risk.</w:t>
      </w:r>
    </w:p>
    <w:p>
      <w:pPr>
        <w:spacing w:after="0" w:line="117" w:lineRule="exact"/>
        <w:rPr>
          <w:sz w:val="20"/>
          <w:szCs w:val="20"/>
          <w:color w:val="auto"/>
        </w:rPr>
      </w:pPr>
    </w:p>
    <w:p>
      <w:pPr>
        <w:jc w:val="both"/>
        <w:ind w:left="40" w:right="659" w:firstLine="270"/>
        <w:spacing w:after="0" w:line="286" w:lineRule="auto"/>
        <w:rPr>
          <w:sz w:val="20"/>
          <w:szCs w:val="20"/>
          <w:color w:val="auto"/>
        </w:rPr>
      </w:pPr>
      <w:r>
        <w:rPr>
          <w:rFonts w:ascii="Arial" w:cs="Arial" w:eastAsia="Arial" w:hAnsi="Arial"/>
          <w:sz w:val="17"/>
          <w:szCs w:val="17"/>
          <w:color w:val="auto"/>
        </w:rPr>
        <w:t>The investments we make in accordance with our investment objective may result in a higher amount of risk, volatility or loss of principal than alternative investment options. Our investments in portfolio companies may be highly speculative, and therefore, an investment in our common stock may not be suitable for investors with lower risk tolerance.</w:t>
      </w:r>
    </w:p>
    <w:p>
      <w:pPr>
        <w:spacing w:after="0" w:line="98" w:lineRule="exact"/>
        <w:rPr>
          <w:sz w:val="20"/>
          <w:szCs w:val="20"/>
          <w:color w:val="auto"/>
        </w:rPr>
      </w:pPr>
    </w:p>
    <w:p>
      <w:pPr>
        <w:ind w:left="40" w:right="939"/>
        <w:spacing w:after="0" w:line="375" w:lineRule="auto"/>
        <w:rPr>
          <w:sz w:val="20"/>
          <w:szCs w:val="20"/>
          <w:color w:val="auto"/>
        </w:rPr>
      </w:pPr>
      <w:r>
        <w:rPr>
          <w:rFonts w:ascii="Arial" w:cs="Arial" w:eastAsia="Arial" w:hAnsi="Arial"/>
          <w:sz w:val="15"/>
          <w:szCs w:val="15"/>
          <w:b w:val="1"/>
          <w:bCs w:val="1"/>
          <w:i w:val="1"/>
          <w:iCs w:val="1"/>
          <w:color w:val="auto"/>
        </w:rPr>
        <w:t>Shares of closed-end investment companies, including BDCs, frequently trade at a discount to their net asset value, and we cannot assure you that the market price of our common stock will not decline below the net asset value of the stock.</w:t>
      </w:r>
    </w:p>
    <w:p>
      <w:pPr>
        <w:spacing w:after="0" w:line="1"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We cannot predict the price at which our common stock will trade. Shares of closed-end investment companies frequently trade at a discount to their net asset value and our stock may also be discounted in the market. This characteristic of closed-end investment companies is separate and distinct from the risk that our net asset value per share may decline. We cannot predict whether shares of our common stock will trade above, at or below our net asset value. The risk of loss associated with this characteristic of closed-end investment companies may be greater for investors expecting to sell shares of common stock soon after the purchase of such shares of common stock. In addition, if our common stock trades below its net asset value, we will generally not be able to issue additional shares of our common stock at its market price without first obtaining the approval of our stockholders and our independent directors.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share price may be volatile and may fluctuate substantially.</w:t>
      </w:r>
    </w:p>
    <w:p>
      <w:pPr>
        <w:spacing w:after="0" w:line="117" w:lineRule="exact"/>
        <w:rPr>
          <w:sz w:val="20"/>
          <w:szCs w:val="20"/>
          <w:color w:val="auto"/>
        </w:rPr>
      </w:pPr>
    </w:p>
    <w:p>
      <w:pPr>
        <w:ind w:left="40" w:right="539" w:firstLine="270"/>
        <w:spacing w:after="0" w:line="342" w:lineRule="auto"/>
        <w:rPr>
          <w:sz w:val="20"/>
          <w:szCs w:val="20"/>
          <w:color w:val="auto"/>
        </w:rPr>
      </w:pPr>
      <w:r>
        <w:rPr>
          <w:rFonts w:ascii="Arial" w:cs="Arial" w:eastAsia="Arial" w:hAnsi="Arial"/>
          <w:sz w:val="16"/>
          <w:szCs w:val="16"/>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6" w:lineRule="exact"/>
        <w:rPr>
          <w:sz w:val="20"/>
          <w:szCs w:val="20"/>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 or to us;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deploy or invest our capital;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shortfall in revenue or net income or any increase in losses from levels expected by investors or securities analysts;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policies or tax rules, particularly with respect to RICs or BDCs;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maintain our qualification as a RIC for U.S. federal income tax purposes;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value of our portfolio;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and trends;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departure of key personnel.</w:t>
      </w:r>
    </w:p>
    <w:p>
      <w:pPr>
        <w:spacing w:after="0" w:line="144" w:lineRule="exact"/>
        <w:rPr>
          <w:sz w:val="20"/>
          <w:szCs w:val="20"/>
          <w:color w:val="auto"/>
        </w:rPr>
      </w:pPr>
    </w:p>
    <w:p>
      <w:pPr>
        <w:ind w:left="40" w:right="1059"/>
        <w:spacing w:after="0" w:line="277" w:lineRule="auto"/>
        <w:rPr>
          <w:sz w:val="20"/>
          <w:szCs w:val="20"/>
          <w:color w:val="auto"/>
        </w:rPr>
      </w:pPr>
      <w:r>
        <w:rPr>
          <w:rFonts w:ascii="Arial" w:cs="Arial" w:eastAsia="Arial" w:hAnsi="Arial"/>
          <w:sz w:val="18"/>
          <w:szCs w:val="18"/>
          <w:b w:val="1"/>
          <w:bCs w:val="1"/>
          <w:i w:val="1"/>
          <w:iCs w:val="1"/>
          <w:color w:val="auto"/>
        </w:rPr>
        <w:t>Certain provisions of the Delaware General Corporation Law and our certificate of incorporation and bylaws could deter takeover attempts and have an adverse impact on the price of our common stock.</w:t>
      </w:r>
    </w:p>
    <w:p>
      <w:pPr>
        <w:spacing w:after="0" w:line="62"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The Delaware General Corporation Law, our certificate of incorporation and our bylaws contain provisions that may have the effect of discouraging a third party from making an acquisition proposal for us. These anti-takeover provisions may inhibit a change in control in circumstances that could give the holders of our common stock the opportunity to realize a premium over the market price of our common stock.</w:t>
      </w:r>
    </w:p>
    <w:p>
      <w:pPr>
        <w:spacing w:after="0" w:line="39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Risks Related to Our 7.375% Notes Due 2019</w:t>
      </w:r>
    </w:p>
    <w:p>
      <w:pPr>
        <w:spacing w:after="0" w:line="162"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b w:val="1"/>
          <w:bCs w:val="1"/>
          <w:i w:val="1"/>
          <w:iCs w:val="1"/>
          <w:color w:val="auto"/>
        </w:rPr>
        <w:t>Our 7.375% Notes Due 2019 and Convertible Notes are unsecured and therefore are effectively subordinated to any secured indebtedness we have currently incurred or may incur in the future.</w:t>
      </w:r>
    </w:p>
    <w:p>
      <w:pPr>
        <w:spacing w:after="0" w:line="62"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Our 7.375% Notes Due 2019 are not secured by any of our assets or any of the assets of our subsidiaries or the Asset Manager Affiliates. As a result, the 7.375% Notes Due 2019 are effectively subordinated to any secured indebtedness we or they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and the Asset Manager Affiliates may assert rights against the assets pledged to secure that indebtedness in order to receive full payment of their indebtedness before the assets may be used to pay other creditors, including the holders of the 7.375% Notes Due 2019.</w:t>
      </w:r>
    </w:p>
    <w:p>
      <w:pPr>
        <w:spacing w:after="0" w:line="247" w:lineRule="exact"/>
        <w:rPr>
          <w:sz w:val="20"/>
          <w:szCs w:val="20"/>
          <w:color w:val="auto"/>
        </w:rPr>
      </w:pPr>
    </w:p>
    <w:p>
      <w:pPr>
        <w:ind w:left="40" w:right="1019"/>
        <w:spacing w:after="0" w:line="342" w:lineRule="auto"/>
        <w:rPr>
          <w:sz w:val="20"/>
          <w:szCs w:val="20"/>
          <w:color w:val="auto"/>
        </w:rPr>
      </w:pPr>
      <w:r>
        <w:rPr>
          <w:rFonts w:ascii="Arial" w:cs="Arial" w:eastAsia="Arial" w:hAnsi="Arial"/>
          <w:sz w:val="16"/>
          <w:szCs w:val="16"/>
          <w:b w:val="1"/>
          <w:bCs w:val="1"/>
          <w:i w:val="1"/>
          <w:iCs w:val="1"/>
          <w:color w:val="auto"/>
        </w:rPr>
        <w:t>The 7.375% Notes Due 2019 are structurally subordinated to the indebtedness and other liabilities of our subsidiaries and portfolio companies with respect to which we hold equity investments, including the Asset Manager Affiliates.</w:t>
      </w:r>
    </w:p>
    <w:p>
      <w:pPr>
        <w:spacing w:after="0" w:line="164"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The 7.375% Notes Due 2019 are obligations exclusively of KCAP Financial, Inc., and not of any of our subsidiaries or the Asset Manager Affiliates. None of our subsidiaries or the Asset Manager Affiliates are guarantors of the 7.375% Notes Due 2019, and the 7.375% Notes Due 2019 will not be required to be guaranteed by any subsidiary or asset management firm we may acquire or create in the future. Any assets of our subsidiaries and the Asset Manager Affiliates will not be directly available to satisfy the claims of our creditors, including holders of the 7.375% Notes Due 2019. Except to the extent we are a creditor with recognized claims against our subsidiaries, all claims of creditors of our subsidiaries will have priority over our equity interests in such entities (and therefore the claims of our creditors, including holders of the 7.375% Notes Due 2019)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7.375% Notes Due 2019 are structurally subordinated to all indebtedness and other liabilities of any of our subsidiaries and portfolio companies with respect to which we hold equity investments, including the Asset Manager Affiliates and any subsidiaries of the Asset Manager Affiliates that we may in the future acquire or establish. These entities may incur substantial indebtedness in the future, all of which would be structurally senior to the 7.375% Notes Due 2019.</w:t>
      </w:r>
    </w:p>
    <w:p>
      <w:pPr>
        <w:spacing w:after="0" w:line="107"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The indenture under which the 7.375% Notes Due 2019 are issued contains limited protection for holders of the 7.375% Notes Due 2019.</w:t>
      </w:r>
    </w:p>
    <w:p>
      <w:pPr>
        <w:spacing w:after="0" w:line="62"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The indenture under which the 7.375% Notes Due 2019 are issued offers limited protection to holders of the 7.375% Notes Due 2019. The terms of the indenture and the 7.375% Notes Due 2019 do not restrict our or any of our subsidiaries or the Asset Manager Affiliates’ ability to engage in, or otherwise be a party to, a</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variety of corporate transactions, circumstances or events that could have a material adverse impact on your investment in the</w:t>
      </w:r>
    </w:p>
    <w:p>
      <w:pPr>
        <w:spacing w:after="0" w:line="46" w:lineRule="exact"/>
        <w:rPr>
          <w:sz w:val="20"/>
          <w:szCs w:val="20"/>
          <w:color w:val="auto"/>
        </w:rPr>
      </w:pPr>
    </w:p>
    <w:p>
      <w:pPr>
        <w:ind w:left="40" w:right="679"/>
        <w:spacing w:after="0" w:line="261" w:lineRule="auto"/>
        <w:rPr>
          <w:sz w:val="20"/>
          <w:szCs w:val="20"/>
          <w:color w:val="auto"/>
        </w:rPr>
      </w:pPr>
      <w:r>
        <w:rPr>
          <w:rFonts w:ascii="Arial" w:cs="Arial" w:eastAsia="Arial" w:hAnsi="Arial"/>
          <w:sz w:val="18"/>
          <w:szCs w:val="18"/>
          <w:color w:val="auto"/>
        </w:rPr>
        <w:t>7.375% Notes Due 2019. In particular, the terms of the indenture and the 7.375% Notes Due 2019 do not place any restrictions on our or our subsidiaries or the Asset Manager Affiliates’ ability to:</w:t>
      </w:r>
    </w:p>
    <w:p>
      <w:pPr>
        <w:spacing w:after="0" w:line="76" w:lineRule="exact"/>
        <w:rPr>
          <w:sz w:val="20"/>
          <w:szCs w:val="20"/>
          <w:color w:val="auto"/>
        </w:rPr>
      </w:pPr>
    </w:p>
    <w:p>
      <w:pPr>
        <w:ind w:left="600" w:right="559" w:hanging="322"/>
        <w:spacing w:after="0" w:line="285"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7.375% Notes Due 2019, (2) any indebtedness or other obligations that would be secured and therefore rank effectively senior in right of payment to the 7.375% Notes Due 2019 to the extent of the values of the assets securing such debt, (3) indebtedness of ours that is guaranteed by one or more of our subsidiaries or the Asset Manager Affiliates and which therefore is structurally senior to the 7.375% Notes Due 2019 and</w:t>
      </w:r>
    </w:p>
    <w:p>
      <w:pPr>
        <w:spacing w:after="0" w:line="2" w:lineRule="exact"/>
        <w:rPr>
          <w:rFonts w:ascii="Arial" w:cs="Arial" w:eastAsia="Arial" w:hAnsi="Arial"/>
          <w:sz w:val="16"/>
          <w:szCs w:val="16"/>
          <w:color w:val="auto"/>
        </w:rPr>
      </w:pPr>
    </w:p>
    <w:p>
      <w:pPr>
        <w:ind w:left="600" w:right="559"/>
        <w:spacing w:after="0" w:line="269" w:lineRule="auto"/>
        <w:rPr>
          <w:rFonts w:ascii="Arial" w:cs="Arial" w:eastAsia="Arial" w:hAnsi="Arial"/>
          <w:sz w:val="16"/>
          <w:szCs w:val="16"/>
          <w:color w:val="auto"/>
        </w:rPr>
      </w:pPr>
      <w:r>
        <w:rPr>
          <w:rFonts w:ascii="Arial" w:cs="Arial" w:eastAsia="Arial" w:hAnsi="Arial"/>
          <w:sz w:val="17"/>
          <w:szCs w:val="17"/>
          <w:color w:val="auto"/>
        </w:rPr>
        <w:t>(4) securities, indebtedness or obligations issued or incurred by our subsidiaries or the Asset Manager Affiliates that would be senior to our equity interests in those entities and therefore rank structurally senior to the 7.375% Notes Due 2019 with respect to the assets of our subsidiaries and the Asset Manager Affiliates, in each case other than an incurrence of indebtedness or other obligation that would cause a violation of Section 18(a)(1)(A) as modified by Section 61(a)(1) of the 1940 Act or any successor provisions.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72" w:lineRule="exact"/>
        <w:rPr>
          <w:rFonts w:ascii="Arial" w:cs="Arial" w:eastAsia="Arial" w:hAnsi="Arial"/>
          <w:sz w:val="16"/>
          <w:szCs w:val="16"/>
          <w:color w:val="auto"/>
        </w:rPr>
      </w:pPr>
    </w:p>
    <w:p>
      <w:pPr>
        <w:ind w:left="600" w:right="559" w:hanging="322"/>
        <w:spacing w:after="0" w:line="272"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pay dividends on, or purchase or redeem or make any payments in respect of, capital stock or other securities ranking junior in right of payment to the 7.375% Notes Due 2019, including subordinated indebtedness, in each case other than dividends, purchases, redemptions or payments that would cause a violation of Section 18(a)(1)(B) as modified by Section 61(a)(1) of the 1940 Act or any successor provisions.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69" w:lineRule="exact"/>
        <w:rPr>
          <w:rFonts w:ascii="Arial" w:cs="Arial" w:eastAsia="Arial" w:hAnsi="Arial"/>
          <w:sz w:val="17"/>
          <w:szCs w:val="17"/>
          <w:color w:val="auto"/>
        </w:rPr>
      </w:pPr>
    </w:p>
    <w:p>
      <w:pPr>
        <w:ind w:left="600" w:right="819" w:hanging="322"/>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117"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In addition, the indenture does not require us to offer to purchase the 7.375% Notes Due 2019 in connection with a change of control or any other event.</w:t>
      </w:r>
    </w:p>
    <w:p>
      <w:pPr>
        <w:spacing w:after="0" w:line="62" w:lineRule="exact"/>
        <w:rPr>
          <w:sz w:val="20"/>
          <w:szCs w:val="20"/>
          <w:color w:val="auto"/>
        </w:rPr>
      </w:pPr>
    </w:p>
    <w:p>
      <w:pPr>
        <w:ind w:left="40" w:right="619" w:firstLine="270"/>
        <w:spacing w:after="0" w:line="273" w:lineRule="auto"/>
        <w:rPr>
          <w:sz w:val="20"/>
          <w:szCs w:val="20"/>
          <w:color w:val="auto"/>
        </w:rPr>
      </w:pPr>
      <w:r>
        <w:rPr>
          <w:rFonts w:ascii="Arial" w:cs="Arial" w:eastAsia="Arial" w:hAnsi="Arial"/>
          <w:sz w:val="17"/>
          <w:szCs w:val="17"/>
          <w:color w:val="auto"/>
        </w:rPr>
        <w:t>Furthermore, the terms of the indenture and the 7.375% Notes Due 2019 do not protect holders of the 7.375% Notes Due 2019 in the event that we experience changes (including significant adverse changes) in our financial condition, results of operations or credit ratings, if any, as they do not require that we adhere to any financial tests or ratios or specified levels of net worth, revenues, income, cash flow, or liquidity other than as described above. Any changes to the 200% asset coverage ratio in the 1940 Act could affect the 7.375% Notes Due 2019. See “Item 1A. Risk Factors — Risks Related to Our Business and Structure — Pending legislation may allow us to incur additional leverage.”</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ability to recapitalize, incur additional debt and take a number of other actions that are not limited by the terms of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7.375% Notes Due 2019 may have important consequences for you as a holder of the 7.375% Notes Due 2019, including making it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more difficult for us to satisfy our obligations with respect to the 7.375% Notes Due 2019 or negatively affecting the trading value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 the 7.375% Notes Due 2019.</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959" w:firstLine="270"/>
        <w:spacing w:after="0" w:line="312" w:lineRule="auto"/>
        <w:rPr>
          <w:sz w:val="20"/>
          <w:szCs w:val="20"/>
          <w:color w:val="auto"/>
        </w:rPr>
      </w:pPr>
      <w:r>
        <w:rPr>
          <w:rFonts w:ascii="Arial" w:cs="Arial" w:eastAsia="Arial" w:hAnsi="Arial"/>
          <w:sz w:val="16"/>
          <w:szCs w:val="16"/>
          <w:color w:val="auto"/>
        </w:rPr>
        <w:t>Other debt we issue or incur in the future could contain more protections for its holders than the indenture and the 7.375% Notes Due 2019, including additional covenants and events of default. The issuance or incurrence of any such debt with incremental protections could affect the market for and trading levels and prices of the 7.375% Notes Due 2019.</w:t>
      </w:r>
    </w:p>
    <w:p>
      <w:pPr>
        <w:spacing w:after="0" w:line="214" w:lineRule="exact"/>
        <w:rPr>
          <w:sz w:val="20"/>
          <w:szCs w:val="20"/>
          <w:color w:val="auto"/>
        </w:rPr>
      </w:pPr>
    </w:p>
    <w:p>
      <w:pPr>
        <w:jc w:val="both"/>
        <w:ind w:left="40" w:right="619"/>
        <w:spacing w:after="0" w:line="264" w:lineRule="auto"/>
        <w:rPr>
          <w:sz w:val="20"/>
          <w:szCs w:val="20"/>
          <w:color w:val="auto"/>
        </w:rPr>
      </w:pPr>
      <w:r>
        <w:rPr>
          <w:rFonts w:ascii="Arial" w:cs="Arial" w:eastAsia="Arial" w:hAnsi="Arial"/>
          <w:sz w:val="18"/>
          <w:szCs w:val="18"/>
          <w:b w:val="1"/>
          <w:bCs w:val="1"/>
          <w:i w:val="1"/>
          <w:iCs w:val="1"/>
          <w:color w:val="auto"/>
        </w:rPr>
        <w:t>Even though the 7.375% Notes Due 2019 are listed on the NYSE, an active trading market for the 7.375% Notes Due 2019 may not develop, or if it does develop, it will be sustained, which could limit your ability to sell the 7.375% Notes Due 2019 or affect the market price of the 7.375% Notes Due 2019.</w:t>
      </w:r>
    </w:p>
    <w:p>
      <w:pPr>
        <w:spacing w:after="0" w:line="73" w:lineRule="exact"/>
        <w:rPr>
          <w:sz w:val="20"/>
          <w:szCs w:val="20"/>
          <w:color w:val="auto"/>
        </w:rPr>
      </w:pPr>
    </w:p>
    <w:p>
      <w:pPr>
        <w:ind w:left="40" w:right="679" w:firstLine="270"/>
        <w:spacing w:after="0" w:line="302" w:lineRule="auto"/>
        <w:rPr>
          <w:sz w:val="20"/>
          <w:szCs w:val="20"/>
          <w:color w:val="auto"/>
        </w:rPr>
      </w:pPr>
      <w:r>
        <w:rPr>
          <w:rFonts w:ascii="Arial" w:cs="Arial" w:eastAsia="Arial" w:hAnsi="Arial"/>
          <w:sz w:val="16"/>
          <w:szCs w:val="16"/>
          <w:color w:val="auto"/>
        </w:rPr>
        <w:t>We cannot provide any assurances that an active trading market will develop for the 7.375% Notes Due 2019 or that, if it does develop, it will be sustained or that you will be able to sell your 7.375% Notes Due 2019. The 7.375% Notes Due 2019 may trade at a discount from the price paid for the notes depending on prevailing interest rates, the market for similar securities, our credit ratings, if any, general economic conditions, our financial condition, performance and prospects and other factors.</w:t>
      </w:r>
    </w:p>
    <w:p>
      <w:pPr>
        <w:spacing w:after="0" w:line="46" w:lineRule="exact"/>
        <w:rPr>
          <w:sz w:val="20"/>
          <w:szCs w:val="20"/>
          <w:color w:val="auto"/>
        </w:rPr>
      </w:pPr>
    </w:p>
    <w:p>
      <w:pPr>
        <w:ind w:left="40" w:right="679" w:firstLine="270"/>
        <w:spacing w:after="0" w:line="297" w:lineRule="auto"/>
        <w:rPr>
          <w:sz w:val="20"/>
          <w:szCs w:val="20"/>
          <w:color w:val="auto"/>
        </w:rPr>
      </w:pPr>
      <w:r>
        <w:rPr>
          <w:rFonts w:ascii="Arial" w:cs="Arial" w:eastAsia="Arial" w:hAnsi="Arial"/>
          <w:sz w:val="16"/>
          <w:szCs w:val="16"/>
          <w:color w:val="auto"/>
        </w:rPr>
        <w:t>Accordingly, we cannot assure you that a liquid trading market will develop for the 7.375% Notes Due 2019, or that, if an active trading market for the 7.375% Notes Due 2019 does develop, it will be sustained, that you will be able to sell your 7.375% Notes Due 2019 at a particular time or that the price you receive when you sell will be favorable. To the extent an active trading market does not develop the liquidity and trading price for the 7.375% Notes Due 2019 may be harmed. Accordingly, you may be required to bear the financial risk of an investment in the 7.375% Notes Due 2019 for an indefinite period of time.</w:t>
      </w:r>
    </w:p>
    <w:p>
      <w:pPr>
        <w:spacing w:after="0" w:line="226"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7.375% Notes Due 2019.</w:t>
      </w:r>
    </w:p>
    <w:p>
      <w:pPr>
        <w:spacing w:after="0" w:line="62"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Any default under the agreements governing our indebtedness, that is not waived by the required lenders, and the remedies sought by the holders of such indebtedness could make us unable to pay principal, premium, if any, and interest on the 7.375% Notes Due 2019 and substantially decrease the market value of the 7.375% Notes Due 2019.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 any debt we may incur in the future could elect to terminate its commitment, cease making further loans and institute foreclosure proceedings against our assets, and we could be forced into bankruptcy or liquidation. If our operating performance declines, we may in the future need to seek to obtain waivers from under any other debt that we may incur in the future to avoid being in default. If we breach our covenants under any debt and seek a waiver, we may not be able to obtain a waiver from the required lenders. If this occurs, we would be in default under any debt, the lender could exercise its rights as described above, and we could be forced into bankruptcy or liquidation. If we are unable to repay debt, lenders having secured obligations could proceed against the collateral securing the debt. Because any future debt we issue will likely have customary cross-default provisions, if such other debt is accelerated, we may be unable to repay or finance the amounts due.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do not own any real estate or other real property. Our wholly-owned portfolio company, Katonah Debt Advisors, is the</w:t>
      </w:r>
    </w:p>
    <w:p>
      <w:pPr>
        <w:spacing w:after="0" w:line="51" w:lineRule="exact"/>
        <w:rPr>
          <w:sz w:val="20"/>
          <w:szCs w:val="20"/>
          <w:color w:val="auto"/>
        </w:rPr>
      </w:pPr>
    </w:p>
    <w:p>
      <w:pPr>
        <w:jc w:val="both"/>
        <w:ind w:left="40" w:right="959"/>
        <w:spacing w:after="0" w:line="221" w:lineRule="auto"/>
        <w:rPr>
          <w:sz w:val="20"/>
          <w:szCs w:val="20"/>
          <w:color w:val="auto"/>
        </w:rPr>
      </w:pPr>
      <w:r>
        <w:rPr>
          <w:rFonts w:ascii="Arial" w:cs="Arial" w:eastAsia="Arial" w:hAnsi="Arial"/>
          <w:sz w:val="18"/>
          <w:szCs w:val="18"/>
          <w:color w:val="auto"/>
        </w:rPr>
        <w:t>lessee for our principal headquarters at 295 Madison Avenue,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We have entered into an Overhead Allocation Agreement with Katonah Debt Advisors which provides for the sharing of the expenses under the lease agreement.</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is not currently a party to any material legal proceedings.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60" w:right="1059" w:hanging="39"/>
        <w:spacing w:after="0" w:line="393"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PRICE RANGE OF COMMON STOCK</w:t>
      </w:r>
    </w:p>
    <w:p>
      <w:pPr>
        <w:spacing w:after="0" w:line="1" w:lineRule="exact"/>
        <w:rPr>
          <w:sz w:val="20"/>
          <w:szCs w:val="20"/>
          <w:color w:val="auto"/>
        </w:rPr>
      </w:pPr>
    </w:p>
    <w:p>
      <w:pPr>
        <w:ind w:left="60" w:right="539" w:firstLine="270"/>
        <w:spacing w:after="0" w:line="264" w:lineRule="auto"/>
        <w:rPr>
          <w:sz w:val="20"/>
          <w:szCs w:val="20"/>
          <w:color w:val="auto"/>
        </w:rPr>
      </w:pPr>
      <w:r>
        <w:rPr>
          <w:rFonts w:ascii="Arial" w:cs="Arial" w:eastAsia="Arial" w:hAnsi="Arial"/>
          <w:sz w:val="18"/>
          <w:szCs w:val="18"/>
          <w:color w:val="auto"/>
        </w:rPr>
        <w:t>Our common stock is quoted on The NASDAQ Global Select Market under the symbol “KCAP.” We completed our initial public offering on December 11, 2006 at an initial public offering (“IPO”) price of $15.00 per share. Prior to such date there was no public market for our common stock.</w:t>
      </w:r>
    </w:p>
    <w:p>
      <w:pPr>
        <w:spacing w:after="0" w:line="73" w:lineRule="exact"/>
        <w:rPr>
          <w:sz w:val="20"/>
          <w:szCs w:val="20"/>
          <w:color w:val="auto"/>
        </w:rPr>
      </w:pPr>
    </w:p>
    <w:p>
      <w:pPr>
        <w:ind w:left="60" w:right="639" w:firstLine="270"/>
        <w:spacing w:after="0" w:line="286" w:lineRule="auto"/>
        <w:rPr>
          <w:sz w:val="20"/>
          <w:szCs w:val="20"/>
          <w:color w:val="auto"/>
        </w:rPr>
      </w:pPr>
      <w:r>
        <w:rPr>
          <w:rFonts w:ascii="Arial" w:cs="Arial" w:eastAsia="Arial" w:hAnsi="Arial"/>
          <w:sz w:val="17"/>
          <w:szCs w:val="17"/>
          <w:color w:val="auto"/>
        </w:rPr>
        <w:t>The following table sets forth the range of high and low closing sales prices per share of our common stock as reported on The NASDAQ Global Select Market in respect of the periods indicated. The stock quotations are interdealer quotations and do not include markups, markdowns or commissions and may not necessarily represent actual transactions.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Quarterly Stock Prices for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7"/>
              </w:rPr>
              <w:t>During the Quarter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At Quarter End</w:t>
            </w: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jc w:val="right"/>
              <w:ind w:right="490"/>
              <w:spacing w:after="0"/>
              <w:rPr>
                <w:sz w:val="20"/>
                <w:szCs w:val="20"/>
                <w:color w:val="auto"/>
              </w:rPr>
            </w:pPr>
            <w:r>
              <w:rPr>
                <w:rFonts w:ascii="Arial" w:cs="Arial" w:eastAsia="Arial" w:hAnsi="Arial"/>
                <w:sz w:val="18"/>
                <w:szCs w:val="18"/>
                <w:color w:val="auto"/>
                <w:w w:val="88"/>
              </w:rPr>
              <w:t>2016:</w:t>
            </w:r>
          </w:p>
        </w:tc>
        <w:tc>
          <w:tcPr>
            <w:tcW w:w="40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Close</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2"/>
              <w:spacing w:after="0" w:line="197" w:lineRule="exact"/>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0" w:type="dxa"/>
            <w:vAlign w:val="bottom"/>
          </w:tcPr>
          <w:p>
            <w:pPr>
              <w:spacing w:after="0"/>
              <w:rPr>
                <w:sz w:val="1"/>
                <w:szCs w:val="1"/>
                <w:color w:val="auto"/>
              </w:rPr>
            </w:pPr>
          </w:p>
        </w:tc>
      </w:tr>
      <w:tr>
        <w:trPr>
          <w:trHeight w:val="210"/>
        </w:trPr>
        <w:tc>
          <w:tcPr>
            <w:tcW w:w="1000" w:type="dxa"/>
            <w:vAlign w:val="bottom"/>
            <w:gridSpan w:val="2"/>
            <w:vMerge w:val="continue"/>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Third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10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88"/>
              </w:rPr>
              <w:t>2015:</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539" w:hanging="272"/>
        <w:spacing w:after="0" w:line="277"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Asset Value (“NAV”) per share is determined as of the last day in the relevant quarter and therefore may not reflect the NAV per share on the date of the high and low closing sales prices.</w:t>
      </w:r>
    </w:p>
    <w:p>
      <w:pPr>
        <w:spacing w:after="0" w:line="62"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We began paying quarterly distributions in our first full quarter of operations following our IPO. See “Management’s Discussion and Analysis of Financial Condition and Results of Operations” and Note 8 — “Distributable Tax Income” from our Notes to the Financial Statements included herein. The table below provides information relating to distributions we paid in respect of the periods indicated.</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Distributions</w:t>
            </w:r>
          </w:p>
        </w:tc>
        <w:tc>
          <w:tcPr>
            <w:tcW w:w="12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Declaration</w:t>
            </w:r>
          </w:p>
        </w:tc>
        <w:tc>
          <w:tcPr>
            <w:tcW w:w="140" w:type="dxa"/>
            <w:vAlign w:val="bottom"/>
          </w:tcPr>
          <w:p>
            <w:pPr>
              <w:spacing w:after="0"/>
              <w:rPr>
                <w:sz w:val="14"/>
                <w:szCs w:val="14"/>
                <w:color w:val="auto"/>
              </w:rPr>
            </w:pP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Record Date</w:t>
            </w:r>
          </w:p>
        </w:tc>
        <w:tc>
          <w:tcPr>
            <w:tcW w:w="120" w:type="dxa"/>
            <w:vAlign w:val="bottom"/>
          </w:tcPr>
          <w:p>
            <w:pPr>
              <w:spacing w:after="0"/>
              <w:rPr>
                <w:sz w:val="14"/>
                <w:szCs w:val="14"/>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Pay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tcBorders>
              <w:bottom w:val="single" w:sz="8" w:color="auto"/>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88"/>
              </w:rPr>
              <w:t>2016:</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12/14/2016</w:t>
            </w:r>
          </w:p>
        </w:tc>
        <w:tc>
          <w:tcPr>
            <w:tcW w:w="12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1/6/2017</w:t>
            </w:r>
            <w:r>
              <w:rPr>
                <w:rFonts w:ascii="Arial" w:cs="Arial" w:eastAsia="Arial" w:hAnsi="Arial"/>
                <w:sz w:val="29"/>
                <w:szCs w:val="29"/>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1/27/2017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9/20/2016</w:t>
            </w:r>
          </w:p>
        </w:tc>
        <w:tc>
          <w:tcPr>
            <w:tcW w:w="12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10/14/2016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6/21/2016</w:t>
            </w:r>
          </w:p>
        </w:tc>
        <w:tc>
          <w:tcPr>
            <w:tcW w:w="1280" w:type="dxa"/>
            <w:vAlign w:val="bottom"/>
            <w:gridSpan w:val="2"/>
          </w:tcPr>
          <w:p>
            <w:pPr>
              <w:jc w:val="right"/>
              <w:ind w:right="168"/>
              <w:spacing w:after="0"/>
              <w:rPr>
                <w:sz w:val="20"/>
                <w:szCs w:val="20"/>
                <w:color w:val="auto"/>
              </w:rPr>
            </w:pPr>
            <w:r>
              <w:rPr>
                <w:rFonts w:ascii="Arial" w:cs="Arial" w:eastAsia="Arial" w:hAnsi="Arial"/>
                <w:sz w:val="18"/>
                <w:szCs w:val="18"/>
                <w:color w:val="auto"/>
              </w:rPr>
              <w:t>7/7/2016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7/28/2016</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3/18/2016</w:t>
            </w:r>
          </w:p>
        </w:tc>
        <w:tc>
          <w:tcPr>
            <w:tcW w:w="12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4/7/2016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Total declared for 2016</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88"/>
              </w:rPr>
              <w:t>2015:</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12/16/2015</w:t>
            </w:r>
          </w:p>
        </w:tc>
        <w:tc>
          <w:tcPr>
            <w:tcW w:w="12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1/6/2016</w:t>
            </w:r>
            <w:r>
              <w:rPr>
                <w:rFonts w:ascii="Arial" w:cs="Arial" w:eastAsia="Arial" w:hAnsi="Arial"/>
                <w:sz w:val="29"/>
                <w:szCs w:val="29"/>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1/28/2016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9/22/2015</w:t>
            </w:r>
          </w:p>
        </w:tc>
        <w:tc>
          <w:tcPr>
            <w:tcW w:w="12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10/14/2015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6/23/2015</w:t>
            </w:r>
          </w:p>
        </w:tc>
        <w:tc>
          <w:tcPr>
            <w:tcW w:w="1280" w:type="dxa"/>
            <w:vAlign w:val="bottom"/>
            <w:gridSpan w:val="2"/>
          </w:tcPr>
          <w:p>
            <w:pPr>
              <w:jc w:val="right"/>
              <w:ind w:right="168"/>
              <w:spacing w:after="0"/>
              <w:rPr>
                <w:sz w:val="20"/>
                <w:szCs w:val="20"/>
                <w:color w:val="auto"/>
              </w:rPr>
            </w:pPr>
            <w:r>
              <w:rPr>
                <w:rFonts w:ascii="Arial" w:cs="Arial" w:eastAsia="Arial" w:hAnsi="Arial"/>
                <w:sz w:val="18"/>
                <w:szCs w:val="18"/>
                <w:color w:val="auto"/>
              </w:rPr>
              <w:t>7/6/2015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3/24/2015</w:t>
            </w:r>
          </w:p>
        </w:tc>
        <w:tc>
          <w:tcPr>
            <w:tcW w:w="12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4/6/2015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Total declared for 2015</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-1251585</wp:posOffset>
            </wp:positionV>
            <wp:extent cx="5213985"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4580" w:right="2619" w:hanging="4552"/>
        <w:spacing w:after="0" w:line="935" w:lineRule="auto"/>
        <w:tabs>
          <w:tab w:leader="none" w:pos="2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-289560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The determination of the tax attributes of our distributions is made annually, based upon our taxable income for the full year and distributions paid for the full year. Ordinary dividend distributions from a RIC do not qualify for the tax rate applicable to “qualified dividend income” from domestic corporations and qualified foreign corporations, except to the extent that the RIC received the income in the form of qualifying dividends from domestic corporations and qualified foreign corporations. For further information about the tax attributes, see Note 8 “Distributable Taxable Income” of our notes to the financial statements, which can be found elsewhere in this Annual Report.</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40" w:right="759" w:firstLine="270"/>
        <w:spacing w:after="0" w:line="257" w:lineRule="auto"/>
        <w:rPr>
          <w:sz w:val="20"/>
          <w:szCs w:val="20"/>
          <w:color w:val="auto"/>
        </w:rPr>
      </w:pPr>
      <w:r>
        <w:rPr>
          <w:rFonts w:ascii="Arial" w:cs="Arial" w:eastAsia="Arial" w:hAnsi="Arial"/>
          <w:sz w:val="18"/>
          <w:szCs w:val="18"/>
          <w:color w:val="auto"/>
        </w:rPr>
        <w:t>The following graph compares the return on our common stock with that of the Russell 2000 Index and the Nasdaq Financial 100 Index (IXF), for the period December 11, 2006 (the date of our initial public offering) to December 31, 2016. The graph assumes that, on December 11, 2006, a person invested $100 in each of our common stock, the Russell 2000 Index, and the IFX. The graph measures total shareholder return, which takes into account both changes in stock price and dividends. It assumes that dividends are reinvested.</w:t>
      </w:r>
    </w:p>
    <w:p>
      <w:pPr>
        <w:spacing w:after="0" w:line="18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Shareholder Return Performance Graph</w:t>
      </w:r>
    </w:p>
    <w:p>
      <w:pPr>
        <w:ind w:left="2620"/>
        <w:spacing w:after="0" w:line="217" w:lineRule="auto"/>
        <w:rPr>
          <w:sz w:val="20"/>
          <w:szCs w:val="20"/>
          <w:color w:val="auto"/>
        </w:rPr>
      </w:pPr>
      <w:r>
        <w:rPr>
          <w:rFonts w:ascii="Arial" w:cs="Arial" w:eastAsia="Arial" w:hAnsi="Arial"/>
          <w:sz w:val="18"/>
          <w:szCs w:val="18"/>
          <w:b w:val="1"/>
          <w:bCs w:val="1"/>
          <w:color w:val="auto"/>
        </w:rPr>
        <w:t>Cumulative Total Return Since Initial Public Offering</w:t>
      </w:r>
      <w:r>
        <w:rPr>
          <w:rFonts w:ascii="Arial" w:cs="Arial" w:eastAsia="Arial" w:hAnsi="Arial"/>
          <w:sz w:val="30"/>
          <w:szCs w:val="30"/>
          <w:b w:val="1"/>
          <w:bCs w:val="1"/>
          <w:color w:val="auto"/>
          <w:vertAlign w:val="superscript"/>
        </w:rPr>
        <w:t>(1)</w:t>
      </w:r>
    </w:p>
    <w:p>
      <w:pPr>
        <w:spacing w:after="0" w:line="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(Through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4982845" cy="3198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828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280" w:right="919" w:hanging="272"/>
        <w:spacing w:after="0" w:line="312" w:lineRule="auto"/>
        <w:tabs>
          <w:tab w:leader="none" w:pos="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Total return includes reinvestment of distributions through December 31, 2016. The IXF is an index of diversified financial sector stocks and, as such, the Company believes that it is representative of our industry. The Russell 2000 is a broad based equity market index that tracks companies with a market capitalization that the Company believes are comparable to it.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As of December 31, 2016, there were 48 shareholders of record of our common stock and approximately 15,870 beneficial shareholders of the Company.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During the year ended December 31, 2016, we issued 174,396 shares of common stock pursuant to a dividend reinvestment plan. This issuance was not subject to the registration requirements of the Securities Act. See Note 9 “Stockholders’ Equity,” of our Notes to the Consolidated Financial Statements included herein.</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60" w:right="559" w:firstLine="270"/>
        <w:spacing w:after="0" w:line="287" w:lineRule="auto"/>
        <w:rPr>
          <w:sz w:val="20"/>
          <w:szCs w:val="20"/>
          <w:color w:val="auto"/>
        </w:rPr>
      </w:pPr>
      <w:r>
        <w:rPr>
          <w:rFonts w:ascii="Arial" w:cs="Arial" w:eastAsia="Arial" w:hAnsi="Arial"/>
          <w:sz w:val="16"/>
          <w:szCs w:val="16"/>
          <w:color w:val="auto"/>
        </w:rPr>
        <w:t>We intend to continue to make quarterly distributions to our stockholders. Our quarterly distributions, if any, will be determined by our Board of Directors. To maintain our RIC status, we must timely distribute an amount equal to at least 90% of our tax basis ordinary income and realized net short-term capital gains in excess of realized net long-term capital losses, if any, reduced by deductible expenses, out of the assets legally available for distribution, for each year. To avoid certain excise taxes imposed on RICs, we are generally required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and on which we paid no corporate tax. If this requirement is not met, we will be required to pay a nondeductible excise tax equal to 4% of the amount by which the required distribution amount exceeds the actual distribution for the year. The taxable income on which an excise tax is paid is generally carried forward and distributed to stockholders in the next tax year. Depending on the level of taxable income earned in a tax year, we may choose to carry forward taxable income in excess of current year distributions into the next tax year and pay a 4% excise tax on such income, to the extent required.</w:t>
      </w:r>
    </w:p>
    <w:p>
      <w:pPr>
        <w:spacing w:after="0" w:line="61"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We cannot assure you that we will achieve results that will permit the payment of any cash distributions and, because we issued public senior securities, we are prohibited from making distributions if doing so causes us to fail to maintain the asset coverage ratio stipulated by the 1940 Act. Similarly, we may be prohibited from making distributions by the terms of any of our other borrowings.</w:t>
      </w:r>
    </w:p>
    <w:p>
      <w:pPr>
        <w:spacing w:after="0" w:line="79"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distributions, then stockholders’ cash distributions will be automatically reinvested in additional shares of our common stock, unless they specifically “opt out” of the dividend reinvestment plan so as to receive cash.</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60" w:right="719" w:firstLine="270"/>
        <w:spacing w:after="0" w:line="264" w:lineRule="auto"/>
        <w:rPr>
          <w:sz w:val="20"/>
          <w:szCs w:val="20"/>
          <w:color w:val="auto"/>
        </w:rPr>
      </w:pPr>
      <w:r>
        <w:rPr>
          <w:rFonts w:ascii="Arial" w:cs="Arial" w:eastAsia="Arial" w:hAnsi="Arial"/>
          <w:sz w:val="18"/>
          <w:szCs w:val="18"/>
          <w:color w:val="auto"/>
        </w:rPr>
        <w:t>The following table summarizes certain information regarding the Amended and Restated 2006 Equity Incentive Plan (the “Equity Incentive Plan”) and the Amended and Restated Non-Employee Director Plan (the “Non-Employee Director Plan”)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510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Issuance Under</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6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and Rights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and Rights</w:t>
            </w:r>
          </w:p>
        </w:tc>
        <w:tc>
          <w:tcPr>
            <w:tcW w:w="16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25"/>
        </w:trPr>
        <w:tc>
          <w:tcPr>
            <w:tcW w:w="3000" w:type="dxa"/>
            <w:vAlign w:val="bottom"/>
            <w:vMerge w:val="restart"/>
          </w:tcPr>
          <w:p>
            <w:pPr>
              <w:ind w:left="20"/>
              <w:spacing w:after="0"/>
              <w:rPr>
                <w:sz w:val="20"/>
                <w:szCs w:val="20"/>
                <w:color w:val="auto"/>
              </w:rPr>
            </w:pPr>
            <w:r>
              <w:rPr>
                <w:rFonts w:ascii="Arial" w:cs="Arial" w:eastAsia="Arial" w:hAnsi="Arial"/>
                <w:sz w:val="18"/>
                <w:szCs w:val="18"/>
                <w:color w:val="auto"/>
                <w:w w:val="90"/>
              </w:rPr>
              <w:t>Equity Compensation Plans Approved by</w:t>
            </w:r>
          </w:p>
        </w:tc>
        <w:tc>
          <w:tcPr>
            <w:tcW w:w="16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0"/>
        </w:trPr>
        <w:tc>
          <w:tcPr>
            <w:tcW w:w="3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000" w:type="dxa"/>
            <w:vAlign w:val="bottom"/>
          </w:tcPr>
          <w:p>
            <w:pPr>
              <w:ind w:left="200"/>
              <w:spacing w:after="0" w:line="266" w:lineRule="exact"/>
              <w:rPr>
                <w:sz w:val="20"/>
                <w:szCs w:val="20"/>
                <w:color w:val="auto"/>
              </w:rPr>
            </w:pPr>
            <w:r>
              <w:rPr>
                <w:rFonts w:ascii="Arial" w:cs="Arial" w:eastAsia="Arial" w:hAnsi="Arial"/>
                <w:sz w:val="18"/>
                <w:szCs w:val="18"/>
                <w:color w:val="auto"/>
              </w:rPr>
              <w:t>Security Holders</w:t>
            </w:r>
            <w:r>
              <w:rPr>
                <w:rFonts w:ascii="Arial" w:cs="Arial" w:eastAsia="Arial" w:hAnsi="Arial"/>
                <w:sz w:val="30"/>
                <w:szCs w:val="30"/>
                <w:color w:val="auto"/>
                <w:vertAlign w:val="superscript"/>
              </w:rPr>
              <w:t>(1)</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1580" w:type="dxa"/>
            <w:vAlign w:val="bottom"/>
            <w:gridSpan w:val="3"/>
          </w:tcPr>
          <w:p>
            <w:pPr>
              <w:jc w:val="right"/>
              <w:ind w:right="200"/>
              <w:spacing w:after="0" w:line="266" w:lineRule="exact"/>
              <w:rPr>
                <w:sz w:val="20"/>
                <w:szCs w:val="20"/>
                <w:color w:val="auto"/>
              </w:rPr>
            </w:pPr>
            <w:r>
              <w:rPr>
                <w:rFonts w:ascii="Arial" w:cs="Arial" w:eastAsia="Arial" w:hAnsi="Arial"/>
                <w:sz w:val="18"/>
                <w:szCs w:val="18"/>
                <w:color w:val="auto"/>
              </w:rPr>
              <w:t>930,171</w:t>
            </w:r>
            <w:r>
              <w:rPr>
                <w:rFonts w:ascii="Arial" w:cs="Arial" w:eastAsia="Arial" w:hAnsi="Arial"/>
                <w:sz w:val="30"/>
                <w:szCs w:val="30"/>
                <w:color w:val="auto"/>
                <w:vertAlign w:val="superscript"/>
              </w:rPr>
              <w:t>(2)(3)</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Equity Compensation Plans Not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Approved by Security Holders</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930,171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-156845</wp:posOffset>
            </wp:positionV>
            <wp:extent cx="475107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160020</wp:posOffset>
            </wp:positionV>
            <wp:extent cx="6172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300" w:hanging="27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Equity Incentive Plan and Non-Employee Director Plan.</w:t>
      </w:r>
    </w:p>
    <w:p>
      <w:pPr>
        <w:spacing w:after="0" w:line="117" w:lineRule="exact"/>
        <w:rPr>
          <w:rFonts w:ascii="Arial" w:cs="Arial" w:eastAsia="Arial" w:hAnsi="Arial"/>
          <w:sz w:val="18"/>
          <w:szCs w:val="18"/>
          <w:color w:val="auto"/>
        </w:rPr>
      </w:pPr>
    </w:p>
    <w:p>
      <w:pPr>
        <w:ind w:left="300" w:right="559" w:hanging="272"/>
        <w:spacing w:after="0" w:line="290" w:lineRule="auto"/>
        <w:tabs>
          <w:tab w:leader="none" w:pos="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Subject to the following additional limitations: The aggregate number of shares of restricted stock that may be issued under the Equity Incentive Plan may not exceed 10% of the outstanding shares on June 13, 2008, the effective date of the Equity Incentive Plan, plus 10% of the number of shares issued or delivered by the Company (other than pursuant to compensation plans) during the term of the Equity Incentive Plan. No one person may be granted more than 25% of the shares of restricted stock reserved for issuance under the Equity Incentive Plan. In addition, the amount of voting securities that would result from the exercise of all of the Company’s outstanding warrants, options and rights, together with any restricted stock issued by the Company, at the time of issuance may not exceed 25% of the outstanding voting securities of the Company, except that if the amount of voting securities that would result from the exercise of all the Company’s outstanding warrants, options and rights issued to the</w:t>
      </w: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300" w:right="619"/>
        <w:spacing w:after="0" w:line="259" w:lineRule="auto"/>
        <w:rPr>
          <w:sz w:val="20"/>
          <w:szCs w:val="20"/>
          <w:color w:val="auto"/>
        </w:rPr>
      </w:pPr>
      <w:r>
        <w:rPr>
          <w:rFonts w:ascii="Arial" w:cs="Arial" w:eastAsia="Arial" w:hAnsi="Arial"/>
          <w:sz w:val="18"/>
          <w:szCs w:val="18"/>
          <w:color w:val="auto"/>
        </w:rPr>
        <w:t>Company’s directors, officers and employees, together with any restricted stock issued by the Company, would exceed 15% of the outstanding voting securities of the Company, the total amount of voting securities that would result from the exercise of all outstanding warrants, options and rights, together with any restricted stock issued by the Company, at the time of issuance may not exceed 20% of the outstanding voting securities of the Company.</w:t>
      </w:r>
    </w:p>
    <w:p>
      <w:pPr>
        <w:spacing w:after="0" w:line="79" w:lineRule="exact"/>
        <w:rPr>
          <w:sz w:val="20"/>
          <w:szCs w:val="20"/>
          <w:color w:val="auto"/>
        </w:rPr>
      </w:pPr>
    </w:p>
    <w:p>
      <w:pPr>
        <w:ind w:left="300" w:right="559" w:hanging="272"/>
        <w:spacing w:after="0" w:line="264"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shares issuable under the Company’s Equity Incentive Plan may be issued in the form of options, restricted stock or other stock-based awards. The shares issuable under the Company’s Non-Employee Director Plan may currently be issued in the form of restricted stock.</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 xml:space="preserve">The following selected consolidated financial data should be read in conjunction with Part II, Item 7, </w:t>
      </w:r>
      <w:r>
        <w:rPr>
          <w:rFonts w:ascii="Arial" w:cs="Arial" w:eastAsia="Arial" w:hAnsi="Arial"/>
          <w:sz w:val="17"/>
          <w:szCs w:val="17"/>
          <w:i w:val="1"/>
          <w:iCs w:val="1"/>
          <w:color w:val="auto"/>
        </w:rPr>
        <w:t>Management’s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and Analysis of Financial Condition and Results of Operations</w:t>
      </w:r>
      <w:r>
        <w:rPr>
          <w:rFonts w:ascii="Arial" w:cs="Arial" w:eastAsia="Arial" w:hAnsi="Arial"/>
          <w:sz w:val="17"/>
          <w:szCs w:val="17"/>
          <w:color w:val="auto"/>
        </w:rPr>
        <w:t>, and Part II, Item 8,</w:t>
      </w:r>
      <w:r>
        <w:rPr>
          <w:rFonts w:ascii="Arial" w:cs="Arial" w:eastAsia="Arial" w:hAnsi="Arial"/>
          <w:sz w:val="17"/>
          <w:szCs w:val="17"/>
          <w:i w:val="1"/>
          <w:iCs w:val="1"/>
          <w:color w:val="auto"/>
        </w:rPr>
        <w:t xml:space="preserve"> Financial Statements and Supplementary Data</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Annual Report on Form 10-K. The following selected financial and other data for the years ended December 31, 2016, 2015, 2014, 2013 and 2012 is derived from the audited consolidated financial statements for such years, included in Part II, Item 8</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w:t>
      </w:r>
    </w:p>
    <w:p>
      <w:pPr>
        <w:spacing w:after="0" w:line="16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326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14"/>
                <w:szCs w:val="14"/>
                <w:color w:val="auto"/>
              </w:rPr>
            </w:pPr>
          </w:p>
        </w:tc>
      </w:tr>
      <w:tr>
        <w:trPr>
          <w:trHeight w:val="19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Interest and related portfolio income:</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and 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34,131,571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39,811,558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34,802,690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33,144,195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29,821,676</w:t>
            </w: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Fees and other income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668,527</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366,859</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934,871</w:t>
            </w: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305,376</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304,882</w:t>
            </w:r>
          </w:p>
        </w:tc>
      </w:tr>
      <w:tr>
        <w:trPr>
          <w:trHeight w:val="203"/>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Dividends from Asset Manager Affiliates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1,400,000</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5,348,554</w:t>
            </w: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5,467,914</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5,735,045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1,214,998</w:t>
            </w:r>
          </w:p>
        </w:tc>
      </w:tr>
      <w:tr>
        <w:trPr>
          <w:trHeight w:val="186"/>
        </w:trPr>
        <w:tc>
          <w:tcPr>
            <w:tcW w:w="3260" w:type="dxa"/>
            <w:vAlign w:val="bottom"/>
            <w:tcBorders>
              <w:top w:val="single" w:sz="8" w:color="CCEEFF"/>
            </w:tcBorders>
          </w:tcPr>
          <w:p>
            <w:pPr>
              <w:ind w:left="380"/>
              <w:spacing w:after="0"/>
              <w:rPr>
                <w:sz w:val="20"/>
                <w:szCs w:val="20"/>
                <w:color w:val="auto"/>
              </w:rPr>
            </w:pPr>
            <w:r>
              <w:rPr>
                <w:rFonts w:ascii="Arial" w:cs="Arial" w:eastAsia="Arial" w:hAnsi="Arial"/>
                <w:sz w:val="16"/>
                <w:szCs w:val="16"/>
                <w:color w:val="auto"/>
              </w:rPr>
              <w:t>Total interest and related portfolio</w:t>
            </w: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9"/>
        </w:trPr>
        <w:tc>
          <w:tcPr>
            <w:tcW w:w="3260" w:type="dxa"/>
            <w:vAlign w:val="bottom"/>
          </w:tcPr>
          <w:p>
            <w:pPr>
              <w:ind w:left="560"/>
              <w:spacing w:after="0"/>
              <w:rPr>
                <w:sz w:val="20"/>
                <w:szCs w:val="20"/>
                <w:color w:val="auto"/>
              </w:rPr>
            </w:pPr>
            <w:r>
              <w:rPr>
                <w:rFonts w:ascii="Arial" w:cs="Arial" w:eastAsia="Arial" w:hAnsi="Arial"/>
                <w:sz w:val="16"/>
                <w:szCs w:val="16"/>
                <w:color w:val="auto"/>
              </w:rPr>
              <w:t>income</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36,200,098</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45,526,971</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41,205,475</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39,184,616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31,341,556</w:t>
            </w:r>
          </w:p>
        </w:tc>
      </w:tr>
      <w:tr>
        <w:trPr>
          <w:trHeight w:val="20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3260" w:type="dxa"/>
            <w:vAlign w:val="bottom"/>
          </w:tcPr>
          <w:p>
            <w:pPr>
              <w:ind w:left="200"/>
              <w:spacing w:after="0"/>
              <w:rPr>
                <w:sz w:val="20"/>
                <w:szCs w:val="20"/>
                <w:color w:val="auto"/>
              </w:rPr>
            </w:pPr>
            <w:r>
              <w:rPr>
                <w:rFonts w:ascii="Arial" w:cs="Arial" w:eastAsia="Arial" w:hAnsi="Arial"/>
                <w:sz w:val="16"/>
                <w:szCs w:val="16"/>
                <w:color w:val="auto"/>
              </w:rPr>
              <w:t>Interest and amortization of debt issuance</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260" w:type="dxa"/>
            <w:vAlign w:val="bottom"/>
          </w:tcPr>
          <w:p>
            <w:pPr>
              <w:ind w:left="380"/>
              <w:spacing w:after="0"/>
              <w:rPr>
                <w:sz w:val="20"/>
                <w:szCs w:val="20"/>
                <w:color w:val="auto"/>
              </w:rPr>
            </w:pPr>
            <w:r>
              <w:rPr>
                <w:rFonts w:ascii="Arial" w:cs="Arial" w:eastAsia="Arial" w:hAnsi="Arial"/>
                <w:sz w:val="16"/>
                <w:szCs w:val="16"/>
                <w:color w:val="auto"/>
              </w:rPr>
              <w:t>costs</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9,110,603</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11,727,880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11,538,179</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10,116,271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6,976,018</w:t>
            </w:r>
          </w:p>
        </w:tc>
      </w:tr>
      <w:tr>
        <w:trPr>
          <w:trHeight w:val="206"/>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4,103,558</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3,843,799</w:t>
            </w: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4,951,745</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4,630,481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3,172,814</w:t>
            </w: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4,495,942</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5,772,502</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4,594,983</w:t>
            </w: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4,563,749</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4,344,611</w:t>
            </w:r>
          </w:p>
        </w:tc>
      </w:tr>
      <w:tr>
        <w:trPr>
          <w:trHeight w:val="20"/>
        </w:trPr>
        <w:tc>
          <w:tcPr>
            <w:tcW w:w="3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17,710,103</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21,344,181</w:t>
            </w: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21,084,907</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19,310,501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14,493,443</w:t>
            </w:r>
          </w:p>
        </w:tc>
      </w:tr>
      <w:tr>
        <w:trPr>
          <w:trHeight w:val="20"/>
        </w:trPr>
        <w:tc>
          <w:tcPr>
            <w:tcW w:w="3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Net Investment Income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18,489,995</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24,182,790</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20,120,568</w:t>
            </w: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19,874,115</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16,848,113</w:t>
            </w:r>
          </w:p>
        </w:tc>
      </w:tr>
      <w:tr>
        <w:trPr>
          <w:trHeight w:val="19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and unrealized (losses) gains on</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Net realized (losses) gains</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(6,341,678)</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(6,647,478)</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88"/>
              </w:rPr>
              <w:t>(11,132,491)</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(12,627,314)</w:t>
            </w: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(3,232,974)</w:t>
            </w:r>
          </w:p>
        </w:tc>
      </w:tr>
      <w:tr>
        <w:trPr>
          <w:trHeight w:val="203"/>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unrealized (losses) gains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(13,188,048)</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(36,169,870)</w:t>
            </w: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6,045,517</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9,976,171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12,510,641</w:t>
            </w:r>
          </w:p>
        </w:tc>
      </w:tr>
      <w:tr>
        <w:trPr>
          <w:trHeight w:val="20"/>
        </w:trPr>
        <w:tc>
          <w:tcPr>
            <w:tcW w:w="3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60" w:type="dxa"/>
            <w:vAlign w:val="bottom"/>
          </w:tcPr>
          <w:p>
            <w:pPr>
              <w:ind w:left="380"/>
              <w:spacing w:after="0"/>
              <w:rPr>
                <w:sz w:val="20"/>
                <w:szCs w:val="20"/>
                <w:color w:val="auto"/>
              </w:rPr>
            </w:pPr>
            <w:r>
              <w:rPr>
                <w:rFonts w:ascii="Arial" w:cs="Arial" w:eastAsia="Arial" w:hAnsi="Arial"/>
                <w:sz w:val="16"/>
                <w:szCs w:val="16"/>
                <w:color w:val="auto"/>
              </w:rPr>
              <w:t>Total net (losses) gains</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(19,529,726)</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(42,817,348)</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(5,086,974)</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(2,651,143)</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9,277,667</w:t>
            </w:r>
          </w:p>
        </w:tc>
      </w:tr>
      <w:tr>
        <w:trPr>
          <w:trHeight w:val="18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Net (decrease) increase in net assets resulting</w:t>
            </w: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3"/>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(1,039,731)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(18,634,558)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15,033,594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17,222,972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26,125,779</w:t>
            </w:r>
          </w:p>
        </w:tc>
      </w:tr>
      <w:tr>
        <w:trPr>
          <w:trHeight w:val="196"/>
        </w:trPr>
        <w:tc>
          <w:tcPr>
            <w:tcW w:w="32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Per Share:</w:t>
            </w: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 –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Earnings per common share –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(0.03)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(0.50)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0.43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0.53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0.95</w:t>
            </w: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 per share –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0.65</w:t>
            </w: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Net investment income per share –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0.58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0.62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0.64</w:t>
            </w: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declared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0.94</w:t>
            </w:r>
          </w:p>
        </w:tc>
      </w:tr>
      <w:tr>
        <w:trPr>
          <w:trHeight w:val="206"/>
        </w:trPr>
        <w:tc>
          <w:tcPr>
            <w:tcW w:w="3260" w:type="dxa"/>
            <w:vAlign w:val="bottom"/>
          </w:tcPr>
          <w:p>
            <w:pPr>
              <w:ind w:left="20"/>
              <w:spacing w:after="0"/>
              <w:rPr>
                <w:sz w:val="20"/>
                <w:szCs w:val="20"/>
                <w:color w:val="auto"/>
              </w:rPr>
            </w:pPr>
            <w:r>
              <w:rPr>
                <w:rFonts w:ascii="Arial" w:cs="Arial" w:eastAsia="Arial" w:hAnsi="Arial"/>
                <w:sz w:val="16"/>
                <w:szCs w:val="16"/>
                <w:color w:val="auto"/>
              </w:rPr>
              <w:t>Taxable Distributable Income per basic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0.78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0.70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-3037840</wp:posOffset>
            </wp:positionV>
            <wp:extent cx="5213985" cy="266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266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-1991360</wp:posOffset>
            </wp:positionV>
            <wp:extent cx="521398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-1339850</wp:posOffset>
            </wp:positionV>
            <wp:extent cx="521398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-936625</wp:posOffset>
            </wp:positionV>
            <wp:extent cx="521398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ind w:left="20"/>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54"/>
        </w:trPr>
        <w:tc>
          <w:tcPr>
            <w:tcW w:w="20" w:type="dxa"/>
            <w:vAlign w:val="bottom"/>
          </w:tcPr>
          <w:p>
            <w:pPr>
              <w:spacing w:after="0"/>
              <w:rPr>
                <w:sz w:val="22"/>
                <w:szCs w:val="22"/>
                <w:color w:val="auto"/>
              </w:rPr>
            </w:pPr>
          </w:p>
        </w:tc>
        <w:tc>
          <w:tcPr>
            <w:tcW w:w="1540" w:type="dxa"/>
            <w:vAlign w:val="bottom"/>
            <w:tcBorders>
              <w:top w:val="single" w:sz="8" w:color="0000EE"/>
            </w:tcBorders>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center"/>
              <w:ind w:right="1"/>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Year Ended</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6"/>
              </w:rPr>
              <w:t>2015</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6"/>
              </w:rPr>
              <w:t>2012</w:t>
            </w:r>
          </w:p>
        </w:tc>
      </w:tr>
      <w:tr>
        <w:trPr>
          <w:trHeight w:val="196"/>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Investment assets at 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w w:val="89"/>
              </w:rPr>
              <w:t>366,471,304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409,570,495</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w w:val="89"/>
              </w:rPr>
              <w:t>479,706,494</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440,549,994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312,044,763</w:t>
            </w:r>
          </w:p>
        </w:tc>
      </w:tr>
      <w:tr>
        <w:trPr>
          <w:trHeight w:val="203"/>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381,371,983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421,204,697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505,180,218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453,340,638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316,901,184</w:t>
            </w:r>
          </w:p>
        </w:tc>
      </w:tr>
      <w:tr>
        <w:trPr>
          <w:trHeight w:val="20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Total debt outstanding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w w:val="89"/>
              </w:rPr>
              <w:t>175,584,570</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201,103,761</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w w:val="89"/>
              </w:rPr>
              <w:t>218,618,014</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186,760,623</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w w:val="99"/>
              </w:rPr>
              <w:t>99,040,711</w:t>
            </w:r>
          </w:p>
        </w:tc>
      </w:tr>
      <w:tr>
        <w:trPr>
          <w:trHeight w:val="203"/>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194,924,925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216,100,470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255,316,701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250,369,693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207,875,659</w:t>
            </w:r>
          </w:p>
        </w:tc>
      </w:tr>
      <w:tr>
        <w:trPr>
          <w:trHeight w:val="20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Net asset value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5.24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5.82</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6.94</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7.51</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7.85</w:t>
            </w:r>
          </w:p>
        </w:tc>
      </w:tr>
      <w:tr>
        <w:trPr>
          <w:trHeight w:val="203"/>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Common shares outstanding at end of year</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99"/>
              </w:rPr>
              <w:t>37,178,294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97"/>
              </w:rPr>
              <w:t>37,100,005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99"/>
              </w:rPr>
              <w:t>36,775,127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97"/>
              </w:rPr>
              <w:t>33,332,123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97"/>
              </w:rPr>
              <w:t>26,470,408</w:t>
            </w:r>
          </w:p>
        </w:tc>
      </w:tr>
      <w:tr>
        <w:trPr>
          <w:trHeight w:val="203"/>
        </w:trPr>
        <w:tc>
          <w:tcPr>
            <w:tcW w:w="326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Data:</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3"/>
        </w:trPr>
        <w:tc>
          <w:tcPr>
            <w:tcW w:w="32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Investments funded</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99"/>
              </w:rPr>
              <w:t>75,724,590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130,954,741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235,905,130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243,966,586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123,165,150</w:t>
            </w:r>
          </w:p>
        </w:tc>
      </w:tr>
      <w:tr>
        <w:trPr>
          <w:trHeight w:val="192"/>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Principal collections related to investment</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4"/>
        </w:trPr>
        <w:tc>
          <w:tcPr>
            <w:tcW w:w="20" w:type="dxa"/>
            <w:vAlign w:val="bottom"/>
          </w:tcPr>
          <w:p>
            <w:pPr>
              <w:spacing w:after="0"/>
              <w:rPr>
                <w:sz w:val="22"/>
                <w:szCs w:val="22"/>
                <w:color w:val="auto"/>
              </w:rPr>
            </w:pPr>
          </w:p>
        </w:tc>
        <w:tc>
          <w:tcPr>
            <w:tcW w:w="3240" w:type="dxa"/>
            <w:vAlign w:val="bottom"/>
            <w:gridSpan w:val="2"/>
          </w:tcPr>
          <w:p>
            <w:pPr>
              <w:ind w:left="180"/>
              <w:spacing w:after="0" w:line="254" w:lineRule="exact"/>
              <w:rPr>
                <w:sz w:val="20"/>
                <w:szCs w:val="20"/>
                <w:color w:val="auto"/>
              </w:rPr>
            </w:pPr>
            <w:r>
              <w:rPr>
                <w:rFonts w:ascii="Arial" w:cs="Arial" w:eastAsia="Arial" w:hAnsi="Arial"/>
                <w:sz w:val="16"/>
                <w:szCs w:val="16"/>
                <w:color w:val="auto"/>
              </w:rPr>
              <w:t>repayments or sales</w:t>
            </w:r>
            <w:r>
              <w:rPr>
                <w:rFonts w:ascii="Arial" w:cs="Arial" w:eastAsia="Arial" w:hAnsi="Arial"/>
                <w:sz w:val="27"/>
                <w:szCs w:val="27"/>
                <w:color w:val="auto"/>
                <w:vertAlign w:val="superscript"/>
              </w:rPr>
              <w:t>(1)</w:t>
            </w:r>
          </w:p>
        </w:tc>
        <w:tc>
          <w:tcPr>
            <w:tcW w:w="80" w:type="dxa"/>
            <w:vAlign w:val="bottom"/>
          </w:tcPr>
          <w:p>
            <w:pPr>
              <w:spacing w:after="0"/>
              <w:rPr>
                <w:sz w:val="22"/>
                <w:szCs w:val="22"/>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color w:val="auto"/>
                <w:w w:val="89"/>
              </w:rPr>
              <w:t>129,191,854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129,793,338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w w:val="89"/>
              </w:rPr>
              <w:t>193,554,964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97"/>
              </w:rPr>
              <w:t>94,197,886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104,556,500</w:t>
            </w:r>
          </w:p>
        </w:tc>
      </w:tr>
      <w:tr>
        <w:trPr>
          <w:trHeight w:val="192"/>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Number of portfolio investments at</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54"/>
        </w:trPr>
        <w:tc>
          <w:tcPr>
            <w:tcW w:w="20" w:type="dxa"/>
            <w:vAlign w:val="bottom"/>
            <w:shd w:val="clear" w:color="auto" w:fill="CCEEFF"/>
          </w:tcPr>
          <w:p>
            <w:pPr>
              <w:spacing w:after="0"/>
              <w:rPr>
                <w:sz w:val="22"/>
                <w:szCs w:val="22"/>
                <w:color w:val="auto"/>
              </w:rPr>
            </w:pPr>
          </w:p>
        </w:tc>
        <w:tc>
          <w:tcPr>
            <w:tcW w:w="3240" w:type="dxa"/>
            <w:vAlign w:val="bottom"/>
            <w:gridSpan w:val="2"/>
            <w:shd w:val="clear" w:color="auto" w:fill="CCEEFF"/>
          </w:tcPr>
          <w:p>
            <w:pPr>
              <w:ind w:left="180"/>
              <w:spacing w:after="0" w:line="254" w:lineRule="exact"/>
              <w:rPr>
                <w:sz w:val="20"/>
                <w:szCs w:val="20"/>
                <w:color w:val="auto"/>
              </w:rPr>
            </w:pPr>
            <w:r>
              <w:rPr>
                <w:rFonts w:ascii="Arial" w:cs="Arial" w:eastAsia="Arial" w:hAnsi="Arial"/>
                <w:sz w:val="16"/>
                <w:szCs w:val="16"/>
                <w:color w:val="auto"/>
              </w:rPr>
              <w:t>year end</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125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130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141</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126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88</w:t>
            </w:r>
          </w:p>
        </w:tc>
      </w:tr>
      <w:tr>
        <w:trPr>
          <w:trHeight w:val="192"/>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Weighted average yield of income producing</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53"/>
        </w:trPr>
        <w:tc>
          <w:tcPr>
            <w:tcW w:w="20" w:type="dxa"/>
            <w:vAlign w:val="bottom"/>
          </w:tcPr>
          <w:p>
            <w:pPr>
              <w:spacing w:after="0"/>
              <w:rPr>
                <w:sz w:val="24"/>
                <w:szCs w:val="24"/>
                <w:color w:val="auto"/>
              </w:rPr>
            </w:pPr>
          </w:p>
        </w:tc>
        <w:tc>
          <w:tcPr>
            <w:tcW w:w="3240" w:type="dxa"/>
            <w:vAlign w:val="bottom"/>
            <w:gridSpan w:val="2"/>
          </w:tcPr>
          <w:p>
            <w:pPr>
              <w:ind w:left="180"/>
              <w:spacing w:after="0"/>
              <w:rPr>
                <w:sz w:val="20"/>
                <w:szCs w:val="20"/>
                <w:color w:val="auto"/>
              </w:rPr>
            </w:pPr>
            <w:r>
              <w:rPr>
                <w:rFonts w:ascii="Arial" w:cs="Arial" w:eastAsia="Arial" w:hAnsi="Arial"/>
                <w:sz w:val="16"/>
                <w:szCs w:val="16"/>
                <w:color w:val="auto"/>
              </w:rPr>
              <w:t>debt investments</w:t>
            </w:r>
            <w:r>
              <w:rPr>
                <w:rFonts w:ascii="Arial" w:cs="Arial" w:eastAsia="Arial" w:hAnsi="Arial"/>
                <w:sz w:val="27"/>
                <w:szCs w:val="27"/>
                <w:color w:val="auto"/>
                <w:vertAlign w:val="superscript"/>
              </w:rPr>
              <w:t>(2)</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-2454910</wp:posOffset>
            </wp:positionV>
            <wp:extent cx="54800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8005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108585</wp:posOffset>
            </wp:positionV>
            <wp:extent cx="6172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00" w:hanging="272"/>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include investments in time deposits or money markets.</w:t>
      </w:r>
    </w:p>
    <w:p>
      <w:pPr>
        <w:spacing w:after="0" w:line="117" w:lineRule="exact"/>
        <w:rPr>
          <w:rFonts w:ascii="Arial" w:cs="Arial" w:eastAsia="Arial" w:hAnsi="Arial"/>
          <w:sz w:val="18"/>
          <w:szCs w:val="18"/>
          <w:color w:val="auto"/>
        </w:rPr>
      </w:pPr>
    </w:p>
    <w:p>
      <w:pPr>
        <w:ind w:left="300" w:right="979" w:hanging="272"/>
        <w:spacing w:after="0" w:line="277"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Weighted average yield of income producing investments is calculated as the average yield to par outstanding balances for investments in loans, bonds, and mezzanine debt in our Debt Securities portfolio.</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40" w:right="839" w:firstLine="270"/>
        <w:spacing w:after="0" w:line="297" w:lineRule="auto"/>
        <w:rPr>
          <w:sz w:val="20"/>
          <w:szCs w:val="20"/>
          <w:color w:val="auto"/>
        </w:rPr>
      </w:pPr>
      <w:r>
        <w:rPr>
          <w:rFonts w:ascii="Arial" w:cs="Arial" w:eastAsia="Arial" w:hAnsi="Arial"/>
          <w:sz w:val="16"/>
          <w:szCs w:val="16"/>
          <w:i w:val="1"/>
          <w:iCs w:val="1"/>
          <w:color w:val="auto"/>
        </w:rPr>
        <w:t>The following discussion should be read in conjunction with our financial statements and related notes and other financial information appearing elsewhere in this annual report. In addition to historical information, the following discussion and other parts of this annual report contain forward-looking information that involves risks and uncertainties. Our actual results could differ materially from those anticipated by such forward-looking information due to the factors discussed under “Item 1A. Risk Factors” and “Note About Forward-Looking Statements” appearing elsewhere in this annual report.</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0" w:right="699" w:firstLine="270"/>
        <w:spacing w:after="0" w:line="342" w:lineRule="auto"/>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 Investment Company Act of 1940 (the “1940 Act”). We have three principal areas of investments:</w:t>
      </w:r>
    </w:p>
    <w:p>
      <w:pPr>
        <w:spacing w:after="0" w:line="16"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73" w:lineRule="exact"/>
        <w:rPr>
          <w:sz w:val="20"/>
          <w:szCs w:val="20"/>
          <w:color w:val="auto"/>
        </w:rPr>
      </w:pPr>
    </w:p>
    <w:p>
      <w:pPr>
        <w:ind w:left="40" w:right="1339" w:firstLine="270"/>
        <w:spacing w:after="0" w:line="342" w:lineRule="auto"/>
        <w:rPr>
          <w:sz w:val="20"/>
          <w:szCs w:val="20"/>
          <w:color w:val="auto"/>
        </w:rPr>
      </w:pPr>
      <w:r>
        <w:rPr>
          <w:rFonts w:ascii="Arial" w:cs="Arial" w:eastAsia="Arial" w:hAnsi="Arial"/>
          <w:sz w:val="16"/>
          <w:szCs w:val="16"/>
          <w:color w:val="auto"/>
        </w:rPr>
        <w:t>Second, the Company has invested in asset management companies (Katonah Debt Advisors and Trimaran Advisors, collectively the “Asset Manager Affiliates”) that manage collateralized loan obligation funds (“CLO Funds”).</w:t>
      </w:r>
    </w:p>
    <w:p>
      <w:pPr>
        <w:spacing w:after="0" w:line="16" w:lineRule="exact"/>
        <w:rPr>
          <w:sz w:val="20"/>
          <w:szCs w:val="20"/>
          <w:color w:val="auto"/>
        </w:rPr>
      </w:pPr>
    </w:p>
    <w:p>
      <w:pPr>
        <w:ind w:left="40" w:right="939" w:firstLine="270"/>
        <w:spacing w:after="0" w:line="259" w:lineRule="auto"/>
        <w:rPr>
          <w:sz w:val="20"/>
          <w:szCs w:val="20"/>
          <w:color w:val="auto"/>
        </w:rPr>
      </w:pPr>
      <w:r>
        <w:rPr>
          <w:rFonts w:ascii="Arial" w:cs="Arial" w:eastAsia="Arial" w:hAnsi="Arial"/>
          <w:sz w:val="18"/>
          <w:szCs w:val="18"/>
          <w:color w:val="auto"/>
        </w:rPr>
        <w:t>Third, the Company invests in debt and subordinated securities issued by collateralized loan obligation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79"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and distressed debt securities. The Company may also receive warrants or options to purchase common stock in connection with its debt investments.</w:t>
      </w:r>
    </w:p>
    <w:p>
      <w:pPr>
        <w:spacing w:after="0" w:line="73"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private companies or publicly-traded companies, high-yield bonds and distressed debt securities. We may also receive warrants or options to purchase common stock in connection with our debt investments.</w:t>
      </w:r>
    </w:p>
    <w:p>
      <w:pPr>
        <w:spacing w:after="0" w:line="72" w:lineRule="exact"/>
        <w:rPr>
          <w:sz w:val="20"/>
          <w:szCs w:val="20"/>
          <w:color w:val="auto"/>
        </w:rPr>
      </w:pPr>
    </w:p>
    <w:p>
      <w:pPr>
        <w:ind w:left="40" w:right="519" w:firstLine="270"/>
        <w:spacing w:after="0" w:line="254" w:lineRule="auto"/>
        <w:rPr>
          <w:sz w:val="20"/>
          <w:szCs w:val="20"/>
          <w:color w:val="auto"/>
        </w:rPr>
      </w:pPr>
      <w:r>
        <w:rPr>
          <w:rFonts w:ascii="Arial" w:cs="Arial" w:eastAsia="Arial" w:hAnsi="Arial"/>
          <w:sz w:val="18"/>
          <w:szCs w:val="18"/>
          <w:color w:val="auto"/>
        </w:rPr>
        <w:t>From our Asset Manager Affiliates investment, we expect to receive recurring cash distributions and to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Collectively, the Asset Manager Affiliates have approximately $3.0 billion of par value assets under management as of December 31, 2016. The Asset Manager Affiliates are registered under the Investment Advisers Act of 1940, and are each managed independently from KCAP by a separate management team (however, certain of the Company’s executive officers also act in similar capacities for one or both of the Asset Manager Affiliates).</w:t>
      </w: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59" w:firstLine="270"/>
        <w:spacing w:after="0" w:line="286" w:lineRule="auto"/>
        <w:rPr>
          <w:sz w:val="20"/>
          <w:szCs w:val="20"/>
          <w:color w:val="auto"/>
        </w:rPr>
      </w:pPr>
      <w:r>
        <w:rPr>
          <w:rFonts w:ascii="Arial" w:cs="Arial" w:eastAsia="Arial" w:hAnsi="Arial"/>
          <w:sz w:val="17"/>
          <w:szCs w:val="17"/>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our investment in the Asset Manager Affiliates.</w:t>
      </w:r>
    </w:p>
    <w:p>
      <w:pPr>
        <w:spacing w:after="0" w:line="57" w:lineRule="exact"/>
        <w:rPr>
          <w:sz w:val="20"/>
          <w:szCs w:val="20"/>
          <w:color w:val="auto"/>
        </w:rPr>
      </w:pPr>
    </w:p>
    <w:p>
      <w:pPr>
        <w:ind w:left="60" w:right="779" w:firstLine="270"/>
        <w:spacing w:after="0" w:line="259" w:lineRule="auto"/>
        <w:rPr>
          <w:sz w:val="20"/>
          <w:szCs w:val="20"/>
          <w:color w:val="auto"/>
        </w:rPr>
      </w:pPr>
      <w:r>
        <w:rPr>
          <w:rFonts w:ascii="Arial" w:cs="Arial" w:eastAsia="Arial" w:hAnsi="Arial"/>
          <w:sz w:val="18"/>
          <w:szCs w:val="18"/>
          <w:color w:val="auto"/>
        </w:rPr>
        <w:t>Subject to market conditions, 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79" w:lineRule="exact"/>
        <w:rPr>
          <w:sz w:val="20"/>
          <w:szCs w:val="20"/>
          <w:color w:val="auto"/>
        </w:rPr>
      </w:pPr>
    </w:p>
    <w:p>
      <w:pPr>
        <w:ind w:left="60" w:right="579" w:firstLine="270"/>
        <w:spacing w:after="0" w:line="255"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60" w:right="679" w:firstLine="270"/>
        <w:spacing w:after="0" w:line="291" w:lineRule="auto"/>
        <w:rPr>
          <w:sz w:val="20"/>
          <w:szCs w:val="20"/>
          <w:color w:val="auto"/>
        </w:rPr>
      </w:pPr>
      <w:r>
        <w:rPr>
          <w:rFonts w:ascii="Arial" w:cs="Arial" w:eastAsia="Arial" w:hAnsi="Arial"/>
          <w:sz w:val="16"/>
          <w:szCs w:val="16"/>
          <w:color w:val="auto"/>
        </w:rPr>
        <w:t>Our primary investments are: (1) lending to and investing in middle-market businesses through investments in senior secured loans, junior secured loans, subordinated/mezzanine debt investments, and other equity investments, which may include warrants,</w:t>
      </w:r>
    </w:p>
    <w:p>
      <w:pPr>
        <w:ind w:left="60" w:right="799" w:firstLine="8"/>
        <w:spacing w:after="0" w:line="261"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investments in our Asset Manager Affiliates, which manage portfolios of broadly syndicated loans, high-yield bonds and other credit instruments, and (3) CLO Fund Securities.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portfolio investment activity (excluding activity in time deposit and money market investments) for the years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2016, December 31, 2015, and December 31, 2014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CLO Fund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Manager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8"/>
              </w:rPr>
              <w:t>Securities</w:t>
            </w:r>
          </w:p>
        </w:tc>
        <w:tc>
          <w:tcPr>
            <w:tcW w:w="8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Affiliates</w:t>
            </w:r>
          </w:p>
        </w:tc>
        <w:tc>
          <w:tcPr>
            <w:tcW w:w="10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Portfolio</w:t>
            </w:r>
          </w:p>
        </w:tc>
        <w:tc>
          <w:tcPr>
            <w:tcW w:w="0" w:type="dxa"/>
            <w:vAlign w:val="bottom"/>
          </w:tcPr>
          <w:p>
            <w:pPr>
              <w:spacing w:after="0"/>
              <w:rPr>
                <w:sz w:val="1"/>
                <w:szCs w:val="1"/>
                <w:color w:val="auto"/>
              </w:rPr>
            </w:pPr>
          </w:p>
        </w:tc>
      </w:tr>
      <w:tr>
        <w:trPr>
          <w:trHeight w:val="196"/>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Fair Value at December 31, 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266,830,427</w:t>
            </w:r>
          </w:p>
        </w:tc>
        <w:tc>
          <w:tcPr>
            <w:tcW w:w="120" w:type="dxa"/>
            <w:vAlign w:val="bottom"/>
            <w:tcBorders>
              <w:left w:val="single" w:sz="8" w:color="CCEEFF"/>
            </w:tcBorders>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79,452,220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11,006,398</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76,148,000</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433,437,045</w:t>
            </w:r>
          </w:p>
        </w:tc>
        <w:tc>
          <w:tcPr>
            <w:tcW w:w="0" w:type="dxa"/>
            <w:vAlign w:val="bottom"/>
          </w:tcPr>
          <w:p>
            <w:pPr>
              <w:spacing w:after="0"/>
              <w:rPr>
                <w:sz w:val="1"/>
                <w:szCs w:val="1"/>
                <w:color w:val="auto"/>
              </w:rPr>
            </w:pPr>
          </w:p>
        </w:tc>
      </w:tr>
      <w:tr>
        <w:trPr>
          <w:trHeight w:val="203"/>
        </w:trPr>
        <w:tc>
          <w:tcPr>
            <w:tcW w:w="2900" w:type="dxa"/>
            <w:vAlign w:val="bottom"/>
          </w:tcPr>
          <w:p>
            <w:pPr>
              <w:ind w:left="20"/>
              <w:spacing w:after="0"/>
              <w:rPr>
                <w:sz w:val="20"/>
                <w:szCs w:val="20"/>
                <w:color w:val="auto"/>
              </w:rPr>
            </w:pPr>
            <w:r>
              <w:rPr>
                <w:rFonts w:ascii="Arial" w:cs="Arial" w:eastAsia="Arial" w:hAnsi="Arial"/>
                <w:sz w:val="16"/>
                <w:szCs w:val="16"/>
                <w:color w:val="auto"/>
              </w:rPr>
              <w:t>2014 Activity:</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Purchases/originations/draws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224,513,503</w:t>
            </w:r>
          </w:p>
        </w:tc>
        <w:tc>
          <w:tcPr>
            <w:tcW w:w="120" w:type="dxa"/>
            <w:vAlign w:val="bottom"/>
            <w:tcBorders>
              <w:left w:val="single" w:sz="8" w:color="CCEEFF"/>
            </w:tcBorders>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22,421,847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2,216,847</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545,979</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249,698,176</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6"/>
                <w:szCs w:val="16"/>
                <w:color w:val="auto"/>
              </w:rPr>
              <w:t>Pay-downs/pay-offs/sales</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(168,429,374)</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(10,132,500)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(5,007,311)</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(6,432,086)</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(190,001,271)</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accretion (amortization)</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410,718</w:t>
            </w:r>
          </w:p>
        </w:tc>
        <w:tc>
          <w:tcPr>
            <w:tcW w:w="120" w:type="dxa"/>
            <w:vAlign w:val="bottom"/>
            <w:tcBorders>
              <w:left w:val="single" w:sz="8" w:color="CCEEFF"/>
            </w:tcBorders>
            <w:shd w:val="clear" w:color="auto" w:fill="CCEEFF"/>
          </w:tcPr>
          <w:p>
            <w:pPr>
              <w:spacing w:after="0"/>
              <w:rPr>
                <w:sz w:val="17"/>
                <w:szCs w:val="17"/>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(11,102,015)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(10,691,297)</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6"/>
                <w:szCs w:val="16"/>
                <w:color w:val="auto"/>
              </w:rPr>
              <w:t>Net realized losses</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(8,823,507)</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5,575,498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(7,136,408)</w:t>
            </w: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(10,384,417)</w:t>
            </w: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increase (decrease) in fair</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5,641,403</w:t>
            </w:r>
          </w:p>
        </w:tc>
        <w:tc>
          <w:tcPr>
            <w:tcW w:w="12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(8,700,148)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7,040,155</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2,064,107</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6,045,517</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00" w:type="dxa"/>
            <w:vAlign w:val="bottom"/>
          </w:tcPr>
          <w:p>
            <w:pPr>
              <w:ind w:left="200"/>
              <w:spacing w:after="0"/>
              <w:rPr>
                <w:sz w:val="20"/>
                <w:szCs w:val="20"/>
                <w:color w:val="auto"/>
              </w:rPr>
            </w:pPr>
            <w:r>
              <w:rPr>
                <w:rFonts w:ascii="Arial" w:cs="Arial" w:eastAsia="Arial" w:hAnsi="Arial"/>
                <w:sz w:val="16"/>
                <w:szCs w:val="16"/>
                <w:color w:val="auto"/>
              </w:rPr>
              <w:t>Fair Value at December 31, 2014</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8"/>
              </w:rPr>
              <w:t>320,143,170</w:t>
            </w:r>
          </w:p>
        </w:tc>
        <w:tc>
          <w:tcPr>
            <w:tcW w:w="1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77,514,902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8,119,681</w:t>
            </w: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72,326,000</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478,103,753</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 Activity: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6"/>
                <w:szCs w:val="16"/>
                <w:color w:val="auto"/>
              </w:rPr>
              <w:t>Purchases/originations/draws</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8"/>
              </w:rPr>
              <w:t>108,670,472</w:t>
            </w:r>
          </w:p>
        </w:tc>
        <w:tc>
          <w:tcPr>
            <w:tcW w:w="1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11,952,000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1,953,299</w:t>
            </w: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124,023,641</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Pay-downs/pay-offs/sales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(135,328,386)</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(3,872,700)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(317,340)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(3,701,446)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(143,219,872)</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6"/>
                <w:szCs w:val="16"/>
                <w:color w:val="auto"/>
              </w:rPr>
              <w:t>Net accretion (amortization)</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1,860,670</w:t>
            </w:r>
          </w:p>
        </w:tc>
        <w:tc>
          <w:tcPr>
            <w:tcW w:w="12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(9,507,050)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(9,094,250)</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realized gains (losses)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41,580</w:t>
            </w:r>
          </w:p>
        </w:tc>
        <w:tc>
          <w:tcPr>
            <w:tcW w:w="120" w:type="dxa"/>
            <w:vAlign w:val="bottom"/>
            <w:tcBorders>
              <w:left w:val="single" w:sz="8" w:color="CCEEFF"/>
            </w:tcBorders>
            <w:shd w:val="clear" w:color="auto" w:fill="CCEEFF"/>
          </w:tcPr>
          <w:p>
            <w:pPr>
              <w:spacing w:after="0"/>
              <w:rPr>
                <w:sz w:val="17"/>
                <w:szCs w:val="17"/>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(6,246,883)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3,015</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(6,202,288)</w:t>
            </w:r>
          </w:p>
        </w:tc>
        <w:tc>
          <w:tcPr>
            <w:tcW w:w="0" w:type="dxa"/>
            <w:vAlign w:val="bottom"/>
          </w:tcPr>
          <w:p>
            <w:pPr>
              <w:spacing w:after="0"/>
              <w:rPr>
                <w:sz w:val="1"/>
                <w:szCs w:val="1"/>
                <w:color w:val="auto"/>
              </w:rPr>
            </w:pPr>
          </w:p>
        </w:tc>
      </w:tr>
      <w:tr>
        <w:trPr>
          <w:trHeight w:val="193"/>
        </w:trPr>
        <w:tc>
          <w:tcPr>
            <w:tcW w:w="2900" w:type="dxa"/>
            <w:vAlign w:val="bottom"/>
          </w:tcPr>
          <w:p>
            <w:pPr>
              <w:ind w:left="200"/>
              <w:spacing w:after="0"/>
              <w:rPr>
                <w:sz w:val="20"/>
                <w:szCs w:val="20"/>
                <w:color w:val="auto"/>
              </w:rPr>
            </w:pPr>
            <w:r>
              <w:rPr>
                <w:rFonts w:ascii="Arial" w:cs="Arial" w:eastAsia="Arial" w:hAnsi="Arial"/>
                <w:sz w:val="16"/>
                <w:szCs w:val="16"/>
                <w:color w:val="auto"/>
              </w:rPr>
              <w:t>Net increase (decrease) in fair</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00" w:type="dxa"/>
            <w:vAlign w:val="bottom"/>
          </w:tcPr>
          <w:p>
            <w:pPr>
              <w:ind w:left="380"/>
              <w:spacing w:after="0"/>
              <w:rPr>
                <w:sz w:val="20"/>
                <w:szCs w:val="20"/>
                <w:color w:val="auto"/>
              </w:rPr>
            </w:pPr>
            <w:r>
              <w:rPr>
                <w:rFonts w:ascii="Arial" w:cs="Arial" w:eastAsia="Arial" w:hAnsi="Arial"/>
                <w:sz w:val="16"/>
                <w:szCs w:val="16"/>
                <w:color w:val="auto"/>
              </w:rPr>
              <w:t>value</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(10,748,262)</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(13,967,887)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(210,167)</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(11,243,554)</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(36,169,870)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Fair Value at December 31, 2015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284,639,244</w:t>
            </w:r>
          </w:p>
        </w:tc>
        <w:tc>
          <w:tcPr>
            <w:tcW w:w="120" w:type="dxa"/>
            <w:vAlign w:val="bottom"/>
            <w:tcBorders>
              <w:left w:val="single" w:sz="8" w:color="CCEEFF"/>
            </w:tcBorders>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55,872,382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9,548,488</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57,381,000</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407,441,114</w:t>
            </w:r>
          </w:p>
        </w:tc>
        <w:tc>
          <w:tcPr>
            <w:tcW w:w="0" w:type="dxa"/>
            <w:vAlign w:val="bottom"/>
          </w:tcPr>
          <w:p>
            <w:pPr>
              <w:spacing w:after="0"/>
              <w:rPr>
                <w:sz w:val="1"/>
                <w:szCs w:val="1"/>
                <w:color w:val="auto"/>
              </w:rPr>
            </w:pPr>
          </w:p>
        </w:tc>
      </w:tr>
      <w:tr>
        <w:trPr>
          <w:trHeight w:val="203"/>
        </w:trPr>
        <w:tc>
          <w:tcPr>
            <w:tcW w:w="2900" w:type="dxa"/>
            <w:vAlign w:val="bottom"/>
          </w:tcPr>
          <w:p>
            <w:pPr>
              <w:ind w:left="20"/>
              <w:spacing w:after="0"/>
              <w:rPr>
                <w:sz w:val="20"/>
                <w:szCs w:val="20"/>
                <w:color w:val="auto"/>
              </w:rPr>
            </w:pPr>
            <w:r>
              <w:rPr>
                <w:rFonts w:ascii="Arial" w:cs="Arial" w:eastAsia="Arial" w:hAnsi="Arial"/>
                <w:sz w:val="16"/>
                <w:szCs w:val="16"/>
                <w:color w:val="auto"/>
              </w:rPr>
              <w:t>2016 Activity:</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Purchases/originations/draws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74,584,952</w:t>
            </w:r>
          </w:p>
        </w:tc>
        <w:tc>
          <w:tcPr>
            <w:tcW w:w="120" w:type="dxa"/>
            <w:vAlign w:val="bottom"/>
            <w:tcBorders>
              <w:left w:val="single" w:sz="8" w:color="CCEEFF"/>
            </w:tcBorders>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10,140,000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84,724,952</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6"/>
                <w:szCs w:val="16"/>
                <w:color w:val="auto"/>
              </w:rPr>
              <w:t>Pay-downs/pay-offs/sales</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(123,240,416)</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(4,200,000)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(4,563,521)</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(1,250,000)</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(133,253,937)</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accretion (amortization)</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407,492</w:t>
            </w:r>
          </w:p>
        </w:tc>
        <w:tc>
          <w:tcPr>
            <w:tcW w:w="120" w:type="dxa"/>
            <w:vAlign w:val="bottom"/>
            <w:tcBorders>
              <w:left w:val="single" w:sz="8" w:color="CCEEFF"/>
            </w:tcBorders>
            <w:shd w:val="clear" w:color="auto" w:fill="CCEEFF"/>
          </w:tcPr>
          <w:p>
            <w:pPr>
              <w:spacing w:after="0"/>
              <w:rPr>
                <w:sz w:val="17"/>
                <w:szCs w:val="17"/>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(2,192,071)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(1,784,579)</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6"/>
                <w:szCs w:val="16"/>
                <w:color w:val="auto"/>
              </w:rPr>
              <w:t>Net realized gains (losses)</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(540,649)</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(10,111,560)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4,484,742</w:t>
            </w: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(6,167,467)</w:t>
            </w: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increase (decrease) in fair</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2,492,707</w:t>
            </w:r>
          </w:p>
        </w:tc>
        <w:tc>
          <w:tcPr>
            <w:tcW w:w="12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4,665,599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(4,413,354)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(15,933,000)</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(13,188,048)</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00" w:type="dxa"/>
            <w:vAlign w:val="bottom"/>
          </w:tcPr>
          <w:p>
            <w:pPr>
              <w:ind w:left="200"/>
              <w:spacing w:after="0"/>
              <w:rPr>
                <w:sz w:val="20"/>
                <w:szCs w:val="20"/>
                <w:color w:val="auto"/>
              </w:rPr>
            </w:pPr>
            <w:r>
              <w:rPr>
                <w:rFonts w:ascii="Arial" w:cs="Arial" w:eastAsia="Arial" w:hAnsi="Arial"/>
                <w:sz w:val="16"/>
                <w:szCs w:val="16"/>
                <w:color w:val="auto"/>
              </w:rPr>
              <w:t>Fair Value at December 31, 2016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8"/>
              </w:rPr>
              <w:t>238,343,330</w:t>
            </w:r>
          </w:p>
        </w:tc>
        <w:tc>
          <w:tcPr>
            <w:tcW w:w="1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w w:val="98"/>
              </w:rPr>
              <w:t>$ 54,174,350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5,056,355</w:t>
            </w: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$ 40,198,000</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$ 337,772,035</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-2245995</wp:posOffset>
            </wp:positionV>
            <wp:extent cx="521398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521398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59" w:firstLine="270"/>
        <w:spacing w:after="0" w:line="279" w:lineRule="auto"/>
        <w:rPr>
          <w:sz w:val="20"/>
          <w:szCs w:val="20"/>
          <w:color w:val="auto"/>
        </w:rPr>
      </w:pPr>
      <w:r>
        <w:rPr>
          <w:rFonts w:ascii="Arial" w:cs="Arial" w:eastAsia="Arial" w:hAnsi="Arial"/>
          <w:sz w:val="17"/>
          <w:szCs w:val="17"/>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Company’s portfolio by security type at December 31, 2016 and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51454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Security Type</w:t>
            </w:r>
          </w:p>
        </w:tc>
        <w:tc>
          <w:tcPr>
            <w:tcW w:w="100" w:type="dxa"/>
            <w:vAlign w:val="bottom"/>
          </w:tcPr>
          <w:p>
            <w:pPr>
              <w:spacing w:after="0"/>
              <w:rPr>
                <w:sz w:val="10"/>
                <w:szCs w:val="10"/>
                <w:color w:val="auto"/>
              </w:rPr>
            </w:pPr>
          </w:p>
        </w:tc>
        <w:tc>
          <w:tcPr>
            <w:tcW w:w="10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Cost/Amortized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0"/>
                <w:szCs w:val="10"/>
                <w:color w:val="auto"/>
              </w:rPr>
            </w:pPr>
          </w:p>
        </w:tc>
        <w:tc>
          <w:tcPr>
            <w:tcW w:w="540" w:type="dxa"/>
            <w:vAlign w:val="bottom"/>
            <w:gridSpan w:val="2"/>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120" w:type="dxa"/>
            <w:vAlign w:val="bottom"/>
          </w:tcPr>
          <w:p>
            <w:pPr>
              <w:spacing w:after="0"/>
              <w:rPr>
                <w:sz w:val="10"/>
                <w:szCs w:val="10"/>
                <w:color w:val="auto"/>
              </w:rPr>
            </w:pPr>
          </w:p>
        </w:tc>
        <w:tc>
          <w:tcPr>
            <w:tcW w:w="10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Cost/Amortized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0"/>
                <w:szCs w:val="10"/>
                <w:color w:val="auto"/>
              </w:rPr>
            </w:pPr>
          </w:p>
        </w:tc>
        <w:tc>
          <w:tcPr>
            <w:tcW w:w="540" w:type="dxa"/>
            <w:vAlign w:val="bottom"/>
            <w:gridSpan w:val="2"/>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28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Money Market Accounts</w:t>
            </w:r>
            <w:r>
              <w:rPr>
                <w:rFonts w:ascii="Arial" w:cs="Arial" w:eastAsia="Arial" w:hAnsi="Arial"/>
                <w:sz w:val="28"/>
                <w:szCs w:val="28"/>
                <w:color w:val="auto"/>
                <w:vertAlign w:val="superscript"/>
              </w:rPr>
              <w:t>(2)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28,699,269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28,699,269</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2,129,381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2,129,381</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Senior Secured Loan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207,701,078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200,322,152</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203,819,074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194,123,223</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Junior Secured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37,251,776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35,444,440</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40,221,557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37,591,900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Senior Unsecured Loan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23,000,000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First Lien Bond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3,060,919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1,089,338</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2,216,700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Senior Subordinated Bond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4,466,793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4,615,569</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Senior Unsecured Bond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11,879,187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10,551,724</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Senior Secured Bond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1,506,461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1,487,400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1,503,755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CLO Fund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76,851,317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54,174,350</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83,214,947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55,872,382</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10,389,007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10,467,787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9,548,488</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Preferred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10,411,673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11,036,373</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22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55,341,230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40,198,000</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56,591,230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57,381,000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420,801,057</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366,471,304</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450,712,189</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409,570,495</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6" w:name="page57"/>
    <w:bookmarkEnd w:id="5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industry related information, based on the fair value of the Company’s investment portfolio as of December 31, 2016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2015, for our investment portfolio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625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December 31, 2016</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December 31, 2015</w:t>
            </w:r>
            <w:r>
              <w:rPr>
                <w:rFonts w:ascii="Arial" w:cs="Arial" w:eastAsia="Arial" w:hAnsi="Arial"/>
                <w:sz w:val="23"/>
                <w:szCs w:val="23"/>
                <w:b w:val="1"/>
                <w:bCs w:val="1"/>
                <w:color w:val="auto"/>
                <w:vertAlign w:val="superscript"/>
              </w:rPr>
              <w:t>(2)</w:t>
            </w: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24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Industry Classification</w:t>
            </w:r>
          </w:p>
        </w:tc>
        <w:tc>
          <w:tcPr>
            <w:tcW w:w="11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Cost/Amortized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600" w:type="dxa"/>
            <w:vAlign w:val="bottom"/>
            <w:gridSpan w:val="3"/>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60" w:type="dxa"/>
            <w:vAlign w:val="bottom"/>
          </w:tcPr>
          <w:p>
            <w:pPr>
              <w:spacing w:after="0"/>
              <w:rPr>
                <w:sz w:val="10"/>
                <w:szCs w:val="10"/>
                <w:color w:val="auto"/>
              </w:rPr>
            </w:pPr>
          </w:p>
        </w:tc>
        <w:tc>
          <w:tcPr>
            <w:tcW w:w="110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Cost/Amortized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600" w:type="dxa"/>
            <w:vAlign w:val="bottom"/>
            <w:gridSpan w:val="3"/>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1"/>
        </w:trPr>
        <w:tc>
          <w:tcPr>
            <w:tcW w:w="24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Aerospace and Defense</w:t>
            </w: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8,394,633</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8,450,106</w:t>
            </w:r>
          </w:p>
        </w:tc>
        <w:tc>
          <w:tcPr>
            <w:tcW w:w="6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6,910,349</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6,383,724</w:t>
            </w:r>
          </w:p>
        </w:tc>
        <w:tc>
          <w:tcPr>
            <w:tcW w:w="6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5"/>
        </w:trPr>
        <w:tc>
          <w:tcPr>
            <w:tcW w:w="2460" w:type="dxa"/>
            <w:vAlign w:val="bottom"/>
            <w:gridSpan w:val="4"/>
            <w:shd w:val="clear" w:color="auto" w:fill="CCEEFF"/>
          </w:tcPr>
          <w:p>
            <w:pPr>
              <w:ind w:left="20"/>
              <w:spacing w:after="0" w:line="206" w:lineRule="exact"/>
              <w:rPr>
                <w:sz w:val="20"/>
                <w:szCs w:val="20"/>
                <w:color w:val="auto"/>
              </w:rPr>
            </w:pPr>
            <w:r>
              <w:rPr>
                <w:rFonts w:ascii="Arial" w:cs="Arial" w:eastAsia="Arial" w:hAnsi="Arial"/>
                <w:sz w:val="18"/>
                <w:szCs w:val="18"/>
                <w:color w:val="auto"/>
              </w:rPr>
              <w:t>Asset Management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440" w:type="dxa"/>
            <w:vAlign w:val="bottom"/>
            <w:gridSpan w:val="3"/>
            <w:shd w:val="clear" w:color="auto" w:fill="CCEEFF"/>
          </w:tcPr>
          <w:p>
            <w:pPr>
              <w:ind w:left="180"/>
              <w:spacing w:after="0" w:line="266" w:lineRule="exact"/>
              <w:rPr>
                <w:sz w:val="20"/>
                <w:szCs w:val="20"/>
                <w:color w:val="auto"/>
              </w:rPr>
            </w:pPr>
            <w:r>
              <w:rPr>
                <w:rFonts w:ascii="Arial" w:cs="Arial" w:eastAsia="Arial" w:hAnsi="Arial"/>
                <w:sz w:val="18"/>
                <w:szCs w:val="18"/>
                <w:color w:val="auto"/>
              </w:rPr>
              <w:t>Company</w:t>
            </w:r>
            <w:r>
              <w:rPr>
                <w:rFonts w:ascii="Arial" w:cs="Arial" w:eastAsia="Arial" w:hAnsi="Arial"/>
                <w:sz w:val="30"/>
                <w:szCs w:val="30"/>
                <w:color w:val="auto"/>
                <w:vertAlign w:val="superscript"/>
              </w:rPr>
              <w:t>(2)</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55,341,230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40,198,000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56,591,230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57,381,000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Related Party Loan</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23,000,000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23,000,000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6,322,551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6,196,154</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9,898,494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9,440,866</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46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8"/>
              </w:rPr>
              <w:t>Banking, Finance, Insurance &amp;</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6,805,514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6,782,010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6,270,984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6,008,587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Beverage, Food and Tobacco</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15,198,830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14,703,372</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17,334,746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16,882,750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Capital Equipment</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6,185,129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5,575,048</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9,519,342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7,846,767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46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Chemicals, Plastics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Rubber</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6,421,909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6,444,073</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3,494,086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3,359,916</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76,851,317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54,174,350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83,214,947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55,872,382</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Construction &amp; Building</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5,919,158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5,929,606</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1,976,345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1,907,614</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Consumer goods: Durable</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12,319,905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10,118,736</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13,983,607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12,753,455</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46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Consumer goods: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Non-durable</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14,766,390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14,452,096</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20,124,355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19,646,576</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Ecological</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1,741,292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1,760,783</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Energy: Oil &amp; Gas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14,493,835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8,805,761</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14,281,821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10,204,318</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Energy: Electricity</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3,904,453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3,937,247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3,465,576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3,465,000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Environmental Industries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12,279,924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12,185,239</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13,735,492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13,179,657</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Forest Products &amp; Paper</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4,192,889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4,192,907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5,888,294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5,883,080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Healthcare &amp; Pharmaceuticals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58,769,668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53,594,534</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58,649,512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55,417,827</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High Tech Industries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9,854,093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9,936,109</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11,727,898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11,662,995</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Hotel, Gaming &amp; Leisure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6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Media: Advertising, Printing &amp;</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color w:val="auto"/>
              </w:rPr>
              <w:t>Publishing</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11,712,682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11,453,447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11,167,950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10,340,449</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46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Media: Broadcasting &amp;</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8,273,174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8,372,984</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7,428,110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7,406,792</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Metals &amp; Mining</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228,563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1,415,457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759,581</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4,416,709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3,594,599</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Services: Business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16,125,481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16,230,486</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18,206,668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21,022,801</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Services: Consumer</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6,212,108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6,204,889</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6,512,029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6,356,054</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Telecommunications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12,809,799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12,767,823</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13,776,871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12,425,489</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2460" w:type="dxa"/>
            <w:vAlign w:val="bottom"/>
            <w:gridSpan w:val="4"/>
            <w:shd w:val="clear" w:color="auto" w:fill="CCEEFF"/>
          </w:tcPr>
          <w:p>
            <w:pPr>
              <w:ind w:left="20"/>
              <w:spacing w:after="0" w:line="206" w:lineRule="exact"/>
              <w:rPr>
                <w:sz w:val="20"/>
                <w:szCs w:val="20"/>
                <w:color w:val="auto"/>
              </w:rPr>
            </w:pPr>
            <w:r>
              <w:rPr>
                <w:rFonts w:ascii="Arial" w:cs="Arial" w:eastAsia="Arial" w:hAnsi="Arial"/>
                <w:sz w:val="18"/>
                <w:szCs w:val="18"/>
                <w:color w:val="auto"/>
                <w:w w:val="93"/>
              </w:rPr>
              <w:t>Time Deposit and Money Market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440" w:type="dxa"/>
            <w:vAlign w:val="bottom"/>
            <w:gridSpan w:val="3"/>
            <w:shd w:val="clear" w:color="auto" w:fill="CCEEFF"/>
          </w:tcPr>
          <w:p>
            <w:pPr>
              <w:ind w:left="180"/>
              <w:spacing w:after="0" w:line="266" w:lineRule="exact"/>
              <w:rPr>
                <w:sz w:val="20"/>
                <w:szCs w:val="20"/>
                <w:color w:val="auto"/>
              </w:rPr>
            </w:pPr>
            <w:r>
              <w:rPr>
                <w:rFonts w:ascii="Arial" w:cs="Arial" w:eastAsia="Arial" w:hAnsi="Arial"/>
                <w:sz w:val="18"/>
                <w:szCs w:val="18"/>
                <w:color w:val="auto"/>
              </w:rPr>
              <w:t>Accounts</w:t>
            </w:r>
            <w:r>
              <w:rPr>
                <w:rFonts w:ascii="Arial" w:cs="Arial" w:eastAsia="Arial" w:hAnsi="Arial"/>
                <w:sz w:val="30"/>
                <w:szCs w:val="30"/>
                <w:color w:val="auto"/>
                <w:vertAlign w:val="superscript"/>
              </w:rPr>
              <w:t>(3)</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28,699,269</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28,699,269</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2,129,381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2,129,381</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Transportation: Cargo</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7,557,315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7,190,135</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18,232,953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18,865,603</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Transportation: Consumer</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2,412,614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2,324,516</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2,472,795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2,324,381</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Utilities: Electric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5,420,438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5,031,043</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5,673,082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4,806,441</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420,801,057</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366,471,304</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450,712,189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409,570,495</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15608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6083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15608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60830" cy="889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-213995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-187960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2947670</wp:posOffset>
            </wp:positionH>
            <wp:positionV relativeFrom="paragraph">
              <wp:posOffset>-213995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2947670</wp:posOffset>
            </wp:positionH>
            <wp:positionV relativeFrom="paragraph">
              <wp:posOffset>-187960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-213995</wp:posOffset>
            </wp:positionV>
            <wp:extent cx="1714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-187960</wp:posOffset>
            </wp:positionV>
            <wp:extent cx="1714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-213995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-187960</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-213995</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-187960</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-213995</wp:posOffset>
            </wp:positionV>
            <wp:extent cx="1289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-187960</wp:posOffset>
            </wp:positionV>
            <wp:extent cx="1289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Calculated as a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Debt Securities Portfolio</w:t>
      </w:r>
    </w:p>
    <w:p>
      <w:pPr>
        <w:spacing w:after="0" w:line="12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At December 31, 2016 and December 31, 2015, our investments in income producing loans and debt securities, excluding CLO Fund Securities, had a weighted average interest rate of approximately 7.0% and 7.4%, respectively.</w:t>
      </w:r>
    </w:p>
    <w:p>
      <w:pPr>
        <w:spacing w:after="0" w:line="62"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The investment portfolio (excluding the Company’s investment in Asset Manager Affiliates and CLO Funds) at December 31, 2016 was spread across 27 different industries and 82 different entities with an average balance per entity of approximately $3.1 million. As of December 31, 2016, all of our portfolio companies were current on their debt service obligations.</w:t>
      </w:r>
    </w:p>
    <w:p>
      <w:pPr>
        <w:spacing w:after="0" w:line="39"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We may invest up to 30% of our investment portfolio in “Non-qualifying” opportunistic investments such as high-yield bonds, debt and equity securities of CLO Funds, foreign investments, and distressed debt or equity securities of large cap public companies. At December 31, 2016 and December 31, 2015, the total amount of non-qualifying assets was approximately 17% and 18%, respectively. The majority of non-qualifying assets were foreign investments which were approximately 14.4% and 13.5% of the Company’s total assets, respectively (including the Company’s investments in CLO Funds, which are typically domiciled outside the U.S. and represented approximately 14% and 13% of its total assets on such dates, respectively). The investments in our Debt Securities Portfolio are all or predominantly below investment grade, and therefore have speculative characteristics with respect to the issuer’s capacity to pay interest and repay principal.</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Manager Affiliates</w:t>
      </w:r>
    </w:p>
    <w:p>
      <w:pPr>
        <w:spacing w:after="0" w:line="121"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December 31, 2016, our Asset Manager Affiliates had approximately $3.0 billion of par value of assets under management on which they earn management fees, and were valued at approximately $40.2 million.</w:t>
      </w:r>
    </w:p>
    <w:p>
      <w:pPr>
        <w:spacing w:after="0" w:line="80"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during 2016, our Asset Manager Affiliates received incentive fees from two funds.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CLO Fund Securities</w:t>
      </w:r>
    </w:p>
    <w:p>
      <w:pPr>
        <w:spacing w:after="0" w:line="121"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December 31, 2016, we had approximately $54 million invested in CLO Fund Securities, issued primarily by funds managed by our Asset Manager Affiliates.</w:t>
      </w:r>
    </w:p>
    <w:p>
      <w:pPr>
        <w:spacing w:after="0" w:line="79"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color w:val="auto"/>
        </w:rPr>
        <w:t>The CLO Funds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CLO Fund Securities as of December 31, 2016 and December 31,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2139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
              <w:spacing w:after="0" w:line="119" w:lineRule="exact"/>
              <w:rPr>
                <w:sz w:val="20"/>
                <w:szCs w:val="20"/>
                <w:color w:val="auto"/>
              </w:rPr>
            </w:pPr>
            <w:r>
              <w:rPr>
                <w:rFonts w:ascii="Arial" w:cs="Arial" w:eastAsia="Arial" w:hAnsi="Arial"/>
                <w:sz w:val="13"/>
                <w:szCs w:val="13"/>
                <w:b w:val="1"/>
                <w:bCs w:val="1"/>
                <w:color w:val="auto"/>
                <w:w w:val="98"/>
              </w:rPr>
              <w:t>Cost/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
              <w:spacing w:after="0" w:line="119" w:lineRule="exact"/>
              <w:rPr>
                <w:sz w:val="20"/>
                <w:szCs w:val="20"/>
                <w:color w:val="auto"/>
              </w:rPr>
            </w:pPr>
            <w:r>
              <w:rPr>
                <w:rFonts w:ascii="Arial" w:cs="Arial" w:eastAsia="Arial" w:hAnsi="Arial"/>
                <w:sz w:val="13"/>
                <w:szCs w:val="13"/>
                <w:b w:val="1"/>
                <w:bCs w:val="1"/>
                <w:color w:val="auto"/>
                <w:w w:val="98"/>
              </w:rPr>
              <w:t>Cost/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CLO Fund Securities</w:t>
            </w:r>
          </w:p>
        </w:tc>
        <w:tc>
          <w:tcPr>
            <w:tcW w:w="60" w:type="dxa"/>
            <w:vAlign w:val="bottom"/>
          </w:tcPr>
          <w:p>
            <w:pPr>
              <w:spacing w:after="0"/>
              <w:rPr>
                <w:sz w:val="12"/>
                <w:szCs w:val="12"/>
                <w:color w:val="auto"/>
              </w:rPr>
            </w:pPr>
          </w:p>
        </w:tc>
        <w:tc>
          <w:tcPr>
            <w:tcW w:w="15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Investment</w:t>
            </w:r>
          </w:p>
        </w:tc>
        <w:tc>
          <w:tcPr>
            <w:tcW w:w="60" w:type="dxa"/>
            <w:vAlign w:val="bottom"/>
            <w:vMerge w:val="restart"/>
          </w:tcPr>
          <w:p>
            <w:pPr>
              <w:spacing w:after="0"/>
              <w:rPr>
                <w:sz w:val="12"/>
                <w:szCs w:val="12"/>
                <w:color w:val="auto"/>
              </w:rPr>
            </w:pPr>
          </w:p>
        </w:tc>
        <w:tc>
          <w:tcPr>
            <w:tcW w:w="520" w:type="dxa"/>
            <w:vAlign w:val="bottom"/>
            <w:vMerge w:val="restart"/>
          </w:tcPr>
          <w:p>
            <w:pPr>
              <w:jc w:val="right"/>
              <w:ind w:right="60"/>
              <w:spacing w:after="0" w:line="32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80" w:type="dxa"/>
            <w:vAlign w:val="bottom"/>
            <w:gridSpan w:val="3"/>
          </w:tcPr>
          <w:p>
            <w:pPr>
              <w:ind w:left="20"/>
              <w:spacing w:after="0" w:line="187" w:lineRule="exact"/>
              <w:rPr>
                <w:sz w:val="20"/>
                <w:szCs w:val="20"/>
                <w:color w:val="auto"/>
              </w:rPr>
            </w:pPr>
            <w:r>
              <w:rPr>
                <w:rFonts w:ascii="Arial" w:cs="Arial" w:eastAsia="Arial" w:hAnsi="Arial"/>
                <w:sz w:val="13"/>
                <w:szCs w:val="13"/>
                <w:color w:val="auto"/>
              </w:rPr>
              <w:t>Grant Grove CLO, Ltd.</w:t>
            </w:r>
            <w:r>
              <w:rPr>
                <w:rFonts w:ascii="Arial" w:cs="Arial" w:eastAsia="Arial" w:hAnsi="Arial"/>
                <w:sz w:val="21"/>
                <w:szCs w:val="21"/>
                <w:color w:val="auto"/>
                <w:vertAlign w:val="superscript"/>
              </w:rPr>
              <w:t>(3)</w:t>
            </w:r>
          </w:p>
        </w:tc>
        <w:tc>
          <w:tcPr>
            <w:tcW w:w="60" w:type="dxa"/>
            <w:vAlign w:val="bottom"/>
          </w:tcPr>
          <w:p>
            <w:pPr>
              <w:spacing w:after="0"/>
              <w:rPr>
                <w:sz w:val="16"/>
                <w:szCs w:val="16"/>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w:t>
            </w:r>
          </w:p>
        </w:tc>
        <w:tc>
          <w:tcPr>
            <w:tcW w:w="740" w:type="dxa"/>
            <w:vAlign w:val="bottom"/>
            <w:gridSpan w:val="4"/>
            <w:vMerge w:val="restart"/>
          </w:tcPr>
          <w:p>
            <w:pPr>
              <w:jc w:val="right"/>
              <w:spacing w:after="0"/>
              <w:rPr>
                <w:sz w:val="20"/>
                <w:szCs w:val="20"/>
                <w:color w:val="auto"/>
              </w:rPr>
            </w:pPr>
            <w:r>
              <w:rPr>
                <w:rFonts w:ascii="Arial" w:cs="Arial" w:eastAsia="Arial" w:hAnsi="Arial"/>
                <w:sz w:val="16"/>
                <w:szCs w:val="16"/>
                <w:color w:val="auto"/>
              </w:rPr>
              <w:t>22.2%  $</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8"/>
              </w:rPr>
              <w:t>2,485,886</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8"/>
              </w:rPr>
              <w:t>2,484,943</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280,164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Securities</w:t>
            </w:r>
          </w:p>
        </w:tc>
        <w:tc>
          <w:tcPr>
            <w:tcW w:w="740" w:type="dxa"/>
            <w:vAlign w:val="bottom"/>
            <w:gridSpan w:val="4"/>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280" w:type="dxa"/>
            <w:vAlign w:val="bottom"/>
            <w:gridSpan w:val="3"/>
            <w:shd w:val="clear" w:color="auto" w:fill="CCEEFF"/>
          </w:tcPr>
          <w:p>
            <w:pPr>
              <w:ind w:left="20"/>
              <w:spacing w:after="0" w:line="246" w:lineRule="exact"/>
              <w:rPr>
                <w:sz w:val="20"/>
                <w:szCs w:val="20"/>
                <w:color w:val="auto"/>
              </w:rPr>
            </w:pPr>
            <w:r>
              <w:rPr>
                <w:rFonts w:ascii="Arial" w:cs="Arial" w:eastAsia="Arial" w:hAnsi="Arial"/>
                <w:sz w:val="16"/>
                <w:szCs w:val="16"/>
                <w:color w:val="auto"/>
              </w:rPr>
              <w:t>Katonah III, Ltd.</w:t>
            </w:r>
            <w:r>
              <w:rPr>
                <w:rFonts w:ascii="Arial" w:cs="Arial" w:eastAsia="Arial" w:hAnsi="Arial"/>
                <w:sz w:val="27"/>
                <w:szCs w:val="27"/>
                <w:color w:val="auto"/>
                <w:vertAlign w:val="superscript"/>
              </w:rPr>
              <w:t>(3)</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Preferred Shares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23.1</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1,287,155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369,000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1,373,132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Katonah IX CLO Ltd.</w:t>
            </w:r>
            <w:r>
              <w:rPr>
                <w:rFonts w:ascii="Arial" w:cs="Arial" w:eastAsia="Arial" w:hAnsi="Arial"/>
                <w:sz w:val="27"/>
                <w:szCs w:val="27"/>
                <w:color w:val="auto"/>
                <w:vertAlign w:val="superscript"/>
              </w:rPr>
              <w:t>(2)</w:t>
            </w:r>
          </w:p>
        </w:tc>
        <w:tc>
          <w:tcPr>
            <w:tcW w:w="6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Preferred Shares</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1,140,057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105,000</w:t>
            </w:r>
          </w:p>
        </w:tc>
        <w:tc>
          <w:tcPr>
            <w:tcW w:w="0" w:type="dxa"/>
            <w:vAlign w:val="bottom"/>
          </w:tcPr>
          <w:p>
            <w:pPr>
              <w:spacing w:after="0"/>
              <w:rPr>
                <w:sz w:val="1"/>
                <w:szCs w:val="1"/>
                <w:color w:val="auto"/>
              </w:rPr>
            </w:pPr>
          </w:p>
        </w:tc>
      </w:tr>
      <w:tr>
        <w:trPr>
          <w:trHeight w:val="193"/>
        </w:trPr>
        <w:tc>
          <w:tcPr>
            <w:tcW w:w="2280" w:type="dxa"/>
            <w:vAlign w:val="bottom"/>
            <w:gridSpan w:val="3"/>
            <w:shd w:val="clear" w:color="auto" w:fill="CCEEFF"/>
          </w:tcPr>
          <w:p>
            <w:pPr>
              <w:ind w:left="20"/>
              <w:spacing w:after="0" w:line="192" w:lineRule="exact"/>
              <w:rPr>
                <w:sz w:val="20"/>
                <w:szCs w:val="20"/>
                <w:color w:val="auto"/>
              </w:rPr>
            </w:pPr>
            <w:r>
              <w:rPr>
                <w:rFonts w:ascii="Arial" w:cs="Arial" w:eastAsia="Arial" w:hAnsi="Arial"/>
                <w:sz w:val="14"/>
                <w:szCs w:val="14"/>
                <w:color w:val="auto"/>
              </w:rPr>
              <w:t>Katonah X CLO Ltd.</w:t>
            </w:r>
            <w:r>
              <w:rPr>
                <w:rFonts w:ascii="Arial" w:cs="Arial" w:eastAsia="Arial" w:hAnsi="Arial"/>
                <w:sz w:val="22"/>
                <w:szCs w:val="22"/>
                <w:color w:val="auto"/>
                <w:vertAlign w:val="superscript"/>
              </w:rPr>
              <w:t>(2)</w:t>
            </w:r>
          </w:p>
        </w:tc>
        <w:tc>
          <w:tcPr>
            <w:tcW w:w="60" w:type="dxa"/>
            <w:vAlign w:val="bottom"/>
            <w:shd w:val="clear" w:color="auto" w:fill="CCEEFF"/>
          </w:tcPr>
          <w:p>
            <w:pPr>
              <w:spacing w:after="0"/>
              <w:rPr>
                <w:sz w:val="16"/>
                <w:szCs w:val="16"/>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33.3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7,637,499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Securities</w:t>
            </w:r>
          </w:p>
        </w:tc>
        <w:tc>
          <w:tcPr>
            <w:tcW w:w="5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Katonah 2007-I CLO Ltd.</w:t>
            </w:r>
            <w:r>
              <w:rPr>
                <w:rFonts w:ascii="Arial" w:cs="Arial" w:eastAsia="Arial" w:hAnsi="Arial"/>
                <w:sz w:val="27"/>
                <w:szCs w:val="27"/>
                <w:color w:val="auto"/>
                <w:vertAlign w:val="superscript"/>
              </w:rPr>
              <w:t>(2)</w:t>
            </w:r>
          </w:p>
        </w:tc>
        <w:tc>
          <w:tcPr>
            <w:tcW w:w="6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Preferred Shares</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87"/>
              </w:rPr>
              <w:t>28,022,646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87"/>
              </w:rPr>
              <w:t>20,453,099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87"/>
              </w:rPr>
              <w:t>24,312,424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9"/>
              </w:rPr>
              <w:t>20,295,677</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Trimaran CLO VII, Ltd.</w:t>
            </w:r>
            <w:r>
              <w:rPr>
                <w:rFonts w:ascii="Arial" w:cs="Arial" w:eastAsia="Arial" w:hAnsi="Arial"/>
                <w:sz w:val="27"/>
                <w:szCs w:val="27"/>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Notes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1,643,920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1,195,152</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1,375,013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1,647,272</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Catamaran CLO 2012-1 Ltd.</w:t>
            </w:r>
            <w:r>
              <w:rPr>
                <w:rFonts w:ascii="Arial" w:cs="Arial" w:eastAsia="Arial" w:hAnsi="Arial"/>
                <w:sz w:val="27"/>
                <w:szCs w:val="27"/>
                <w:color w:val="auto"/>
                <w:vertAlign w:val="superscript"/>
              </w:rPr>
              <w:t>(2)</w:t>
            </w:r>
          </w:p>
        </w:tc>
        <w:tc>
          <w:tcPr>
            <w:tcW w:w="6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5,919,933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2,819,412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6,791,980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3,312,940</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Catamaran CLO 2013-1 Ltd.</w:t>
            </w:r>
            <w:r>
              <w:rPr>
                <w:rFonts w:ascii="Arial" w:cs="Arial" w:eastAsia="Arial" w:hAnsi="Arial"/>
                <w:sz w:val="27"/>
                <w:szCs w:val="27"/>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5,237,222</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4,918,807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6,256,090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5,639,106</w:t>
            </w:r>
          </w:p>
        </w:tc>
        <w:tc>
          <w:tcPr>
            <w:tcW w:w="0" w:type="dxa"/>
            <w:vAlign w:val="bottom"/>
          </w:tcPr>
          <w:p>
            <w:pPr>
              <w:spacing w:after="0"/>
              <w:rPr>
                <w:sz w:val="1"/>
                <w:szCs w:val="1"/>
                <w:color w:val="auto"/>
              </w:rPr>
            </w:pPr>
          </w:p>
        </w:tc>
      </w:tr>
      <w:tr>
        <w:trPr>
          <w:trHeight w:val="203"/>
        </w:trPr>
        <w:tc>
          <w:tcPr>
            <w:tcW w:w="2280" w:type="dxa"/>
            <w:vAlign w:val="bottom"/>
            <w:gridSpan w:val="3"/>
          </w:tcPr>
          <w:p>
            <w:pPr>
              <w:ind w:left="20"/>
              <w:spacing w:after="0"/>
              <w:rPr>
                <w:sz w:val="20"/>
                <w:szCs w:val="20"/>
                <w:color w:val="auto"/>
              </w:rPr>
            </w:pPr>
            <w:r>
              <w:rPr>
                <w:rFonts w:ascii="Arial" w:cs="Arial" w:eastAsia="Arial" w:hAnsi="Arial"/>
                <w:sz w:val="16"/>
                <w:szCs w:val="16"/>
                <w:color w:val="auto"/>
              </w:rPr>
              <w:t>Dryden 30 Senior Loan Fund</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1,343,467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1,895,566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1,592,303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1,634,647</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Catamaran CLO 2014-1 Ltd.</w:t>
            </w:r>
            <w:r>
              <w:rPr>
                <w:rFonts w:ascii="Arial" w:cs="Arial" w:eastAsia="Arial" w:hAnsi="Arial"/>
                <w:sz w:val="27"/>
                <w:szCs w:val="27"/>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7,818,484</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4,546,682</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8,928,790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5,846,325</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Catamaran CLO 2014-1 Ltd.</w:t>
            </w:r>
            <w:r>
              <w:rPr>
                <w:rFonts w:ascii="Arial" w:cs="Arial" w:eastAsia="Arial" w:hAnsi="Arial"/>
                <w:sz w:val="27"/>
                <w:szCs w:val="27"/>
                <w:color w:val="auto"/>
                <w:vertAlign w:val="superscript"/>
              </w:rPr>
              <w:t>(2)</w:t>
            </w:r>
          </w:p>
        </w:tc>
        <w:tc>
          <w:tcPr>
            <w:tcW w:w="6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Class E Notes</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1,441,727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1,310,000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1,428,797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1,170,000</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Catamaran CLO 2014-2 Ltd.</w:t>
            </w:r>
            <w:r>
              <w:rPr>
                <w:rFonts w:ascii="Arial" w:cs="Arial" w:eastAsia="Arial" w:hAnsi="Arial"/>
                <w:sz w:val="27"/>
                <w:szCs w:val="27"/>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6,967,560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5,092,087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8,024,168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5,751,600</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Catamaran CLO 2015-1 Ltd.</w:t>
            </w:r>
            <w:r>
              <w:rPr>
                <w:rFonts w:ascii="Arial" w:cs="Arial" w:eastAsia="Arial" w:hAnsi="Arial"/>
                <w:sz w:val="27"/>
                <w:szCs w:val="27"/>
                <w:color w:val="auto"/>
                <w:vertAlign w:val="superscript"/>
              </w:rPr>
              <w:t>(2)</w:t>
            </w:r>
          </w:p>
        </w:tc>
        <w:tc>
          <w:tcPr>
            <w:tcW w:w="6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4,543,317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3,223,255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87"/>
              </w:rPr>
              <w:t>11,869,751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8,789,651</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Catamaran CLO 2016-1 Ltd.</w:t>
            </w:r>
            <w:r>
              <w:rPr>
                <w:rFonts w:ascii="Arial" w:cs="Arial" w:eastAsia="Arial" w:hAnsi="Arial"/>
                <w:sz w:val="27"/>
                <w:szCs w:val="27"/>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10,140,000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8,350,290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6"/>
                <w:szCs w:val="16"/>
                <w:u w:val="single" w:color="auto"/>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87"/>
              </w:rPr>
              <w:t>76,851,317</w:t>
            </w: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87"/>
              </w:rPr>
              <w:t>54,174,350</w:t>
            </w: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87"/>
              </w:rPr>
              <w:t>83,214,947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89"/>
              </w:rPr>
              <w:t>55,872,382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-351155</wp:posOffset>
            </wp:positionV>
            <wp:extent cx="521398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420" w:hanging="272"/>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percentage of class held.</w:t>
      </w:r>
    </w:p>
    <w:p>
      <w:pPr>
        <w:spacing w:after="0" w:line="117" w:lineRule="exact"/>
        <w:rPr>
          <w:rFonts w:ascii="Arial" w:cs="Arial" w:eastAsia="Arial" w:hAnsi="Arial"/>
          <w:sz w:val="18"/>
          <w:szCs w:val="18"/>
          <w:color w:val="auto"/>
        </w:rPr>
      </w:pPr>
    </w:p>
    <w:p>
      <w:pPr>
        <w:ind w:left="420" w:hanging="272"/>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CLO Fund managed by an Asset Manager Affiliate.</w:t>
      </w:r>
    </w:p>
    <w:p>
      <w:pPr>
        <w:spacing w:after="0" w:line="117" w:lineRule="exact"/>
        <w:rPr>
          <w:rFonts w:ascii="Arial" w:cs="Arial" w:eastAsia="Arial" w:hAnsi="Arial"/>
          <w:sz w:val="18"/>
          <w:szCs w:val="18"/>
          <w:color w:val="auto"/>
        </w:rPr>
      </w:pPr>
    </w:p>
    <w:p>
      <w:pPr>
        <w:ind w:left="420" w:hanging="272"/>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December 31, 2016, this CLO Fund Security was not providing a distribution.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detail the ten largest portfolio companies (at fair value)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421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0"/>
                <w:szCs w:val="10"/>
                <w:color w:val="auto"/>
              </w:rPr>
            </w:pPr>
          </w:p>
        </w:tc>
        <w:tc>
          <w:tcPr>
            <w:tcW w:w="110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Cost/Amortized</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 of FMV</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9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Asset Manager Affiliates</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55,341,230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40,198,000</w:t>
            </w: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Bank Money Market Account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28,685,001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28,685,001</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Katonah 2007-I CLO Ltd.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28,022,646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20,453,099</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Grupo HIMA San Pablo, Inc.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9,828,619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9,113,125</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Catamaran CLO 2016-1 Ltd.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10,140,000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8,350,290</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Tank Partners Holdings, LLC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11,822,180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6,552,311</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Roscoe Medical, Inc.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6,666,733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6,499,000</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Weiman Products, LLC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5,462,647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5,321,809</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Nielsen &amp; Bainbridge, LLC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5,326,136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5,199,447</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Catamaran CLO 2014-2 Ltd.</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6,967,560</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5,092,087</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168,262,752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135,464,169</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351"/>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-805180</wp:posOffset>
            </wp:positionV>
            <wp:extent cx="4751070"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4120" w:type="dxa"/>
            <w:vAlign w:val="bottom"/>
            <w:gridSpan w:val="4"/>
          </w:tcPr>
          <w:p>
            <w:pPr>
              <w:ind w:left="20"/>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Investment</w:t>
            </w:r>
          </w:p>
        </w:tc>
        <w:tc>
          <w:tcPr>
            <w:tcW w:w="110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Cost/Amortized</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 of FMV</w:t>
            </w:r>
          </w:p>
        </w:tc>
        <w:tc>
          <w:tcPr>
            <w:tcW w:w="0" w:type="dxa"/>
            <w:vAlign w:val="bottom"/>
          </w:tcPr>
          <w:p>
            <w:pPr>
              <w:spacing w:after="0"/>
              <w:rPr>
                <w:sz w:val="1"/>
                <w:szCs w:val="1"/>
                <w:color w:val="auto"/>
              </w:rPr>
            </w:pPr>
          </w:p>
        </w:tc>
      </w:tr>
      <w:tr>
        <w:trPr>
          <w:trHeight w:val="171"/>
        </w:trPr>
        <w:tc>
          <w:tcPr>
            <w:tcW w:w="41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Asset Manager Affiliates</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56,591,230</w:t>
            </w: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57,381,000</w:t>
            </w: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Trimaran Advisors, L.L.C.</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23,000,000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23,000,000</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120" w:type="dxa"/>
            <w:vAlign w:val="bottom"/>
            <w:gridSpan w:val="4"/>
          </w:tcPr>
          <w:p>
            <w:pPr>
              <w:ind w:left="20"/>
              <w:spacing w:after="0"/>
              <w:rPr>
                <w:sz w:val="20"/>
                <w:szCs w:val="20"/>
                <w:color w:val="auto"/>
              </w:rPr>
            </w:pPr>
            <w:r>
              <w:rPr>
                <w:rFonts w:ascii="Arial" w:cs="Arial" w:eastAsia="Arial" w:hAnsi="Arial"/>
                <w:sz w:val="18"/>
                <w:szCs w:val="18"/>
                <w:color w:val="auto"/>
              </w:rPr>
              <w:t>Katonah 2007-I CLO Ltd.</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24,312,424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20,295,677</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DBI Holding, LLC</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8,585,578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12,975,447</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20" w:type="dxa"/>
            <w:vAlign w:val="bottom"/>
            <w:gridSpan w:val="4"/>
          </w:tcPr>
          <w:p>
            <w:pPr>
              <w:ind w:left="20"/>
              <w:spacing w:after="0"/>
              <w:rPr>
                <w:sz w:val="20"/>
                <w:szCs w:val="20"/>
                <w:color w:val="auto"/>
              </w:rPr>
            </w:pPr>
            <w:r>
              <w:rPr>
                <w:rFonts w:ascii="Arial" w:cs="Arial" w:eastAsia="Arial" w:hAnsi="Arial"/>
                <w:sz w:val="18"/>
                <w:szCs w:val="18"/>
                <w:color w:val="auto"/>
              </w:rPr>
              <w:t>Crowley Holdings Preferred, LLC</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10,411,673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11,036,373</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Grupo HIMA San Pablo, Inc.</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9,817,315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9,917,500</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20" w:type="dxa"/>
            <w:vAlign w:val="bottom"/>
            <w:gridSpan w:val="4"/>
          </w:tcPr>
          <w:p>
            <w:pPr>
              <w:ind w:left="20"/>
              <w:spacing w:after="0"/>
              <w:rPr>
                <w:sz w:val="20"/>
                <w:szCs w:val="20"/>
                <w:color w:val="auto"/>
              </w:rPr>
            </w:pPr>
            <w:r>
              <w:rPr>
                <w:rFonts w:ascii="Arial" w:cs="Arial" w:eastAsia="Arial" w:hAnsi="Arial"/>
                <w:sz w:val="18"/>
                <w:szCs w:val="18"/>
                <w:color w:val="auto"/>
              </w:rPr>
              <w:t>Catamaran CLO 2015-1 Ltd.</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11,869,751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8,789,651</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Tank Partners Holdings, LLC</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10,624,515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8,177,538</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20" w:type="dxa"/>
            <w:vAlign w:val="bottom"/>
            <w:gridSpan w:val="4"/>
          </w:tcPr>
          <w:p>
            <w:pPr>
              <w:ind w:left="20"/>
              <w:spacing w:after="0"/>
              <w:rPr>
                <w:sz w:val="20"/>
                <w:szCs w:val="20"/>
                <w:color w:val="auto"/>
              </w:rPr>
            </w:pPr>
            <w:r>
              <w:rPr>
                <w:rFonts w:ascii="Arial" w:cs="Arial" w:eastAsia="Arial" w:hAnsi="Arial"/>
                <w:sz w:val="18"/>
                <w:szCs w:val="18"/>
                <w:color w:val="auto"/>
              </w:rPr>
              <w:t>Weiman Products, LLC</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6,582,457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6,619,805</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Nielsen &amp; Bainbrige, LLC</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6,803,605</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6,510,157</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168,598,548</w:t>
            </w:r>
          </w:p>
        </w:tc>
        <w:tc>
          <w:tcPr>
            <w:tcW w:w="2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164,703,148</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-1963420</wp:posOffset>
            </wp:positionV>
            <wp:extent cx="47421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74" w:lineRule="exact"/>
        <w:rPr>
          <w:sz w:val="20"/>
          <w:szCs w:val="20"/>
          <w:color w:val="auto"/>
        </w:rPr>
      </w:pPr>
    </w:p>
    <w:p>
      <w:pPr>
        <w:jc w:val="both"/>
        <w:ind w:left="60" w:right="699" w:firstLine="270"/>
        <w:spacing w:after="0" w:line="264" w:lineRule="auto"/>
        <w:rPr>
          <w:sz w:val="20"/>
          <w:szCs w:val="20"/>
          <w:color w:val="auto"/>
        </w:rPr>
      </w:pPr>
      <w:r>
        <w:rPr>
          <w:rFonts w:ascii="Arial" w:cs="Arial" w:eastAsia="Arial" w:hAnsi="Arial"/>
          <w:sz w:val="18"/>
          <w:szCs w:val="18"/>
          <w:color w:val="auto"/>
        </w:rPr>
        <w:t>Excluding the Asset Manager Affiliates and CLO Fund securities, the Company’s ten largest portfolio companies represented approximately 13% and 19% of the total fair value of the Company’s investments at December 31, 2016 and December 31, 2015, respectively.</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December 31, 2016, 2015, and 2014.</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342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from investments in debt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$ 20,828,916</w:t>
            </w:r>
          </w:p>
        </w:tc>
        <w:tc>
          <w:tcPr>
            <w:tcW w:w="12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$ 24,101,257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21,386,432</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Interest from cash and time deposits</w:t>
            </w:r>
          </w:p>
        </w:tc>
        <w:tc>
          <w:tcPr>
            <w:tcW w:w="920" w:type="dxa"/>
            <w:vAlign w:val="bottom"/>
          </w:tcPr>
          <w:p>
            <w:pPr>
              <w:jc w:val="right"/>
              <w:spacing w:after="0"/>
              <w:rPr>
                <w:sz w:val="20"/>
                <w:szCs w:val="20"/>
                <w:color w:val="auto"/>
              </w:rPr>
            </w:pPr>
            <w:r>
              <w:rPr>
                <w:rFonts w:ascii="Arial" w:cs="Arial" w:eastAsia="Arial" w:hAnsi="Arial"/>
                <w:sz w:val="18"/>
                <w:szCs w:val="18"/>
                <w:color w:val="auto"/>
              </w:rPr>
              <w:t>29,383</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10,239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income on CLO Fund Securities managed by</w:t>
            </w:r>
          </w:p>
        </w:tc>
        <w:tc>
          <w:tcPr>
            <w:tcW w:w="9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affiliates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12,642,625</w:t>
            </w:r>
          </w:p>
        </w:tc>
        <w:tc>
          <w:tcPr>
            <w:tcW w:w="12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14,691,428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12,367,581</w:t>
            </w:r>
          </w:p>
        </w:tc>
        <w:tc>
          <w:tcPr>
            <w:tcW w:w="0" w:type="dxa"/>
            <w:vAlign w:val="bottom"/>
          </w:tcPr>
          <w:p>
            <w:pPr>
              <w:spacing w:after="0"/>
              <w:rPr>
                <w:sz w:val="1"/>
                <w:szCs w:val="1"/>
                <w:color w:val="auto"/>
              </w:rPr>
            </w:pPr>
          </w:p>
        </w:tc>
      </w:tr>
      <w:tr>
        <w:trPr>
          <w:trHeight w:val="202"/>
        </w:trPr>
        <w:tc>
          <w:tcPr>
            <w:tcW w:w="4800" w:type="dxa"/>
            <w:vAlign w:val="bottom"/>
          </w:tcPr>
          <w:p>
            <w:pPr>
              <w:ind w:left="200"/>
              <w:spacing w:after="0" w:line="201" w:lineRule="exact"/>
              <w:rPr>
                <w:sz w:val="20"/>
                <w:szCs w:val="20"/>
                <w:color w:val="auto"/>
              </w:rPr>
            </w:pPr>
            <w:r>
              <w:rPr>
                <w:rFonts w:ascii="Arial" w:cs="Arial" w:eastAsia="Arial" w:hAnsi="Arial"/>
                <w:sz w:val="18"/>
                <w:szCs w:val="18"/>
                <w:color w:val="auto"/>
              </w:rPr>
              <w:t>Investment income on CLO Fund Securities managed by</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non-affiliates</w:t>
            </w:r>
          </w:p>
        </w:tc>
        <w:tc>
          <w:tcPr>
            <w:tcW w:w="920" w:type="dxa"/>
            <w:vAlign w:val="bottom"/>
          </w:tcPr>
          <w:p>
            <w:pPr>
              <w:jc w:val="right"/>
              <w:spacing w:after="0"/>
              <w:rPr>
                <w:sz w:val="20"/>
                <w:szCs w:val="20"/>
                <w:color w:val="auto"/>
              </w:rPr>
            </w:pPr>
            <w:r>
              <w:rPr>
                <w:rFonts w:ascii="Arial" w:cs="Arial" w:eastAsia="Arial" w:hAnsi="Arial"/>
                <w:sz w:val="18"/>
                <w:szCs w:val="18"/>
                <w:color w:val="auto"/>
              </w:rPr>
              <w:t>630,647</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1,008,634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1,045,225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from Asset Manager Affiliates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2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5,348,554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5,467,914</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Capital structuring service fees</w:t>
            </w:r>
          </w:p>
        </w:tc>
        <w:tc>
          <w:tcPr>
            <w:tcW w:w="920" w:type="dxa"/>
            <w:vAlign w:val="bottom"/>
          </w:tcPr>
          <w:p>
            <w:pPr>
              <w:jc w:val="right"/>
              <w:spacing w:after="0"/>
              <w:rPr>
                <w:sz w:val="20"/>
                <w:szCs w:val="20"/>
                <w:color w:val="auto"/>
              </w:rPr>
            </w:pPr>
            <w:r>
              <w:rPr>
                <w:rFonts w:ascii="Arial" w:cs="Arial" w:eastAsia="Arial" w:hAnsi="Arial"/>
                <w:sz w:val="18"/>
                <w:szCs w:val="18"/>
                <w:color w:val="auto"/>
              </w:rPr>
              <w:t>668,527</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366,859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934,871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investment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$ 36,200,098</w:t>
            </w:r>
          </w:p>
        </w:tc>
        <w:tc>
          <w:tcPr>
            <w:tcW w:w="12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$ 45,526,971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41,205,475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62" w:lineRule="exact"/>
        <w:rPr>
          <w:sz w:val="20"/>
          <w:szCs w:val="20"/>
          <w:color w:val="auto"/>
        </w:rPr>
      </w:pPr>
    </w:p>
    <w:p>
      <w:pPr>
        <w:ind w:left="60" w:right="639" w:firstLine="270"/>
        <w:spacing w:after="0" w:line="302" w:lineRule="auto"/>
        <w:rPr>
          <w:sz w:val="20"/>
          <w:szCs w:val="20"/>
          <w:color w:val="auto"/>
        </w:rPr>
      </w:pPr>
      <w:r>
        <w:rPr>
          <w:rFonts w:ascii="Arial" w:cs="Arial" w:eastAsia="Arial" w:hAnsi="Arial"/>
          <w:sz w:val="16"/>
          <w:szCs w:val="16"/>
          <w:i w:val="1"/>
          <w:iCs w:val="1"/>
          <w:color w:val="auto"/>
        </w:rPr>
        <w:t>Interest from Investments in Debt Securities</w:t>
      </w:r>
      <w:r>
        <w:rPr>
          <w:rFonts w:ascii="Arial" w:cs="Arial" w:eastAsia="Arial" w:hAnsi="Arial"/>
          <w:sz w:val="16"/>
          <w:szCs w:val="16"/>
          <w:color w:val="auto"/>
        </w:rPr>
        <w:t>. We generate interest income from our investments in debt securities that consist</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senior and 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200" w:lineRule="exact"/>
        <w:rPr>
          <w:sz w:val="20"/>
          <w:szCs w:val="20"/>
          <w:color w:val="auto"/>
        </w:rPr>
      </w:pPr>
    </w:p>
    <w:p>
      <w:pPr>
        <w:spacing w:after="0" w:line="29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(typically preferred shares or subordinated securities) of CLO Funds managed by our Asset Manager Affiliates and select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61"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 xml:space="preserve">Interest income on investments in CLO equity investments is recorded using the effective interest method in accordance with the provisions of ASC 325-40, </w:t>
      </w:r>
      <w:r>
        <w:rPr>
          <w:rFonts w:ascii="Arial" w:cs="Arial" w:eastAsia="Arial" w:hAnsi="Arial"/>
          <w:sz w:val="16"/>
          <w:szCs w:val="16"/>
          <w:i w:val="1"/>
          <w:iCs w:val="1"/>
          <w:color w:val="auto"/>
        </w:rPr>
        <w:t>Beneficial Interests in Securitized Financial Assets</w:t>
      </w:r>
      <w:r>
        <w:rPr>
          <w:rFonts w:ascii="Arial" w:cs="Arial" w:eastAsia="Arial" w:hAnsi="Arial"/>
          <w:sz w:val="16"/>
          <w:szCs w:val="16"/>
          <w:color w:val="auto"/>
        </w:rPr>
        <w:t xml:space="preserve">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58"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2014-1, interest is earned at a fixed spread relative to the LIBOR index.</w:t>
      </w:r>
    </w:p>
    <w:p>
      <w:pPr>
        <w:spacing w:after="0" w:line="62" w:lineRule="exact"/>
        <w:rPr>
          <w:sz w:val="20"/>
          <w:szCs w:val="20"/>
          <w:color w:val="auto"/>
        </w:rPr>
      </w:pPr>
    </w:p>
    <w:p>
      <w:pPr>
        <w:ind w:left="40" w:right="579" w:firstLine="270"/>
        <w:spacing w:after="0" w:line="268"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cash distributions from our investment in our Asset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which are wholly-owned 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future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years ended December 31, 2016 and 2015, the Asset Manager Affiliates received incentive fees from two and three funds, respectively.</w:t>
      </w:r>
    </w:p>
    <w:p>
      <w:pPr>
        <w:spacing w:after="0" w:line="80"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The Asset Manager Affiliates are expected to pay future distributions to the Company based upon their after-tax free cash flow, which generally will be dependent upon the maintenance and growth in their assets under management and related management fees. As a result of tax-basis goodwill amortization and certain other tax-related adjustments, portions of distributions received may be deemed return of capital. As amortizing funds which are paying incentive fees are redeemed, we expect incentive fees available for distribution to diminish. The fair value of our investment in our Asset Manager Affiliates was approximately</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68" w:lineRule="auto"/>
        <w:rPr>
          <w:sz w:val="20"/>
          <w:szCs w:val="20"/>
          <w:color w:val="auto"/>
        </w:rPr>
      </w:pPr>
      <w:r>
        <w:rPr>
          <w:rFonts w:ascii="Arial" w:cs="Arial" w:eastAsia="Arial" w:hAnsi="Arial"/>
          <w:sz w:val="17"/>
          <w:szCs w:val="17"/>
          <w:color w:val="auto"/>
        </w:rPr>
        <w:t>$40.2 million at December 31, 2016, with an unrealized depreciation for the year ending December 31, 2016 of approximately $15.9 million. For the years ended December 31, 2016, 2015, and 2014, we recognized dividend income of $1.4 million, $5.3 million and $5.5 million, from the Asset Manager Affiliates, respectively, while cash distributions received were approximately $2.7 million, $9.1 million and $11.9 million for those years, respectively. The difference between cash distributions received and the tax-basis earnings and profits is recorded as an adjustment to the cost basis of the Asset Manager Affiliates investments.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$3.0 billion and $2.7 billion as of December 31, 2016 and 2015, respectively.</w:t>
      </w:r>
    </w:p>
    <w:p>
      <w:pPr>
        <w:spacing w:after="0" w:line="73" w:lineRule="exact"/>
        <w:rPr>
          <w:sz w:val="20"/>
          <w:szCs w:val="20"/>
          <w:color w:val="auto"/>
        </w:rPr>
      </w:pPr>
    </w:p>
    <w:p>
      <w:pPr>
        <w:ind w:left="40" w:right="979" w:firstLine="270"/>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or liquidation of debt and investment securities.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Investment income for the years ended December 31, 2016, 2015, and 2014 was approximately $36 million, $46 million, and $41 million, respectively. Of these amounts, approximately $21 million, $24 million and $21 million, respectively, was attributable to interest income on our Debt Securities Portfolio.</w:t>
      </w:r>
    </w:p>
    <w:p>
      <w:pPr>
        <w:spacing w:after="0" w:line="73" w:lineRule="exact"/>
        <w:rPr>
          <w:sz w:val="20"/>
          <w:szCs w:val="20"/>
          <w:color w:val="auto"/>
        </w:rPr>
      </w:pPr>
    </w:p>
    <w:p>
      <w:pPr>
        <w:ind w:left="40" w:right="1339" w:firstLine="270"/>
        <w:spacing w:after="0" w:line="277" w:lineRule="auto"/>
        <w:rPr>
          <w:sz w:val="20"/>
          <w:szCs w:val="20"/>
          <w:color w:val="auto"/>
        </w:rPr>
      </w:pPr>
      <w:r>
        <w:rPr>
          <w:rFonts w:ascii="Arial" w:cs="Arial" w:eastAsia="Arial" w:hAnsi="Arial"/>
          <w:sz w:val="18"/>
          <w:szCs w:val="18"/>
          <w:color w:val="auto"/>
        </w:rPr>
        <w:t>The weighted average yield on our Debt Securities Portfolio was 7.0% and 7.4% as of December 31, 2016 and 2015, respectively.</w:t>
      </w:r>
    </w:p>
    <w:p>
      <w:pPr>
        <w:spacing w:after="0" w:line="62" w:lineRule="exact"/>
        <w:rPr>
          <w:sz w:val="20"/>
          <w:szCs w:val="20"/>
          <w:color w:val="auto"/>
        </w:rPr>
      </w:pPr>
    </w:p>
    <w:p>
      <w:pPr>
        <w:ind w:left="40" w:right="559" w:firstLine="270"/>
        <w:spacing w:after="0" w:line="279" w:lineRule="auto"/>
        <w:rPr>
          <w:sz w:val="20"/>
          <w:szCs w:val="20"/>
          <w:color w:val="auto"/>
        </w:rPr>
      </w:pPr>
      <w:r>
        <w:rPr>
          <w:rFonts w:ascii="Arial" w:cs="Arial" w:eastAsia="Arial" w:hAnsi="Arial"/>
          <w:sz w:val="17"/>
          <w:szCs w:val="17"/>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63"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For the years ended December 31, 2016, 2015, and 2014, approximately $13.3 million, $15.7 million and $13.4 million, respectively, of investment income was attributable to investments in CLO Fund Securities. On a tax basis, the Company recognized $10.1 million, $14.7 million and $19.4 million of taxable distributable income on distributions from our CLO Fund Securities during the years ended December 31, 2016, 2015, and 2014,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17"/>
                <w:szCs w:val="17"/>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amortization of debt issuance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9,110,603</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$ 11,727,880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11,538,179</w:t>
            </w: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4,103,558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3,843,799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4,951,745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2,391,038</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3,520,461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2,614,479</w:t>
            </w: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412,764</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433,561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471,276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and other</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1,692,140</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1,818,480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1,509,228</w:t>
            </w:r>
          </w:p>
        </w:tc>
        <w:tc>
          <w:tcPr>
            <w:tcW w:w="0" w:type="dxa"/>
            <w:vAlign w:val="bottom"/>
          </w:tcPr>
          <w:p>
            <w:pPr>
              <w:spacing w:after="0"/>
              <w:rPr>
                <w:sz w:val="1"/>
                <w:szCs w:val="1"/>
                <w:color w:val="auto"/>
              </w:rPr>
            </w:pPr>
          </w:p>
        </w:tc>
      </w:tr>
      <w:tr>
        <w:trPr>
          <w:trHeight w:val="20"/>
        </w:trPr>
        <w:tc>
          <w:tcPr>
            <w:tcW w:w="4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17,710,103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$ 21,344,181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21,084,907</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79" w:lineRule="exact"/>
        <w:rPr>
          <w:sz w:val="20"/>
          <w:szCs w:val="20"/>
          <w:color w:val="auto"/>
        </w:rPr>
      </w:pPr>
    </w:p>
    <w:p>
      <w:pPr>
        <w:ind w:left="60" w:right="719" w:firstLine="270"/>
        <w:spacing w:after="0" w:line="312" w:lineRule="auto"/>
        <w:rPr>
          <w:sz w:val="20"/>
          <w:szCs w:val="20"/>
          <w:color w:val="auto"/>
        </w:rPr>
      </w:pPr>
      <w:r>
        <w:rPr>
          <w:rFonts w:ascii="Arial" w:cs="Arial" w:eastAsia="Arial" w:hAnsi="Arial"/>
          <w:sz w:val="16"/>
          <w:szCs w:val="16"/>
          <w:i w:val="1"/>
          <w:iCs w:val="1"/>
          <w:color w:val="auto"/>
        </w:rPr>
        <w:t>Interest and Amortization of Debt Issuance Costs</w:t>
      </w:r>
      <w:r>
        <w:rPr>
          <w:rFonts w:ascii="Arial" w:cs="Arial" w:eastAsia="Arial" w:hAnsi="Arial"/>
          <w:sz w:val="16"/>
          <w:szCs w:val="16"/>
          <w:color w:val="auto"/>
        </w:rPr>
        <w:t>. Interest expense is dependent on the average outstanding balance on our</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and the base index rate for the period. Debt issuance costs represent fees and other direct costs incurred in connection with the Company’s borrowings. These amounts are capitalized and amortized ratably over the expected term of the borrowing.</w:t>
      </w:r>
    </w:p>
    <w:p>
      <w:pPr>
        <w:spacing w:after="0" w:line="39" w:lineRule="exact"/>
        <w:rPr>
          <w:sz w:val="20"/>
          <w:szCs w:val="20"/>
          <w:color w:val="auto"/>
        </w:rPr>
      </w:pPr>
    </w:p>
    <w:p>
      <w:pPr>
        <w:ind w:left="60" w:right="679" w:firstLine="270"/>
        <w:spacing w:after="0" w:line="273" w:lineRule="auto"/>
        <w:rPr>
          <w:sz w:val="20"/>
          <w:szCs w:val="20"/>
          <w:color w:val="auto"/>
        </w:rPr>
      </w:pPr>
      <w:r>
        <w:rPr>
          <w:rFonts w:ascii="Arial" w:cs="Arial" w:eastAsia="Arial" w:hAnsi="Arial"/>
          <w:sz w:val="17"/>
          <w:szCs w:val="17"/>
          <w:i w:val="1"/>
          <w:iCs w:val="1"/>
          <w:color w:val="auto"/>
        </w:rPr>
        <w:t xml:space="preserve">Compensation Expense. </w:t>
      </w:r>
      <w:r>
        <w:rPr>
          <w:rFonts w:ascii="Arial" w:cs="Arial" w:eastAsia="Arial" w:hAnsi="Arial"/>
          <w:sz w:val="17"/>
          <w:szCs w:val="17"/>
          <w:color w:val="auto"/>
        </w:rPr>
        <w:t>Compensation expense includes base salaries, bonuses, stock compensation, employee benefits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employer-related payroll 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70" w:lineRule="exact"/>
        <w:rPr>
          <w:sz w:val="20"/>
          <w:szCs w:val="20"/>
          <w:color w:val="auto"/>
        </w:rPr>
      </w:pPr>
    </w:p>
    <w:p>
      <w:pPr>
        <w:ind w:left="60" w:right="559" w:firstLine="270"/>
        <w:spacing w:after="0" w:line="342" w:lineRule="auto"/>
        <w:rPr>
          <w:sz w:val="20"/>
          <w:szCs w:val="20"/>
          <w:color w:val="auto"/>
        </w:rPr>
      </w:pPr>
      <w:r>
        <w:rPr>
          <w:rFonts w:ascii="Arial" w:cs="Arial" w:eastAsia="Arial" w:hAnsi="Arial"/>
          <w:sz w:val="16"/>
          <w:szCs w:val="16"/>
          <w:i w:val="1"/>
          <w:iCs w:val="1"/>
          <w:color w:val="auto"/>
        </w:rPr>
        <w:t xml:space="preserve">Professional Fees and General and Administrative Expenses. </w:t>
      </w:r>
      <w:r>
        <w:rPr>
          <w:rFonts w:ascii="Arial" w:cs="Arial" w:eastAsia="Arial" w:hAnsi="Arial"/>
          <w:sz w:val="16"/>
          <w:szCs w:val="16"/>
          <w:color w:val="auto"/>
        </w:rPr>
        <w:t>The balance of our expenses includes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legal, accounting, valuation and other professional services), occupancy costs and general administrative and other costs.</w:t>
      </w:r>
    </w:p>
    <w:p>
      <w:pPr>
        <w:spacing w:after="0" w:line="16" w:lineRule="exact"/>
        <w:rPr>
          <w:sz w:val="20"/>
          <w:szCs w:val="20"/>
          <w:color w:val="auto"/>
        </w:rPr>
      </w:pPr>
    </w:p>
    <w:p>
      <w:pPr>
        <w:ind w:left="60" w:right="659" w:firstLine="270"/>
        <w:spacing w:after="0" w:line="312" w:lineRule="auto"/>
        <w:rPr>
          <w:sz w:val="20"/>
          <w:szCs w:val="20"/>
          <w:color w:val="auto"/>
        </w:rPr>
      </w:pPr>
      <w:r>
        <w:rPr>
          <w:rFonts w:ascii="Arial" w:cs="Arial" w:eastAsia="Arial" w:hAnsi="Arial"/>
          <w:sz w:val="16"/>
          <w:szCs w:val="16"/>
          <w:color w:val="auto"/>
        </w:rPr>
        <w:t>Total expenses for the years ended December 31, 2016, 2015, and 2014 were approximately $18 million, $21 million, and $21 million, respectively. Interest expense and amortization on debt issuance costs for the period was approximately $9 million, $12 million, and $12 million, respectively, on average debt outstanding of $190 million, $224 million, and $197 million, respectively.</w:t>
      </w:r>
    </w:p>
    <w:p>
      <w:pPr>
        <w:spacing w:after="0" w:line="39" w:lineRule="exact"/>
        <w:rPr>
          <w:sz w:val="20"/>
          <w:szCs w:val="20"/>
          <w:color w:val="auto"/>
        </w:rPr>
      </w:pPr>
    </w:p>
    <w:p>
      <w:pPr>
        <w:ind w:left="60" w:right="559" w:firstLine="270"/>
        <w:spacing w:after="0" w:line="273" w:lineRule="auto"/>
        <w:rPr>
          <w:sz w:val="20"/>
          <w:szCs w:val="20"/>
          <w:color w:val="auto"/>
        </w:rPr>
      </w:pPr>
      <w:r>
        <w:rPr>
          <w:rFonts w:ascii="Arial" w:cs="Arial" w:eastAsia="Arial" w:hAnsi="Arial"/>
          <w:sz w:val="17"/>
          <w:szCs w:val="17"/>
          <w:color w:val="auto"/>
        </w:rPr>
        <w:t>For the years ended December 31, 2016, 2015, and 2014, approximately $4.1 million, $3.8 million, and $5.0 million, respectively, of expenses were attributable to employee compensation, including salaries, bonuses, employee benefits, payroll taxes and stock-based compensation expense. For the years ended December 31, 2016, 2015, and 2014, professional fees and insurance expenses totaled approximately $2.8 million, $4.0 million and $3.1 million, respectively. Administrative costs, which include occupancy expense, technology and other office expenses, totaled approximately $1.7 million, $1.8 million and $1.5 million for the years ended December 31, 2016, 2015, and 2014, respectively.</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117" w:lineRule="exact"/>
        <w:rPr>
          <w:sz w:val="20"/>
          <w:szCs w:val="20"/>
          <w:color w:val="auto"/>
        </w:rPr>
      </w:pPr>
    </w:p>
    <w:p>
      <w:pPr>
        <w:ind w:left="60" w:right="539" w:firstLine="270"/>
        <w:spacing w:after="0" w:line="291" w:lineRule="auto"/>
        <w:rPr>
          <w:sz w:val="20"/>
          <w:szCs w:val="20"/>
          <w:color w:val="auto"/>
        </w:rPr>
      </w:pPr>
      <w:r>
        <w:rPr>
          <w:rFonts w:ascii="Arial" w:cs="Arial" w:eastAsia="Arial" w:hAnsi="Arial"/>
          <w:sz w:val="16"/>
          <w:szCs w:val="16"/>
          <w:color w:val="auto"/>
        </w:rPr>
        <w:t>Net investment income and net realized gains (losses) represents the stockholder’s equity before net unrealized appreciation or depreciation on investments. For the years ended December 31, 2016, 2015, and 2014, net investment income and net realized losses were approximately $12.2 million, $17.5 million and $9.0 million, respectively, or $0.33, $0.47, and $0.26 per basic share, respectively. Net investment income represents the income earned on our investments less operating and interest expense before net realized gains or losses and unrealized appreciation or depreciation on investments. Investments are carried at fair value, with changes in fair value recorded as unrealized appreciation (depreciation) in the statement of operations. When an investment is sold or liquidated, any previously recognized unrealized appreciation/depreciation is</w:t>
      </w: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79"/>
        <w:spacing w:after="0" w:line="271" w:lineRule="auto"/>
        <w:rPr>
          <w:sz w:val="20"/>
          <w:szCs w:val="20"/>
          <w:color w:val="auto"/>
        </w:rPr>
      </w:pPr>
      <w:r>
        <w:rPr>
          <w:rFonts w:ascii="Arial" w:cs="Arial" w:eastAsia="Arial" w:hAnsi="Arial"/>
          <w:sz w:val="17"/>
          <w:szCs w:val="17"/>
          <w:color w:val="auto"/>
        </w:rPr>
        <w:t>reversed and a corresponding amount is recognized as realized gain (loss). For example, 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 For the year ended December 31, 2016, GAAP-basis net investment income was approximately $18.5 million, or $0.50 per basic share, while tax-basis distributable income was approximately $14.8 million or $0.40 per share, respectively.</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Unrealized Gains (Losses) On Investments:</w:t>
            </w:r>
          </w:p>
        </w:tc>
        <w:tc>
          <w:tcPr>
            <w:tcW w:w="100" w:type="dxa"/>
            <w:vAlign w:val="bottom"/>
          </w:tcPr>
          <w:p>
            <w:pPr>
              <w:spacing w:after="0"/>
              <w:rPr>
                <w:sz w:val="17"/>
                <w:szCs w:val="17"/>
                <w:color w:val="auto"/>
              </w:rPr>
            </w:pPr>
          </w:p>
        </w:tc>
        <w:tc>
          <w:tcPr>
            <w:tcW w:w="8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change in unrealized appreciation (depreciation) 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80"/>
              <w:spacing w:after="0"/>
              <w:rPr>
                <w:sz w:val="20"/>
                <w:szCs w:val="20"/>
                <w:color w:val="auto"/>
              </w:rPr>
            </w:pPr>
            <w:r>
              <w:rPr>
                <w:rFonts w:ascii="Arial" w:cs="Arial" w:eastAsia="Arial" w:hAnsi="Arial"/>
                <w:sz w:val="18"/>
                <w:szCs w:val="18"/>
                <w:color w:val="auto"/>
              </w:rPr>
              <w:t>Debt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2,492,707</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$(10,748,262)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5,641,403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(4,413,354)</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(210,167)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7,040,155</w:t>
            </w:r>
          </w:p>
        </w:tc>
        <w:tc>
          <w:tcPr>
            <w:tcW w:w="0" w:type="dxa"/>
            <w:vAlign w:val="bottom"/>
          </w:tcPr>
          <w:p>
            <w:pPr>
              <w:spacing w:after="0"/>
              <w:rPr>
                <w:sz w:val="1"/>
                <w:szCs w:val="1"/>
                <w:color w:val="auto"/>
              </w:rPr>
            </w:pPr>
          </w:p>
        </w:tc>
      </w:tr>
      <w:tr>
        <w:trPr>
          <w:trHeight w:val="216"/>
        </w:trPr>
        <w:tc>
          <w:tcPr>
            <w:tcW w:w="4600" w:type="dxa"/>
            <w:vAlign w:val="bottom"/>
          </w:tcPr>
          <w:p>
            <w:pPr>
              <w:ind w:left="380"/>
              <w:spacing w:after="0"/>
              <w:rPr>
                <w:sz w:val="20"/>
                <w:szCs w:val="20"/>
                <w:color w:val="auto"/>
              </w:rPr>
            </w:pPr>
            <w:r>
              <w:rPr>
                <w:rFonts w:ascii="Arial" w:cs="Arial" w:eastAsia="Arial" w:hAnsi="Arial"/>
                <w:sz w:val="18"/>
                <w:szCs w:val="18"/>
                <w:color w:val="auto"/>
              </w:rPr>
              <w:t>CLO Fund Securities managed by affiliates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4,380,974</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(12,990,404)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(11,584,257)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CLO Fund Securities managed by non-affiliates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284,625</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(977,483)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2,884,109</w:t>
            </w:r>
          </w:p>
        </w:tc>
        <w:tc>
          <w:tcPr>
            <w:tcW w:w="0" w:type="dxa"/>
            <w:vAlign w:val="bottom"/>
          </w:tcPr>
          <w:p>
            <w:pPr>
              <w:spacing w:after="0"/>
              <w:rPr>
                <w:sz w:val="1"/>
                <w:szCs w:val="1"/>
                <w:color w:val="auto"/>
              </w:rPr>
            </w:pPr>
          </w:p>
        </w:tc>
      </w:tr>
      <w:tr>
        <w:trPr>
          <w:trHeight w:val="216"/>
        </w:trPr>
        <w:tc>
          <w:tcPr>
            <w:tcW w:w="4600" w:type="dxa"/>
            <w:vAlign w:val="bottom"/>
          </w:tcPr>
          <w:p>
            <w:pPr>
              <w:ind w:left="380"/>
              <w:spacing w:after="0"/>
              <w:rPr>
                <w:sz w:val="20"/>
                <w:szCs w:val="20"/>
                <w:color w:val="auto"/>
              </w:rPr>
            </w:pPr>
            <w:r>
              <w:rPr>
                <w:rFonts w:ascii="Arial" w:cs="Arial" w:eastAsia="Arial" w:hAnsi="Arial"/>
                <w:sz w:val="18"/>
                <w:szCs w:val="18"/>
                <w:color w:val="auto"/>
              </w:rPr>
              <w:t>Asset Manager Affiliates investments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(15,933,000)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(11,243,554)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2,064,107</w:t>
            </w:r>
          </w:p>
        </w:tc>
        <w:tc>
          <w:tcPr>
            <w:tcW w:w="0" w:type="dxa"/>
            <w:vAlign w:val="bottom"/>
          </w:tcPr>
          <w:p>
            <w:pPr>
              <w:spacing w:after="0"/>
              <w:rPr>
                <w:sz w:val="1"/>
                <w:szCs w:val="1"/>
                <w:color w:val="auto"/>
              </w:rPr>
            </w:pPr>
          </w:p>
        </w:tc>
      </w:tr>
      <w:tr>
        <w:trPr>
          <w:trHeight w:val="195"/>
        </w:trPr>
        <w:tc>
          <w:tcPr>
            <w:tcW w:w="460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Total net unrealized (loss) gain from investment</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transactions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(13,188,048)</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(36,169,870)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6,045,517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69" w:lineRule="auto"/>
        <w:rPr>
          <w:sz w:val="20"/>
          <w:szCs w:val="20"/>
          <w:color w:val="auto"/>
        </w:rPr>
      </w:pPr>
      <w:r>
        <w:rPr>
          <w:rFonts w:ascii="Arial" w:cs="Arial" w:eastAsia="Arial" w:hAnsi="Arial"/>
          <w:sz w:val="17"/>
          <w:szCs w:val="17"/>
          <w:color w:val="auto"/>
        </w:rPr>
        <w:t>During the year ended December 31, 2016, our total investments had net unrealized depreciation of approximately $13.2 million. Included in the net unrealized loss in 2016 are unrealized appreciation on CLO Fund Securities of approximately $4.7 million and unrealized depreciation of the Asset Manager Affiliates of $15.9 million, as well as unrealized appreciation on our debt securities of $2.5 million and unrealized depreciation on equity securities of approximately $4.4 million. During the year ended December 31, 2015, our total investments had net unrealized depreciation of approximately $36.2 million, including net unrealized losses of approximately $14.0 million on CLO Fund Securities and unrealized depreciation of the Asset Manager Affiliates of approximately $11.2 million, net unrealized depreciation on debt securities of approximately $10.8 million and net unrealized losses on equity securities of $210,000. During the year ended December 31, 2014, our total investments had net unrealized appreciation of $6 million, including approximately $5.6 million of unrealized gains on debt securities, net unrealized gains of the Asset Manager Affiliates of approximately $2.1 million, and net unrealized gains on equity securities of $7 million, offset by net unrealized losses of approximately $8.7 million related to CLO Fund Securities.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121" w:lineRule="exact"/>
        <w:rPr>
          <w:sz w:val="20"/>
          <w:szCs w:val="20"/>
          <w:color w:val="auto"/>
        </w:rPr>
      </w:pPr>
    </w:p>
    <w:p>
      <w:pPr>
        <w:ind w:left="60" w:right="639" w:firstLine="270"/>
        <w:spacing w:after="0" w:line="302" w:lineRule="auto"/>
        <w:rPr>
          <w:sz w:val="20"/>
          <w:szCs w:val="20"/>
          <w:color w:val="auto"/>
        </w:rPr>
      </w:pPr>
      <w:r>
        <w:rPr>
          <w:rFonts w:ascii="Arial" w:cs="Arial" w:eastAsia="Arial" w:hAnsi="Arial"/>
          <w:sz w:val="16"/>
          <w:szCs w:val="16"/>
          <w:color w:val="auto"/>
        </w:rPr>
        <w:t>The net decrease in stockholders’ equity resulting from operations for the year ended December 31, 2016 was approximately $1.0 million, or $0.03 per basic share. Net decrease in stockholders’ equity resulting from operations for the year ended December 31, 2015 was approximately $19 million, or $0.50 per basic share, and the net increase in stockholders’ equity resulting from operations for the year ended December 31, 2014 was approximately $15 million, or $0.44 per share.</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left="60" w:right="599" w:firstLine="270"/>
        <w:spacing w:after="0" w:line="255"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200" w:lineRule="exact"/>
        <w:rPr>
          <w:sz w:val="20"/>
          <w:szCs w:val="20"/>
          <w:color w:val="auto"/>
        </w:rPr>
      </w:pPr>
    </w:p>
    <w:p>
      <w:pPr>
        <w:spacing w:after="0" w:line="33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and December 31, 2015 the fair value of investments and cash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339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Investments at Fair Value</w:t>
            </w:r>
          </w:p>
        </w:tc>
        <w:tc>
          <w:tcPr>
            <w:tcW w:w="0" w:type="dxa"/>
            <w:vAlign w:val="bottom"/>
          </w:tcPr>
          <w:p>
            <w:pPr>
              <w:spacing w:after="0"/>
              <w:rPr>
                <w:sz w:val="1"/>
                <w:szCs w:val="1"/>
                <w:color w:val="auto"/>
              </w:rPr>
            </w:pPr>
          </w:p>
        </w:tc>
      </w:tr>
      <w:tr>
        <w:trPr>
          <w:trHeight w:val="119"/>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Security Type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1,307,257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8,528,298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7,138,272</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Money Market Accounts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28,699,269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2,129,381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Loan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200,322,152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194,123,223</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Junior Secured Loan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35,444,440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37,591,900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Loan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First Lien Bond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1,089,338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2,216,700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Subordinated Bond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4,615,569</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Senior Unsecured Bond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10,551,724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Bond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1,503,755</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54,174,350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55,872,382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9,548,488</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Preferred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11,036,373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Manager Affiliates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40,198,000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57,381,000</w:t>
            </w:r>
          </w:p>
        </w:tc>
        <w:tc>
          <w:tcPr>
            <w:tcW w:w="0" w:type="dxa"/>
            <w:vAlign w:val="bottom"/>
          </w:tcPr>
          <w:p>
            <w:pPr>
              <w:spacing w:after="0"/>
              <w:rPr>
                <w:sz w:val="1"/>
                <w:szCs w:val="1"/>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376,306,859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416,708,767</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699" w:firstLine="270"/>
        <w:spacing w:after="0" w:line="255" w:lineRule="auto"/>
        <w:rPr>
          <w:sz w:val="20"/>
          <w:szCs w:val="20"/>
          <w:color w:val="auto"/>
        </w:rPr>
      </w:pPr>
      <w:r>
        <w:rPr>
          <w:rFonts w:ascii="Arial" w:cs="Arial" w:eastAsia="Arial" w:hAnsi="Arial"/>
          <w:sz w:val="18"/>
          <w:szCs w:val="18"/>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December 31, 2016, we had approximately $181 million of par value of outstanding borrowings and our asset coverage ratio of total assets to total borrowings was 205%, compliant with the minimum asset coverage level of 200% generally required for a BDC by the 1940 Act. We may also borrow amounts of up to 5% of the value of our total assets for temporary purposes.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15, 2016, the Convertible Notes matured and were repaid in full.</w:t>
      </w:r>
    </w:p>
    <w:p>
      <w:pPr>
        <w:spacing w:after="0" w:line="117" w:lineRule="exact"/>
        <w:rPr>
          <w:sz w:val="20"/>
          <w:szCs w:val="20"/>
          <w:color w:val="auto"/>
        </w:rPr>
      </w:pPr>
    </w:p>
    <w:p>
      <w:pPr>
        <w:ind w:left="60" w:right="539" w:firstLine="270"/>
        <w:spacing w:after="0" w:line="268"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At December 31, 2016, the Company was in compliance with all of its debt covenants. The indenture governing the 7.375% Notes Due 2019 contains certain restrictive covenants, including compliance with certain provisions of the 1940 Act relating to borrowing and dividends. During the second quarter of 2016, the Company repurchased approximately $2.4 million par value of the 7.375% notes due 2019 at a weighted average price of $25.23 per $25.00 note, resulting in a realized loss on extinguishment of $71,190. KCAP subsequently surrendered these notes to the Trustee for cancellation. During the third quarter of 2016, $5.0 million par value of the 7.375% notes due 2019 was redeemed by the Company, resulting in a realized loss on extinguishment of $88,015. During the fourth quarter of 2016, $469,000 par value of the 7.375% notes due 2019 was redeemed by the Company, resulting in a realized loss on extinguishment of $15,000.</w:t>
      </w:r>
    </w:p>
    <w:p>
      <w:pPr>
        <w:spacing w:after="0" w:line="75" w:lineRule="exact"/>
        <w:rPr>
          <w:sz w:val="20"/>
          <w:szCs w:val="20"/>
          <w:color w:val="auto"/>
        </w:rPr>
      </w:pPr>
    </w:p>
    <w:p>
      <w:pPr>
        <w:ind w:left="60" w:right="759" w:firstLine="270"/>
        <w:spacing w:after="0" w:line="264" w:lineRule="auto"/>
        <w:rPr>
          <w:sz w:val="20"/>
          <w:szCs w:val="20"/>
          <w:color w:val="auto"/>
        </w:rPr>
      </w:pPr>
      <w:r>
        <w:rPr>
          <w:rFonts w:ascii="Arial" w:cs="Arial" w:eastAsia="Arial" w:hAnsi="Arial"/>
          <w:sz w:val="18"/>
          <w:szCs w:val="18"/>
          <w:color w:val="auto"/>
        </w:rPr>
        <w:t>On June 18, 2013, KCAP Senior Funding I, LLC, a specialty finance subsidiary of the Company, was capitalized through the issuance of $140 million of notes (the “KCAP Senior Funding I Notes”). The KCAP Senior Funding I Notes are backed by a diversified portfolio of bank loans. The Company invested in the</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90" w:lineRule="auto"/>
        <w:rPr>
          <w:sz w:val="20"/>
          <w:szCs w:val="20"/>
          <w:color w:val="auto"/>
        </w:rPr>
      </w:pPr>
      <w:r>
        <w:rPr>
          <w:rFonts w:ascii="Arial" w:cs="Arial" w:eastAsia="Arial" w:hAnsi="Arial"/>
          <w:sz w:val="16"/>
          <w:szCs w:val="16"/>
          <w:color w:val="auto"/>
        </w:rPr>
        <w:t>most junior class of the notes, issued in the approximate amount of $35 million, representing the Company’s primary exposure to the performance of the assets acquired from the proceeds of the issuance of the KCAP Senior Funding I Notes. On December 8, 2014, the Company completed the sale of additional KCAP Senior Funding I Notes for $56 million. The issuance of additional notes was pro-rata across all existing classes of notes originally issued. KCAP purchased an additional $13.9 million in the most junior class of notes. As of December 31, 2016 and 2015, these junior notes eliminate in consolidation and the remaining notes with a par value of $147.4 million are reflected on our consolidated balance sheet, net of $2.3 million and $2.9 million of unamortized discount and $2.5 million and $3.1 million of debt offering costs, respectively. The indenture governing the KCAP Senior Funding I Notes contains an event of default that is triggered in the event that certain coverage tests are not met.</w:t>
      </w:r>
    </w:p>
    <w:p>
      <w:pPr>
        <w:spacing w:after="0" w:line="58" w:lineRule="exact"/>
        <w:rPr>
          <w:sz w:val="20"/>
          <w:szCs w:val="20"/>
          <w:color w:val="auto"/>
        </w:rPr>
      </w:pPr>
    </w:p>
    <w:p>
      <w:pPr>
        <w:jc w:val="both"/>
        <w:ind w:left="40" w:right="839" w:firstLine="270"/>
        <w:spacing w:after="0" w:line="264" w:lineRule="auto"/>
        <w:rPr>
          <w:sz w:val="20"/>
          <w:szCs w:val="20"/>
          <w:color w:val="auto"/>
        </w:rPr>
      </w:pPr>
      <w:r>
        <w:rPr>
          <w:rFonts w:ascii="Arial" w:cs="Arial" w:eastAsia="Arial" w:hAnsi="Arial"/>
          <w:sz w:val="18"/>
          <w:szCs w:val="18"/>
          <w:color w:val="auto"/>
        </w:rPr>
        <w:t>On October 6, 2014, the Company priced a follow-on public offering of 3.0 million shares of its common stock at a price of $8.02 per share. The offering raised net proceeds were approximately $23.8 million, after deducting underwriting discounts and offering expenses.</w:t>
      </w:r>
    </w:p>
    <w:p>
      <w:pPr>
        <w:spacing w:after="0" w:line="73" w:lineRule="exact"/>
        <w:rPr>
          <w:sz w:val="20"/>
          <w:szCs w:val="20"/>
          <w:color w:val="auto"/>
        </w:rPr>
      </w:pPr>
    </w:p>
    <w:p>
      <w:pPr>
        <w:ind w:left="40" w:right="599" w:firstLine="270"/>
        <w:spacing w:after="0" w:line="289" w:lineRule="auto"/>
        <w:rPr>
          <w:sz w:val="20"/>
          <w:szCs w:val="20"/>
          <w:color w:val="auto"/>
        </w:rPr>
      </w:pPr>
      <w:r>
        <w:rPr>
          <w:rFonts w:ascii="Arial" w:cs="Arial" w:eastAsia="Arial" w:hAnsi="Arial"/>
          <w:sz w:val="16"/>
          <w:szCs w:val="16"/>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and we are limited in our ability to sell our common stock at a price below net asset value per share without stockholder approval (which we currently do not have), we have been and may continue to be limited in our ability to raise equity capital. See “Business — Regulation — Common Stock”.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 Distributions</w:t>
      </w:r>
    </w:p>
    <w:p>
      <w:pPr>
        <w:spacing w:after="0" w:line="121"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62" w:lineRule="exact"/>
        <w:rPr>
          <w:sz w:val="20"/>
          <w:szCs w:val="20"/>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117" w:lineRule="exact"/>
        <w:rPr>
          <w:rFonts w:ascii="Arial" w:cs="Arial" w:eastAsia="Arial" w:hAnsi="Arial"/>
          <w:sz w:val="18"/>
          <w:szCs w:val="18"/>
          <w:color w:val="auto"/>
        </w:rPr>
      </w:pPr>
    </w:p>
    <w:p>
      <w:pPr>
        <w:ind w:left="600" w:right="719" w:hanging="322"/>
        <w:spacing w:after="0" w:line="277"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62" w:lineRule="exact"/>
        <w:rPr>
          <w:rFonts w:ascii="Arial" w:cs="Arial" w:eastAsia="Arial" w:hAnsi="Arial"/>
          <w:sz w:val="18"/>
          <w:szCs w:val="18"/>
          <w:color w:val="auto"/>
        </w:rPr>
      </w:pPr>
    </w:p>
    <w:p>
      <w:pPr>
        <w:ind w:left="600" w:right="999" w:hanging="322"/>
        <w:spacing w:after="0" w:line="277"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62" w:lineRule="exact"/>
        <w:rPr>
          <w:sz w:val="20"/>
          <w:szCs w:val="20"/>
          <w:color w:val="auto"/>
        </w:rPr>
      </w:pPr>
    </w:p>
    <w:p>
      <w:pPr>
        <w:ind w:left="40" w:right="939" w:firstLine="270"/>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62" w:lineRule="exact"/>
        <w:rPr>
          <w:sz w:val="20"/>
          <w:szCs w:val="20"/>
          <w:color w:val="auto"/>
        </w:rPr>
      </w:pPr>
    </w:p>
    <w:p>
      <w:pPr>
        <w:ind w:left="40" w:right="799" w:firstLine="270"/>
        <w:spacing w:after="0" w:line="264"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our net investment income, distributable taxable income and the after-tax free cash flow from our Asset Manager Affiliates.</w:t>
      </w:r>
    </w:p>
    <w:p>
      <w:pPr>
        <w:spacing w:after="0" w:line="73"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We will be prohibited by the 1940 Act and the indenture governing our 7.375% Notes from making distributions on our common stock if our asset coverage, as defined in the 1940 Act, falls below 200%. In any such event, we would be prohibited from making distributions required in order to maintain our status as a RIC.</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Distribution</w:t>
            </w:r>
          </w:p>
        </w:tc>
        <w:tc>
          <w:tcPr>
            <w:tcW w:w="18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Declaration</w:t>
            </w:r>
          </w:p>
        </w:tc>
        <w:tc>
          <w:tcPr>
            <w:tcW w:w="180" w:type="dxa"/>
            <w:vAlign w:val="bottom"/>
          </w:tcPr>
          <w:p>
            <w:pPr>
              <w:spacing w:after="0"/>
              <w:rPr>
                <w:sz w:val="14"/>
                <w:szCs w:val="14"/>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Record Date</w:t>
            </w:r>
          </w:p>
        </w:tc>
        <w:tc>
          <w:tcPr>
            <w:tcW w:w="160" w:type="dxa"/>
            <w:vAlign w:val="bottom"/>
          </w:tcPr>
          <w:p>
            <w:pPr>
              <w:spacing w:after="0"/>
              <w:rPr>
                <w:sz w:val="14"/>
                <w:szCs w:val="14"/>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Pay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Fourth quarter</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12/14/2016</w:t>
            </w:r>
          </w:p>
        </w:tc>
        <w:tc>
          <w:tcPr>
            <w:tcW w:w="130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1/6/2017</w:t>
            </w:r>
            <w:r>
              <w:rPr>
                <w:rFonts w:ascii="Arial" w:cs="Arial" w:eastAsia="Arial" w:hAnsi="Arial"/>
                <w:sz w:val="29"/>
                <w:szCs w:val="29"/>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1/27/2017</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9/20/2016</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10/14/2016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10/27/2016</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6/21/2016</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7/7/2016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7/28/2016</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3/18/2016</w:t>
            </w:r>
          </w:p>
        </w:tc>
        <w:tc>
          <w:tcPr>
            <w:tcW w:w="13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4/7/2016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0" w:type="dxa"/>
            <w:vAlign w:val="bottom"/>
          </w:tcPr>
          <w:p>
            <w:pPr>
              <w:spacing w:after="0"/>
              <w:rPr>
                <w:sz w:val="1"/>
                <w:szCs w:val="1"/>
                <w:color w:val="auto"/>
              </w:rPr>
            </w:pPr>
          </w:p>
        </w:tc>
      </w:tr>
      <w:tr>
        <w:trPr>
          <w:trHeight w:val="210"/>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Total declared in 2016</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Fourth quarter</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12/16/2015</w:t>
            </w:r>
          </w:p>
        </w:tc>
        <w:tc>
          <w:tcPr>
            <w:tcW w:w="130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1/6/2016</w:t>
            </w:r>
            <w:r>
              <w:rPr>
                <w:rFonts w:ascii="Arial" w:cs="Arial" w:eastAsia="Arial" w:hAnsi="Arial"/>
                <w:sz w:val="29"/>
                <w:szCs w:val="29"/>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1/28/2016</w:t>
            </w: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9/22/2015</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10/14/2015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10/27/2015</w:t>
            </w: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6/23/2015</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7/6/2015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3/24/2015</w:t>
            </w:r>
          </w:p>
        </w:tc>
        <w:tc>
          <w:tcPr>
            <w:tcW w:w="13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4/6/2015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10"/>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Total declared in 2015</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-1251585</wp:posOffset>
            </wp:positionV>
            <wp:extent cx="5213985"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40" w:right="2619" w:hanging="312"/>
        <w:spacing w:after="0" w:line="483" w:lineRule="auto"/>
        <w:tabs>
          <w:tab w:leader="none" w:pos="299" w:val="left"/>
        </w:tabs>
        <w:numPr>
          <w:ilvl w:val="0"/>
          <w:numId w:val="41"/>
        </w:numPr>
        <w:rPr>
          <w:rFonts w:ascii="Arial" w:cs="Arial" w:eastAsia="Arial" w:hAnsi="Arial"/>
          <w:sz w:val="16"/>
          <w:szCs w:val="16"/>
          <w:color w:val="auto"/>
        </w:rPr>
      </w:pPr>
      <w:r>
        <w:rPr>
          <w:rFonts w:ascii="Arial" w:cs="Arial" w:eastAsia="Arial" w:hAnsi="Arial"/>
          <w:sz w:val="16"/>
          <w:szCs w:val="16"/>
          <w:color w:val="auto"/>
        </w:rPr>
        <w:t>Since the record date of this distribution is subsequent to year-end, it is a subsequent year tax event. The following table depicts the composition of shareholder distributions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-91440</wp:posOffset>
            </wp:positionV>
            <wp:extent cx="47510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96"/>
        </w:trPr>
        <w:tc>
          <w:tcPr>
            <w:tcW w:w="5500" w:type="dxa"/>
            <w:vAlign w:val="bottom"/>
            <w:gridSpan w:val="3"/>
            <w:vMerge w:val="restart"/>
          </w:tcPr>
          <w:p>
            <w:pPr>
              <w:ind w:left="20"/>
              <w:spacing w:after="0"/>
              <w:rPr>
                <w:sz w:val="20"/>
                <w:szCs w:val="20"/>
                <w:color w:val="auto"/>
              </w:rPr>
            </w:pPr>
            <w:r>
              <w:rPr>
                <w:rFonts w:ascii="Arial" w:cs="Arial" w:eastAsia="Arial" w:hAnsi="Arial"/>
                <w:sz w:val="18"/>
                <w:szCs w:val="18"/>
                <w:color w:val="auto"/>
              </w:rPr>
              <w:t>Net investment income</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4"/>
                <w:szCs w:val="14"/>
                <w:b w:val="1"/>
                <w:bCs w:val="1"/>
                <w:color w:val="auto"/>
                <w:w w:val="97"/>
              </w:rPr>
              <w:t>2016</w:t>
            </w:r>
            <w:r>
              <w:rPr>
                <w:rFonts w:ascii="Arial" w:cs="Arial" w:eastAsia="Arial" w:hAnsi="Arial"/>
                <w:sz w:val="22"/>
                <w:szCs w:val="22"/>
                <w:b w:val="1"/>
                <w:bCs w:val="1"/>
                <w:color w:val="auto"/>
                <w:w w:val="97"/>
                <w:vertAlign w:val="superscript"/>
              </w:rPr>
              <w:t>(1)</w:t>
            </w:r>
          </w:p>
        </w:tc>
        <w:tc>
          <w:tcPr>
            <w:tcW w:w="1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4"/>
                <w:szCs w:val="14"/>
                <w:b w:val="1"/>
                <w:bCs w:val="1"/>
                <w:color w:val="auto"/>
              </w:rPr>
              <w:t>2015</w:t>
            </w:r>
            <w:r>
              <w:rPr>
                <w:rFonts w:ascii="Arial" w:cs="Arial" w:eastAsia="Arial" w:hAnsi="Arial"/>
                <w:sz w:val="22"/>
                <w:szCs w:val="22"/>
                <w:b w:val="1"/>
                <w:bCs w:val="1"/>
                <w:color w:val="auto"/>
                <w:vertAlign w:val="superscript"/>
              </w:rPr>
              <w:t>(1)</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gridSpan w:val="3"/>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Tax Accounting Difference on CLO Equity Investments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Other tax accounting differences</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Taxable distributable income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2"/>
        </w:trPr>
        <w:tc>
          <w:tcPr>
            <w:tcW w:w="550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6"/>
              </w:rPr>
              <w:t>Cash distributed to the Company by Asset Manager Affiliates in excess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of their taxable earnings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2"/>
        </w:trPr>
        <w:tc>
          <w:tcPr>
            <w:tcW w:w="550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Cash received from CLO Equity Investments in excess of taxable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earnings</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gridSpan w:val="3"/>
          </w:tcPr>
          <w:p>
            <w:pPr>
              <w:ind w:left="20"/>
              <w:spacing w:after="0" w:line="251" w:lineRule="exact"/>
              <w:rPr>
                <w:sz w:val="20"/>
                <w:szCs w:val="20"/>
                <w:color w:val="auto"/>
              </w:rPr>
            </w:pPr>
            <w:r>
              <w:rPr>
                <w:rFonts w:ascii="Arial" w:cs="Arial" w:eastAsia="Arial" w:hAnsi="Arial"/>
                <w:sz w:val="18"/>
                <w:szCs w:val="18"/>
                <w:color w:val="auto"/>
              </w:rPr>
              <w:t>Available for distribution</w:t>
            </w:r>
            <w:r>
              <w:rPr>
                <w:rFonts w:ascii="Arial" w:cs="Arial" w:eastAsia="Arial" w:hAnsi="Arial"/>
                <w:sz w:val="29"/>
                <w:szCs w:val="29"/>
                <w:color w:val="auto"/>
                <w:vertAlign w:val="superscript"/>
              </w:rPr>
              <w:t>(2)</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Distributed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Difference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-668020</wp:posOffset>
            </wp:positionV>
            <wp:extent cx="475107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4751070" cy="180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Table may not foot due to rounding.</w:t>
      </w:r>
    </w:p>
    <w:p>
      <w:pPr>
        <w:spacing w:after="0" w:line="117" w:lineRule="exact"/>
        <w:rPr>
          <w:rFonts w:ascii="Arial" w:cs="Arial" w:eastAsia="Arial" w:hAnsi="Arial"/>
          <w:sz w:val="18"/>
          <w:szCs w:val="18"/>
          <w:color w:val="auto"/>
        </w:rPr>
      </w:pPr>
    </w:p>
    <w:p>
      <w:pPr>
        <w:ind w:left="300" w:right="639" w:hanging="272"/>
        <w:spacing w:after="0" w:line="289" w:lineRule="auto"/>
        <w:tabs>
          <w:tab w:leader="none" w:pos="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“Available for distribution” financial measure is a non-GAAP financial measure that is calculated by including the cash distributed to the Company by the Asset Manager Affiliates in excess of their taxable earnings and cash received from CLO Equity Investments in excess of taxable earnings to the Company’s taxable distributable income, which is the most directly comparable GAAP financial measure. In order to reconcile the “Available for distribution financial measure to taxable distributable income per share in accordance with GAAP, the $0.03 and $0.10 per share of cash distributed to the Company by the Asset Manager Affiliates in excess of their taxable earnings, and the $0.11 and $0.10 per share of cash distributed to the Company from CLO Equity Investments in excess of taxable earnings, is subtracted from the “Available for distribution” financial measure for the year-ended December 31, 2016 and 2015, respectively. The Company’s management believes that the presentation of the non-GAAP “Available for distribution” financial measure provides useful information to investors.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0" w:right="639" w:firstLine="270"/>
        <w:spacing w:after="0" w:line="259" w:lineRule="auto"/>
        <w:rPr>
          <w:sz w:val="20"/>
          <w:szCs w:val="20"/>
          <w:color w:val="auto"/>
        </w:rPr>
      </w:pPr>
      <w:r>
        <w:rPr>
          <w:rFonts w:ascii="Arial" w:cs="Arial" w:eastAsia="Arial" w:hAnsi="Arial"/>
          <w:sz w:val="18"/>
          <w:szCs w:val="18"/>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819"/>
        <w:spacing w:after="0" w:line="264" w:lineRule="auto"/>
        <w:rPr>
          <w:sz w:val="20"/>
          <w:szCs w:val="20"/>
          <w:color w:val="auto"/>
        </w:rPr>
      </w:pPr>
      <w:r>
        <w:rPr>
          <w:rFonts w:ascii="Arial" w:cs="Arial" w:eastAsia="Arial" w:hAnsi="Arial"/>
          <w:sz w:val="18"/>
          <w:szCs w:val="18"/>
          <w:color w:val="auto"/>
        </w:rPr>
        <w:t>the Company attempts to limit its credit risk by conducting extensive due diligence, obtaining collateral where necessary and negotiating appropriate financial covenants. As of December 31, 2016 and December 31, 2015, the Company had $565,000 and $360,000 commitments to fund investments, respectively.</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contractual cash obligations and other commercial commitments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51968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10"/>
                <w:szCs w:val="10"/>
                <w:color w:val="auto"/>
              </w:rPr>
            </w:pPr>
          </w:p>
        </w:tc>
        <w:tc>
          <w:tcPr>
            <w:tcW w:w="11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Less than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1 – 3 years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0"/>
                <w:szCs w:val="10"/>
                <w:color w:val="auto"/>
              </w:rPr>
            </w:pPr>
          </w:p>
        </w:tc>
        <w:tc>
          <w:tcPr>
            <w:tcW w:w="10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one year</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8"/>
                <w:szCs w:val="18"/>
                <w:color w:val="auto"/>
              </w:rPr>
              <w:t>Long-term debt obligations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$ 180,880,925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$ 33,530,925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147,350,000</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60" w:right="739" w:firstLine="270"/>
        <w:spacing w:after="0" w:line="273"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Valuation of Portfolio Investments</w:t>
      </w:r>
    </w:p>
    <w:p>
      <w:pPr>
        <w:spacing w:after="0" w:line="121"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62" w:lineRule="exact"/>
        <w:rPr>
          <w:sz w:val="20"/>
          <w:szCs w:val="20"/>
          <w:color w:val="auto"/>
        </w:rPr>
      </w:pPr>
    </w:p>
    <w:p>
      <w:pPr>
        <w:ind w:left="60" w:right="539" w:firstLine="270"/>
        <w:spacing w:after="0" w:line="272" w:lineRule="auto"/>
        <w:rPr>
          <w:sz w:val="20"/>
          <w:szCs w:val="20"/>
          <w:color w:val="auto"/>
        </w:rPr>
      </w:pPr>
      <w:r>
        <w:rPr>
          <w:rFonts w:ascii="Arial" w:cs="Arial" w:eastAsia="Arial" w:hAnsi="Arial"/>
          <w:sz w:val="17"/>
          <w:szCs w:val="17"/>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70" w:lineRule="exact"/>
        <w:rPr>
          <w:sz w:val="20"/>
          <w:szCs w:val="20"/>
          <w:color w:val="auto"/>
        </w:rPr>
      </w:pPr>
    </w:p>
    <w:p>
      <w:pPr>
        <w:ind w:left="60" w:right="819" w:firstLine="270"/>
        <w:spacing w:after="0" w:line="259" w:lineRule="auto"/>
        <w:rPr>
          <w:sz w:val="20"/>
          <w:szCs w:val="20"/>
          <w:color w:val="auto"/>
        </w:rPr>
      </w:pPr>
      <w:r>
        <w:rPr>
          <w:rFonts w:ascii="Arial" w:cs="Arial" w:eastAsia="Arial" w:hAnsi="Arial"/>
          <w:sz w:val="18"/>
          <w:szCs w:val="18"/>
          <w:color w:val="auto"/>
        </w:rPr>
        <w:t>Pursuant to the AICPA Guide,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79" w:lineRule="exact"/>
        <w:rPr>
          <w:sz w:val="20"/>
          <w:szCs w:val="20"/>
          <w:color w:val="auto"/>
        </w:rPr>
      </w:pPr>
    </w:p>
    <w:p>
      <w:pPr>
        <w:ind w:left="60" w:right="1079" w:firstLine="270"/>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62" w:lineRule="exact"/>
        <w:rPr>
          <w:sz w:val="20"/>
          <w:szCs w:val="20"/>
          <w:color w:val="auto"/>
        </w:rPr>
      </w:pPr>
    </w:p>
    <w:p>
      <w:pPr>
        <w:ind w:left="60" w:right="579" w:firstLine="270"/>
        <w:spacing w:after="0" w:line="270"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w:t>
      </w:r>
    </w:p>
    <w:p>
      <w:pPr>
        <w:spacing w:after="0" w:line="200" w:lineRule="exact"/>
        <w:rPr>
          <w:sz w:val="20"/>
          <w:szCs w:val="20"/>
          <w:color w:val="auto"/>
        </w:rPr>
      </w:pPr>
    </w:p>
    <w:p>
      <w:pPr>
        <w:spacing w:after="0" w:line="3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19"/>
        <w:spacing w:after="0" w:line="259" w:lineRule="auto"/>
        <w:rPr>
          <w:sz w:val="20"/>
          <w:szCs w:val="20"/>
          <w:color w:val="auto"/>
        </w:rPr>
      </w:pPr>
      <w:r>
        <w:rPr>
          <w:rFonts w:ascii="Arial" w:cs="Arial" w:eastAsia="Arial" w:hAnsi="Arial"/>
          <w:sz w:val="18"/>
          <w:szCs w:val="18"/>
          <w:color w:val="auto"/>
        </w:rPr>
        <w:t>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79"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62"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79"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70" w:lineRule="exact"/>
        <w:rPr>
          <w:sz w:val="20"/>
          <w:szCs w:val="20"/>
          <w:color w:val="auto"/>
        </w:rPr>
      </w:pPr>
    </w:p>
    <w:p>
      <w:pPr>
        <w:ind w:left="40" w:right="659" w:firstLine="270"/>
        <w:spacing w:after="0" w:line="291"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59" w:lineRule="exact"/>
        <w:rPr>
          <w:sz w:val="20"/>
          <w:szCs w:val="20"/>
          <w:color w:val="auto"/>
        </w:rPr>
      </w:pPr>
    </w:p>
    <w:p>
      <w:pPr>
        <w:ind w:left="40" w:right="639" w:firstLine="270"/>
        <w:spacing w:after="0" w:line="269"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The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75" w:lineRule="exact"/>
        <w:rPr>
          <w:sz w:val="20"/>
          <w:szCs w:val="20"/>
          <w:color w:val="auto"/>
        </w:rPr>
      </w:pPr>
    </w:p>
    <w:p>
      <w:pPr>
        <w:ind w:left="40" w:right="799" w:firstLine="270"/>
        <w:spacing w:after="0" w:line="259" w:lineRule="auto"/>
        <w:rPr>
          <w:sz w:val="20"/>
          <w:szCs w:val="20"/>
          <w:color w:val="auto"/>
        </w:rPr>
      </w:pPr>
      <w:r>
        <w:rPr>
          <w:rFonts w:ascii="Arial" w:cs="Arial" w:eastAsia="Arial" w:hAnsi="Arial"/>
          <w:sz w:val="18"/>
          <w:szCs w:val="18"/>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79"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71" w:lineRule="auto"/>
        <w:rPr>
          <w:sz w:val="20"/>
          <w:szCs w:val="20"/>
          <w:color w:val="auto"/>
        </w:rPr>
      </w:pPr>
      <w:r>
        <w:rPr>
          <w:rFonts w:ascii="Arial" w:cs="Arial" w:eastAsia="Arial" w:hAnsi="Arial"/>
          <w:sz w:val="17"/>
          <w:szCs w:val="17"/>
          <w:color w:val="auto"/>
        </w:rPr>
        <w:t>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71"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5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75"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7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79" w:lineRule="exact"/>
        <w:rPr>
          <w:sz w:val="20"/>
          <w:szCs w:val="20"/>
          <w:color w:val="auto"/>
        </w:rPr>
      </w:pPr>
    </w:p>
    <w:p>
      <w:pPr>
        <w:ind w:left="40" w:right="659" w:firstLine="270"/>
        <w:spacing w:after="0" w:line="302" w:lineRule="auto"/>
        <w:rPr>
          <w:sz w:val="20"/>
          <w:szCs w:val="20"/>
          <w:color w:val="auto"/>
        </w:rPr>
      </w:pPr>
      <w:r>
        <w:rPr>
          <w:rFonts w:ascii="Arial" w:cs="Arial" w:eastAsia="Arial" w:hAnsi="Arial"/>
          <w:sz w:val="16"/>
          <w:szCs w:val="16"/>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46"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Our Board of Directors may consider other methods of valuation to determine the fair value of investments as appropriate in conformity with GAAP.</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Interest income, including amortization of premium and accretion of discount and accrual of payment-in-kind (“PIK”) interest, is recorded on the accrual basis to the extent that such amounts are</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90" w:lineRule="auto"/>
        <w:rPr>
          <w:sz w:val="20"/>
          <w:szCs w:val="20"/>
          <w:color w:val="auto"/>
        </w:rPr>
      </w:pPr>
      <w:r>
        <w:rPr>
          <w:rFonts w:ascii="Arial" w:cs="Arial" w:eastAsia="Arial" w:hAnsi="Arial"/>
          <w:sz w:val="16"/>
          <w:szCs w:val="16"/>
          <w:color w:val="auto"/>
        </w:rPr>
        <w:t>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December 31, 2016, two of our investments were on partial non-accrual status, whereby we have recognized income on a portion of contractual PIK amounts due. As of December 31, 2015, there was one issuer on non-accrual status.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Income on CLO Fund Securities</w:t>
      </w:r>
    </w:p>
    <w:p>
      <w:pPr>
        <w:spacing w:after="0" w:line="121"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72"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59"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2014-1, interest is earned at a fixed spread relative to the LIBOR index.</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Distributions from Asset Manager Affiliates</w:t>
      </w:r>
    </w:p>
    <w:p>
      <w:pPr>
        <w:spacing w:after="0" w:line="121" w:lineRule="exact"/>
        <w:rPr>
          <w:sz w:val="20"/>
          <w:szCs w:val="20"/>
          <w:color w:val="auto"/>
        </w:rPr>
      </w:pPr>
    </w:p>
    <w:p>
      <w:pPr>
        <w:ind w:left="40" w:right="739" w:firstLine="270"/>
        <w:spacing w:after="0" w:line="291" w:lineRule="auto"/>
        <w:rPr>
          <w:sz w:val="20"/>
          <w:szCs w:val="20"/>
          <w:color w:val="auto"/>
        </w:rPr>
      </w:pPr>
      <w:r>
        <w:rPr>
          <w:rFonts w:ascii="Arial" w:cs="Arial" w:eastAsia="Arial" w:hAnsi="Arial"/>
          <w:sz w:val="16"/>
          <w:szCs w:val="16"/>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Payment in Kind Interest</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Fee Income</w:t>
      </w:r>
    </w:p>
    <w:p>
      <w:pPr>
        <w:spacing w:after="0" w:line="121" w:lineRule="exact"/>
        <w:rPr>
          <w:sz w:val="20"/>
          <w:szCs w:val="20"/>
          <w:color w:val="auto"/>
        </w:rPr>
      </w:pPr>
    </w:p>
    <w:p>
      <w:pPr>
        <w:ind w:left="40" w:right="639" w:firstLine="270"/>
        <w:spacing w:after="0" w:line="279" w:lineRule="auto"/>
        <w:rPr>
          <w:sz w:val="20"/>
          <w:szCs w:val="20"/>
          <w:color w:val="auto"/>
        </w:rPr>
      </w:pPr>
      <w:r>
        <w:rPr>
          <w:rFonts w:ascii="Arial" w:cs="Arial" w:eastAsia="Arial" w:hAnsi="Arial"/>
          <w:sz w:val="17"/>
          <w:szCs w:val="17"/>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 Compensation</w:t>
      </w:r>
    </w:p>
    <w:p>
      <w:pPr>
        <w:spacing w:after="0" w:line="121" w:lineRule="exact"/>
        <w:rPr>
          <w:sz w:val="20"/>
          <w:szCs w:val="20"/>
          <w:color w:val="auto"/>
        </w:rPr>
      </w:pPr>
    </w:p>
    <w:p>
      <w:pPr>
        <w:jc w:val="both"/>
        <w:ind w:left="40" w:right="739" w:firstLine="270"/>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United States Federal Income Taxes</w:t>
      </w:r>
    </w:p>
    <w:p>
      <w:pPr>
        <w:spacing w:after="0" w:line="121"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Distributions to Shareholders</w:t>
      </w:r>
    </w:p>
    <w:p>
      <w:pPr>
        <w:spacing w:after="0" w:line="121"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net investment income, distributable taxable income and the after-tax free cash flow from our Asset Manager Affiliates.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Note 2 to the financial statements included in this annual report, for a description of recent accounting pronouncements.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85"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December 31, 2016, approximately 98% of our Debt Securities Portfolio were either fixed rate or floating rate with a spread to an interest rate index such as LIBOR or the prime rate. Most of these floating rate loans contain LIBOR floors ranging between 0.75% and 3.0%. We generally expect that future portfolio investments will predominately be floating rate investments. As of December 31, 2016, we had $181 million of borrowings outstanding at a current weighted average rate of 3.9%.</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2" w:name="page73"/>
    <w:bookmarkEnd w:id="7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79" w:firstLine="270"/>
        <w:spacing w:after="0" w:line="285" w:lineRule="auto"/>
        <w:rPr>
          <w:sz w:val="20"/>
          <w:szCs w:val="20"/>
          <w:color w:val="auto"/>
        </w:rPr>
      </w:pPr>
      <w:r>
        <w:rPr>
          <w:rFonts w:ascii="Arial" w:cs="Arial" w:eastAsia="Arial" w:hAnsi="Arial"/>
          <w:sz w:val="16"/>
          <w:szCs w:val="16"/>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7.375% Notes Due 2019 would remain the same at 7.375%, given that this debt is at a fixed rate. The Notes issued by KCAP Senior Funding are floating rate based upon a LIBOR index plus a spread, which serves as a floor should LIBOR decrease to zero. Accordingly, our interest costs associated with this debt will fluctuate with changes in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LIBOR.</w:t>
      </w:r>
    </w:p>
    <w:p>
      <w:pPr>
        <w:spacing w:after="0" w:line="103" w:lineRule="exact"/>
        <w:rPr>
          <w:sz w:val="20"/>
          <w:szCs w:val="20"/>
          <w:color w:val="auto"/>
        </w:rPr>
      </w:pPr>
    </w:p>
    <w:p>
      <w:pPr>
        <w:ind w:left="60" w:right="639" w:firstLine="270"/>
        <w:spacing w:after="0" w:line="312" w:lineRule="auto"/>
        <w:rPr>
          <w:sz w:val="20"/>
          <w:szCs w:val="20"/>
          <w:color w:val="auto"/>
        </w:rPr>
      </w:pPr>
      <w:r>
        <w:rPr>
          <w:rFonts w:ascii="Arial" w:cs="Arial" w:eastAsia="Arial" w:hAnsi="Arial"/>
          <w:sz w:val="16"/>
          <w:szCs w:val="16"/>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39"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December 31, 2016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339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05"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Impact on net investment income</w:t>
      </w:r>
    </w:p>
    <w:p>
      <w:pPr>
        <w:spacing w:after="0" w:line="4"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from a change in interest rates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-3175</wp:posOffset>
            </wp:positionV>
            <wp:extent cx="19723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vMerge w:val="restart"/>
          </w:tcPr>
          <w:p>
            <w:pPr>
              <w:ind w:left="20"/>
              <w:spacing w:after="0"/>
              <w:rPr>
                <w:sz w:val="20"/>
                <w:szCs w:val="20"/>
                <w:color w:val="auto"/>
              </w:rPr>
            </w:pPr>
            <w:r>
              <w:rPr>
                <w:rFonts w:ascii="Arial" w:cs="Arial" w:eastAsia="Arial" w:hAnsi="Arial"/>
                <w:sz w:val="18"/>
                <w:szCs w:val="18"/>
                <w:color w:val="auto"/>
              </w:rPr>
              <w:t>Increase in interest rate</w:t>
            </w:r>
          </w:p>
        </w:tc>
        <w:tc>
          <w:tcPr>
            <w:tcW w:w="120" w:type="dxa"/>
            <w:vAlign w:val="bottom"/>
          </w:tcPr>
          <w:p>
            <w:pPr>
              <w:spacing w:after="0"/>
              <w:rPr>
                <w:sz w:val="14"/>
                <w:szCs w:val="14"/>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1%</w:t>
            </w:r>
          </w:p>
        </w:tc>
        <w:tc>
          <w:tcPr>
            <w:tcW w:w="10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316"/>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691,095</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$ 1,455,253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2,219,412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interest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1,230,445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$ 1,230,445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1,230,445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539" w:firstLine="270"/>
        <w:spacing w:after="0" w:line="291" w:lineRule="auto"/>
        <w:rPr>
          <w:sz w:val="20"/>
          <w:szCs w:val="20"/>
          <w:color w:val="auto"/>
        </w:rPr>
      </w:pPr>
      <w:r>
        <w:rPr>
          <w:rFonts w:ascii="Arial" w:cs="Arial" w:eastAsia="Arial" w:hAnsi="Arial"/>
          <w:sz w:val="16"/>
          <w:szCs w:val="16"/>
          <w:color w:val="auto"/>
        </w:rPr>
        <w:t>As shown above, net investment income assuming a 1% increase in interest rates would increase by approximately $691,000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$1.5 million and $2.2 million, respectively. Since LIBOR underlying certain investments, as well as certain of our borrowings, is currently low, it is unlikely that the underlying rate will decrease by 1% or 2% or even 3%. If the underlying rate decreased to 0%, it would result in approximately a $1.2 million increase in net investment income.</w:t>
      </w:r>
    </w:p>
    <w:p>
      <w:pPr>
        <w:spacing w:after="0" w:line="59" w:lineRule="exact"/>
        <w:rPr>
          <w:sz w:val="20"/>
          <w:szCs w:val="20"/>
          <w:color w:val="auto"/>
        </w:rPr>
      </w:pPr>
    </w:p>
    <w:p>
      <w:pPr>
        <w:ind w:left="60" w:right="599" w:firstLine="270"/>
        <w:spacing w:after="0" w:line="302" w:lineRule="auto"/>
        <w:rPr>
          <w:sz w:val="20"/>
          <w:szCs w:val="20"/>
          <w:color w:val="auto"/>
        </w:rPr>
      </w:pPr>
      <w:r>
        <w:rPr>
          <w:rFonts w:ascii="Arial" w:cs="Arial" w:eastAsia="Arial" w:hAnsi="Arial"/>
          <w:sz w:val="16"/>
          <w:szCs w:val="16"/>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December 31, 2016.</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Portfolio Valuation</w:t>
      </w:r>
    </w:p>
    <w:p>
      <w:pPr>
        <w:spacing w:after="0" w:line="121" w:lineRule="exact"/>
        <w:rPr>
          <w:sz w:val="20"/>
          <w:szCs w:val="20"/>
          <w:color w:val="auto"/>
        </w:rPr>
      </w:pPr>
    </w:p>
    <w:p>
      <w:pPr>
        <w:ind w:left="60" w:right="579" w:firstLine="270"/>
        <w:spacing w:after="0" w:line="269"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200" w:lineRule="exact"/>
        <w:rPr>
          <w:sz w:val="20"/>
          <w:szCs w:val="20"/>
          <w:color w:val="auto"/>
        </w:rPr>
      </w:pPr>
    </w:p>
    <w:p>
      <w:pPr>
        <w:spacing w:after="0" w:line="33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21" w:lineRule="exact"/>
        <w:rPr>
          <w:sz w:val="20"/>
          <w:szCs w:val="20"/>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Our financial statements are annexed to this Annual Report beginning on page F-</w:t>
      </w:r>
      <w:hyperlink w:anchor="page79">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w:t>
      </w:r>
      <w:r>
        <w:rPr>
          <w:rFonts w:ascii="Arial" w:cs="Arial" w:eastAsia="Arial" w:hAnsi="Arial"/>
          <w:sz w:val="18"/>
          <w:szCs w:val="18"/>
          <w:b w:val="1"/>
          <w:bCs w:val="1"/>
          <w:i w:val="1"/>
          <w:iCs w:val="1"/>
          <w:color w:val="auto"/>
        </w:rPr>
        <w:t>Controls and Procedures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Company’s management is responsible for establishing and maintaining adequate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defined in Rules 13a-15(f)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79"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i w:val="1"/>
          <w:iCs w:val="1"/>
          <w:color w:val="auto"/>
        </w:rPr>
        <w:t xml:space="preserve">Scope of Management’s Report on Internal Control Over Financial Reporting. </w:t>
      </w:r>
      <w:r>
        <w:rPr>
          <w:rFonts w:ascii="Arial" w:cs="Arial" w:eastAsia="Arial" w:hAnsi="Arial"/>
          <w:sz w:val="18"/>
          <w:szCs w:val="18"/>
          <w:color w:val="auto"/>
        </w:rPr>
        <w:t>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includes those policies and procedures that:</w:t>
      </w:r>
    </w:p>
    <w:p>
      <w:pPr>
        <w:spacing w:after="0" w:line="62" w:lineRule="exact"/>
        <w:rPr>
          <w:sz w:val="20"/>
          <w:szCs w:val="20"/>
          <w:color w:val="auto"/>
        </w:rPr>
      </w:pPr>
    </w:p>
    <w:p>
      <w:pPr>
        <w:ind w:left="600" w:right="619" w:hanging="322"/>
        <w:spacing w:after="0" w:line="277"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600" w:right="839" w:hanging="322"/>
        <w:spacing w:after="0" w:line="312" w:lineRule="auto"/>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the Company’s receipts and expenditures are being made only in accordance with authorizations of the Company’s management and directors; and</w:t>
      </w:r>
    </w:p>
    <w:p>
      <w:pPr>
        <w:spacing w:after="0" w:line="38" w:lineRule="exact"/>
        <w:rPr>
          <w:rFonts w:ascii="Arial" w:cs="Arial" w:eastAsia="Arial" w:hAnsi="Arial"/>
          <w:sz w:val="16"/>
          <w:szCs w:val="16"/>
          <w:color w:val="auto"/>
        </w:rPr>
      </w:pPr>
    </w:p>
    <w:p>
      <w:pPr>
        <w:ind w:left="600" w:right="579" w:hanging="322"/>
        <w:spacing w:after="0" w:line="277"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Company’s financial statements.</w:t>
      </w:r>
    </w:p>
    <w:p>
      <w:pPr>
        <w:spacing w:after="0" w:line="62"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i w:val="1"/>
          <w:iCs w:val="1"/>
          <w:color w:val="auto"/>
        </w:rPr>
        <w:t xml:space="preserve">Conclusion. </w:t>
      </w:r>
      <w:r>
        <w:rPr>
          <w:rFonts w:ascii="Arial" w:cs="Arial" w:eastAsia="Arial" w:hAnsi="Arial"/>
          <w:sz w:val="17"/>
          <w:szCs w:val="17"/>
          <w:color w:val="auto"/>
        </w:rPr>
        <w:t>Management, including the Company’s CEO and CFO, assessed the effectiveness of the Company’s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over financial reporting as of December 31, 2016. In making this assessment, management used the criteria established in the 2013 Internal Control-Integrated Framework issued by the Committee of Sponsoring Organizations of the Treadway Commission (COSO). Based on management’s assessment, management concluded, subject to the limitations described under “Scope of Management’s Report on Internal Control Over Financial Reporting” above, that the Company maintained effective internal control over financial reporting as of December 31, 2016.</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Attestation Report of the Independent Registered Public Accounting Firm.</w:t>
      </w:r>
    </w:p>
    <w:p>
      <w:pPr>
        <w:spacing w:after="0" w:line="117" w:lineRule="exact"/>
        <w:rPr>
          <w:sz w:val="20"/>
          <w:szCs w:val="20"/>
          <w:color w:val="auto"/>
        </w:rPr>
      </w:pPr>
    </w:p>
    <w:p>
      <w:pPr>
        <w:ind w:left="40" w:right="1039" w:firstLine="270"/>
        <w:spacing w:after="0" w:line="277" w:lineRule="auto"/>
        <w:rPr>
          <w:sz w:val="20"/>
          <w:szCs w:val="20"/>
          <w:color w:val="auto"/>
        </w:rPr>
      </w:pPr>
      <w:r>
        <w:rPr>
          <w:rFonts w:ascii="Arial" w:cs="Arial" w:eastAsia="Arial" w:hAnsi="Arial"/>
          <w:sz w:val="18"/>
          <w:szCs w:val="18"/>
          <w:color w:val="auto"/>
        </w:rPr>
        <w:t>The Company’s independent registered public accounting firm has audited and issued a report on the Company’s internal control over financial reporting, which appears in Item 15 of this report.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40" w:right="1239" w:firstLine="27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during the fourth quarter of 2016 that have materially affected, or are reasonably likely to materially affect, our internal control over financial reporting.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The information required by this item will be contained in the Proxy Statement under the headings “Proposal 1: Election of Directors,” “Control Persons and Principal Stockholders” and “Corporate Governance Principles and Director Information”, to be filed with the Securities and Exchange Commission on or prior to April 30, 2017, and is incorporated herein by reference.</w:t>
      </w:r>
    </w:p>
    <w:p>
      <w:pPr>
        <w:spacing w:after="0" w:line="39" w:lineRule="exact"/>
        <w:rPr>
          <w:sz w:val="20"/>
          <w:szCs w:val="20"/>
          <w:color w:val="auto"/>
        </w:rPr>
      </w:pPr>
    </w:p>
    <w:p>
      <w:pPr>
        <w:jc w:val="both"/>
        <w:ind w:left="40" w:right="619" w:firstLine="270"/>
        <w:spacing w:after="0" w:line="286" w:lineRule="auto"/>
        <w:rPr>
          <w:sz w:val="20"/>
          <w:szCs w:val="20"/>
          <w:color w:val="auto"/>
        </w:rPr>
      </w:pPr>
      <w:r>
        <w:rPr>
          <w:rFonts w:ascii="Arial" w:cs="Arial" w:eastAsia="Arial" w:hAnsi="Arial"/>
          <w:sz w:val="17"/>
          <w:szCs w:val="17"/>
          <w:color w:val="auto"/>
        </w:rPr>
        <w:t xml:space="preserve">We have adopted a Sarbanes-Oxley Code of Ethics that applies to directors, officers and employees of the Company. This code of ethics is published on our website at </w:t>
      </w:r>
      <w:r>
        <w:rPr>
          <w:rFonts w:ascii="Arial" w:cs="Arial" w:eastAsia="Arial" w:hAnsi="Arial"/>
          <w:sz w:val="17"/>
          <w:szCs w:val="17"/>
          <w:i w:val="1"/>
          <w:iCs w:val="1"/>
          <w:color w:val="auto"/>
        </w:rPr>
        <w:t>www.kcapfinancial.com</w:t>
      </w:r>
      <w:r>
        <w:rPr>
          <w:rFonts w:ascii="Arial" w:cs="Arial" w:eastAsia="Arial" w:hAnsi="Arial"/>
          <w:sz w:val="17"/>
          <w:szCs w:val="17"/>
          <w:color w:val="auto"/>
        </w:rPr>
        <w:t>. We intend to disclose any future amendments to, or waivers from, this code of ethics within four business days of the waiver or amendment through a website posting.</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The information required by this item will be contained in the Proxy Statement under the headings “Proposal 1: Election of Directors,” “Executive Compensation,” “Compensation Committee Interlocks and Insider Participation” and “Compensation Committee Report”, to be filed with the Securities and Exchange Commission on or prior to April 30, 2017, and is incorporated herein by reference.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The information required by this item will be contained in the Proxy Statement under the headings “Executive Compensation” and “Control Persons and Principal Stockholders”, to be filed with the Securities and Exchange Commission on or prior to April 30, 2017, and is incorporated herein by reference.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ind w:left="40" w:right="599" w:firstLine="270"/>
        <w:spacing w:after="0" w:line="264" w:lineRule="auto"/>
        <w:rPr>
          <w:sz w:val="20"/>
          <w:szCs w:val="20"/>
          <w:color w:val="auto"/>
        </w:rPr>
      </w:pPr>
      <w:r>
        <w:rPr>
          <w:rFonts w:ascii="Arial" w:cs="Arial" w:eastAsia="Arial" w:hAnsi="Arial"/>
          <w:sz w:val="18"/>
          <w:szCs w:val="18"/>
          <w:color w:val="auto"/>
        </w:rPr>
        <w:t>The information required by this item will be contained in the Proxy Statement under the headings “Transactions with Related Persons” and “Proposal 1: Election of Directors”, to be filed with the Securities and Exchange Commission on or prior to April 30, 2017, and is incorporated herein by reference.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information required by this item will be contained in the Proxy Statement under the heading “Proposal 2: Ratification of Independent Registered Public Accounting Firm”, to be filed with the Securities and Exchange Commission on or prior to April 30, 2017, and is incorporated herein by reference.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300" w:hanging="252"/>
        <w:spacing w:after="0"/>
        <w:tabs>
          <w:tab w:leader="none" w:pos="30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Documents filed as part of this report:</w:t>
      </w:r>
    </w:p>
    <w:p>
      <w:pPr>
        <w:spacing w:after="0" w:line="117" w:lineRule="exact"/>
        <w:rPr>
          <w:rFonts w:ascii="Arial" w:cs="Arial" w:eastAsia="Arial" w:hAnsi="Arial"/>
          <w:sz w:val="18"/>
          <w:szCs w:val="18"/>
          <w:i w:val="1"/>
          <w:iCs w:val="1"/>
          <w:color w:val="auto"/>
        </w:rPr>
      </w:pPr>
    </w:p>
    <w:p>
      <w:pPr>
        <w:ind w:left="320" w:right="539" w:firstLine="268"/>
        <w:spacing w:after="0" w:line="277" w:lineRule="auto"/>
        <w:tabs>
          <w:tab w:leader="none" w:pos="77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For a list of the consolidated financial information included herein, see Index to the Consolidated Financial Statements on page F-</w:t>
      </w:r>
      <w:hyperlink w:anchor="page79">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320" w:right="559" w:firstLine="268"/>
        <w:spacing w:after="0" w:line="277" w:lineRule="auto"/>
        <w:tabs>
          <w:tab w:leader="none" w:pos="77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For a list of the other financial statements and financial statement schedules included herein, see Index to Other Financial Statements and Financial Statement Schedules on page S-</w:t>
      </w:r>
      <w:hyperlink w:anchor="page137">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60" w:hanging="172"/>
        <w:spacing w:after="0"/>
        <w:tabs>
          <w:tab w:leader="none" w:pos="7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For a list of other exhibits included herein, see Exhibit List on page E-</w:t>
      </w:r>
      <w:hyperlink w:anchor="page175">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739" w:firstLine="8"/>
        <w:spacing w:after="0" w:line="277" w:lineRule="auto"/>
        <w:tabs>
          <w:tab w:leader="none" w:pos="29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Exhibits required by Item 601 of Regulation S-K. </w:t>
      </w:r>
      <w:r>
        <w:rPr>
          <w:rFonts w:ascii="Arial" w:cs="Arial" w:eastAsia="Arial" w:hAnsi="Arial"/>
          <w:sz w:val="18"/>
          <w:szCs w:val="18"/>
          <w:color w:val="auto"/>
        </w:rPr>
        <w:t>Reference is made to the Exhibit List filed as a part of this report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on page E-</w:t>
      </w:r>
      <w:hyperlink w:anchor="page175">
        <w:r>
          <w:rPr>
            <w:rFonts w:ascii="Arial" w:cs="Arial" w:eastAsia="Arial" w:hAnsi="Arial"/>
            <w:sz w:val="18"/>
            <w:szCs w:val="18"/>
            <w:u w:val="single" w:color="auto"/>
            <w:color w:val="0000EE"/>
          </w:rPr>
          <w:t>1</w:t>
        </w:r>
      </w:hyperlink>
      <w:r>
        <w:rPr>
          <w:rFonts w:ascii="Arial" w:cs="Arial" w:eastAsia="Arial" w:hAnsi="Arial"/>
          <w:sz w:val="18"/>
          <w:szCs w:val="18"/>
          <w:color w:val="auto"/>
        </w:rPr>
        <w:t>. Each of such exhibits is incorporated by reference herein.</w:t>
      </w:r>
    </w:p>
    <w:p>
      <w:pPr>
        <w:spacing w:after="0" w:line="62" w:lineRule="exact"/>
        <w:rPr>
          <w:rFonts w:ascii="Arial" w:cs="Arial" w:eastAsia="Arial" w:hAnsi="Arial"/>
          <w:sz w:val="18"/>
          <w:szCs w:val="18"/>
          <w:color w:val="auto"/>
        </w:rPr>
      </w:pPr>
    </w:p>
    <w:p>
      <w:pPr>
        <w:ind w:left="40" w:right="799"/>
        <w:spacing w:after="0" w:line="308" w:lineRule="auto"/>
        <w:rPr>
          <w:rFonts w:ascii="Arial" w:cs="Arial" w:eastAsia="Arial" w:hAnsi="Arial"/>
          <w:sz w:val="17"/>
          <w:szCs w:val="17"/>
          <w:color w:val="auto"/>
        </w:rPr>
      </w:pPr>
      <w:r>
        <w:rPr>
          <w:rFonts w:ascii="Arial" w:cs="Arial" w:eastAsia="Arial" w:hAnsi="Arial"/>
          <w:sz w:val="17"/>
          <w:szCs w:val="17"/>
          <w:i w:val="1"/>
          <w:iCs w:val="1"/>
          <w:color w:val="auto"/>
        </w:rPr>
        <w:t xml:space="preserve">(c). Other financial statements and financial statement schedules. </w:t>
      </w:r>
      <w:r>
        <w:rPr>
          <w:rFonts w:ascii="Arial" w:cs="Arial" w:eastAsia="Arial" w:hAnsi="Arial"/>
          <w:sz w:val="17"/>
          <w:szCs w:val="17"/>
          <w:color w:val="auto"/>
        </w:rPr>
        <w:t>Reference is made to the Index to Other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Financial Statement Schedules on page S-</w:t>
      </w:r>
      <w:hyperlink w:anchor="page137">
        <w:r>
          <w:rPr>
            <w:rFonts w:ascii="Arial" w:cs="Arial" w:eastAsia="Arial" w:hAnsi="Arial"/>
            <w:sz w:val="17"/>
            <w:szCs w:val="17"/>
            <w:u w:val="single" w:color="auto"/>
            <w:color w:val="0000EE"/>
          </w:rPr>
          <w:t>1</w:t>
        </w:r>
      </w:hyperlink>
      <w:r>
        <w:rPr>
          <w:rFonts w:ascii="Arial" w:cs="Arial" w:eastAsia="Arial" w:hAnsi="Arial"/>
          <w:sz w:val="17"/>
          <w:szCs w:val="17"/>
          <w:color w:val="auto"/>
        </w:rPr>
        <w:t>. Each of such documents is incorporated by reference herein.</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560"/>
        <w:spacing w:after="0"/>
        <w:rPr>
          <w:sz w:val="20"/>
          <w:szCs w:val="20"/>
          <w:color w:val="auto"/>
        </w:rPr>
      </w:pPr>
      <w:r>
        <w:rPr>
          <w:rFonts w:ascii="Arial" w:cs="Arial" w:eastAsia="Arial" w:hAnsi="Arial"/>
          <w:sz w:val="18"/>
          <w:szCs w:val="18"/>
          <w:color w:val="auto"/>
        </w:rPr>
        <w:t>72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7" w:name="page78"/>
    <w:bookmarkEnd w:id="77"/>
    <w:p>
      <w:pPr>
        <w:ind w:left="6"/>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3"/>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6" w:right="659"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1885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96" w:lineRule="exact"/>
        <w:rPr>
          <w:sz w:val="20"/>
          <w:szCs w:val="20"/>
          <w:color w:val="auto"/>
        </w:rPr>
      </w:pPr>
    </w:p>
    <w:p>
      <w:pPr>
        <w:ind w:left="3966"/>
        <w:spacing w:after="0"/>
        <w:rPr>
          <w:sz w:val="20"/>
          <w:szCs w:val="20"/>
          <w:color w:val="auto"/>
        </w:rPr>
      </w:pPr>
      <w:r>
        <w:rPr>
          <w:rFonts w:ascii="Arial" w:cs="Arial" w:eastAsia="Arial" w:hAnsi="Arial"/>
          <w:sz w:val="18"/>
          <w:szCs w:val="18"/>
          <w:color w:val="auto"/>
        </w:rPr>
        <w:t>KCAP Financial, Inc.</w:t>
      </w:r>
    </w:p>
    <w:p>
      <w:pPr>
        <w:spacing w:after="0" w:line="23" w:lineRule="exact"/>
        <w:rPr>
          <w:sz w:val="20"/>
          <w:szCs w:val="20"/>
          <w:color w:val="auto"/>
        </w:rPr>
      </w:pPr>
    </w:p>
    <w:p>
      <w:pPr>
        <w:ind w:left="6"/>
        <w:spacing w:after="0"/>
        <w:tabs>
          <w:tab w:leader="none" w:pos="3946" w:val="left"/>
          <w:tab w:leader="none" w:pos="4306" w:val="left"/>
        </w:tabs>
        <w:rPr>
          <w:sz w:val="20"/>
          <w:szCs w:val="20"/>
          <w:color w:val="auto"/>
        </w:rPr>
      </w:pPr>
      <w:r>
        <w:rPr>
          <w:rFonts w:ascii="Arial" w:cs="Arial" w:eastAsia="Arial" w:hAnsi="Arial"/>
          <w:sz w:val="18"/>
          <w:szCs w:val="18"/>
          <w:color w:val="auto"/>
        </w:rPr>
        <w:t>Date: March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9" w:lineRule="exact"/>
        <w:rPr>
          <w:sz w:val="20"/>
          <w:szCs w:val="20"/>
          <w:color w:val="auto"/>
        </w:rPr>
      </w:pPr>
    </w:p>
    <w:p>
      <w:pPr>
        <w:ind w:left="4326"/>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-130810</wp:posOffset>
            </wp:positionV>
            <wp:extent cx="24701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4326"/>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03" w:lineRule="exact"/>
        <w:rPr>
          <w:sz w:val="20"/>
          <w:szCs w:val="20"/>
          <w:color w:val="auto"/>
        </w:rPr>
      </w:pPr>
    </w:p>
    <w:p>
      <w:pPr>
        <w:jc w:val="center"/>
        <w:ind w:right="473"/>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ind w:left="46" w:right="109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2139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085"/>
          </w:cols>
          <w:pgMar w:left="374" w:top="792" w:right="1440" w:bottom="1440" w:gutter="0" w:footer="0" w:header="0"/>
        </w:sectPr>
      </w:pPr>
    </w:p>
    <w:p>
      <w:pPr>
        <w:spacing w:after="0" w:line="162"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3036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D</w:t>
      </w:r>
      <w:r>
        <w:rPr>
          <w:rFonts w:ascii="Arial" w:cs="Arial" w:eastAsia="Arial" w:hAnsi="Arial"/>
          <w:sz w:val="12"/>
          <w:szCs w:val="12"/>
          <w:color w:val="auto"/>
        </w:rPr>
        <w:t>AYL</w:t>
      </w:r>
      <w:r>
        <w:rPr>
          <w:rFonts w:ascii="Arial" w:cs="Arial" w:eastAsia="Arial" w:hAnsi="Arial"/>
          <w:sz w:val="18"/>
          <w:szCs w:val="18"/>
          <w:color w:val="auto"/>
        </w:rPr>
        <w:t xml:space="preserve"> W. P</w:t>
      </w:r>
      <w:r>
        <w:rPr>
          <w:rFonts w:ascii="Arial" w:cs="Arial" w:eastAsia="Arial" w:hAnsi="Arial"/>
          <w:sz w:val="12"/>
          <w:szCs w:val="12"/>
          <w:color w:val="auto"/>
        </w:rPr>
        <w:t>EARSON</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AYL</w:t>
      </w:r>
      <w:r>
        <w:rPr>
          <w:rFonts w:ascii="Arial" w:cs="Arial" w:eastAsia="Arial" w:hAnsi="Arial"/>
          <w:sz w:val="18"/>
          <w:szCs w:val="18"/>
          <w:b w:val="1"/>
          <w:bCs w:val="1"/>
          <w:color w:val="auto"/>
        </w:rPr>
        <w:t xml:space="preserve"> W. P</w:t>
      </w:r>
      <w:r>
        <w:rPr>
          <w:rFonts w:ascii="Arial" w:cs="Arial" w:eastAsia="Arial" w:hAnsi="Arial"/>
          <w:sz w:val="12"/>
          <w:szCs w:val="12"/>
          <w:b w:val="1"/>
          <w:bCs w:val="1"/>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DWARD</w:t>
      </w:r>
      <w:r>
        <w:rPr>
          <w:rFonts w:ascii="Arial" w:cs="Arial" w:eastAsia="Arial" w:hAnsi="Arial"/>
          <w:sz w:val="18"/>
          <w:szCs w:val="18"/>
          <w:color w:val="auto"/>
        </w:rPr>
        <w:t xml:space="preserve"> U. G</w:t>
      </w:r>
      <w:r>
        <w:rPr>
          <w:rFonts w:ascii="Arial" w:cs="Arial" w:eastAsia="Arial" w:hAnsi="Arial"/>
          <w:sz w:val="12"/>
          <w:szCs w:val="12"/>
          <w:color w:val="auto"/>
        </w:rPr>
        <w:t>ILPIN</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DWARD</w:t>
      </w:r>
      <w:r>
        <w:rPr>
          <w:rFonts w:ascii="Arial" w:cs="Arial" w:eastAsia="Arial" w:hAnsi="Arial"/>
          <w:sz w:val="18"/>
          <w:szCs w:val="18"/>
          <w:b w:val="1"/>
          <w:bCs w:val="1"/>
          <w:color w:val="auto"/>
        </w:rPr>
        <w:t xml:space="preserve"> U. G</w:t>
      </w:r>
      <w:r>
        <w:rPr>
          <w:rFonts w:ascii="Arial" w:cs="Arial" w:eastAsia="Arial" w:hAnsi="Arial"/>
          <w:sz w:val="12"/>
          <w:szCs w:val="12"/>
          <w:b w:val="1"/>
          <w:bCs w:val="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C</w:t>
      </w:r>
      <w:r>
        <w:rPr>
          <w:rFonts w:ascii="Arial" w:cs="Arial" w:eastAsia="Arial" w:hAnsi="Arial"/>
          <w:sz w:val="11"/>
          <w:szCs w:val="11"/>
          <w:color w:val="auto"/>
        </w:rPr>
        <w:t>HRISTOPHER</w:t>
      </w:r>
      <w:r>
        <w:rPr>
          <w:rFonts w:ascii="Arial" w:cs="Arial" w:eastAsia="Arial" w:hAnsi="Arial"/>
          <w:sz w:val="17"/>
          <w:szCs w:val="17"/>
          <w:color w:val="auto"/>
        </w:rPr>
        <w:t xml:space="preserve"> L</w:t>
      </w:r>
      <w:r>
        <w:rPr>
          <w:rFonts w:ascii="Arial" w:cs="Arial" w:eastAsia="Arial" w:hAnsi="Arial"/>
          <w:sz w:val="11"/>
          <w:szCs w:val="11"/>
          <w:color w:val="auto"/>
        </w:rPr>
        <w:t>ACOVARA</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HRISTOPHER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ACOVARA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J</w:t>
      </w:r>
      <w:r>
        <w:rPr>
          <w:rFonts w:ascii="Arial" w:cs="Arial" w:eastAsia="Arial" w:hAnsi="Arial"/>
          <w:sz w:val="12"/>
          <w:szCs w:val="12"/>
          <w:color w:val="auto"/>
        </w:rPr>
        <w:t>OHN</w:t>
      </w:r>
      <w:r>
        <w:rPr>
          <w:rFonts w:ascii="Arial" w:cs="Arial" w:eastAsia="Arial" w:hAnsi="Arial"/>
          <w:sz w:val="18"/>
          <w:szCs w:val="18"/>
          <w:color w:val="auto"/>
        </w:rPr>
        <w:t xml:space="preserve"> W</w:t>
      </w:r>
      <w:r>
        <w:rPr>
          <w:rFonts w:ascii="Arial" w:cs="Arial" w:eastAsia="Arial" w:hAnsi="Arial"/>
          <w:sz w:val="12"/>
          <w:szCs w:val="12"/>
          <w:color w:val="auto"/>
        </w:rPr>
        <w:t>ARD</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2"/>
          <w:szCs w:val="12"/>
          <w:b w:val="1"/>
          <w:bCs w:val="1"/>
          <w:color w:val="auto"/>
        </w:rPr>
        <w:t>OHN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C. M</w:t>
      </w:r>
      <w:r>
        <w:rPr>
          <w:rFonts w:ascii="Arial" w:cs="Arial" w:eastAsia="Arial" w:hAnsi="Arial"/>
          <w:sz w:val="12"/>
          <w:szCs w:val="12"/>
          <w:color w:val="auto"/>
        </w:rPr>
        <w:t>ICHAEL</w:t>
      </w:r>
      <w:r>
        <w:rPr>
          <w:rFonts w:ascii="Arial" w:cs="Arial" w:eastAsia="Arial" w:hAnsi="Arial"/>
          <w:sz w:val="18"/>
          <w:szCs w:val="18"/>
          <w:color w:val="auto"/>
        </w:rPr>
        <w:t xml:space="preserve"> J</w:t>
      </w:r>
      <w:r>
        <w:rPr>
          <w:rFonts w:ascii="Arial" w:cs="Arial" w:eastAsia="Arial" w:hAnsi="Arial"/>
          <w:sz w:val="12"/>
          <w:szCs w:val="12"/>
          <w:color w:val="auto"/>
        </w:rPr>
        <w:t>ACOBI</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 M</w:t>
      </w:r>
      <w:r>
        <w:rPr>
          <w:rFonts w:ascii="Arial" w:cs="Arial" w:eastAsia="Arial" w:hAnsi="Arial"/>
          <w:sz w:val="12"/>
          <w:szCs w:val="12"/>
          <w:b w:val="1"/>
          <w:bCs w:val="1"/>
          <w:color w:val="auto"/>
        </w:rPr>
        <w:t>ICHAEL</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A</w:t>
      </w:r>
      <w:r>
        <w:rPr>
          <w:rFonts w:ascii="Arial" w:cs="Arial" w:eastAsia="Arial" w:hAnsi="Arial"/>
          <w:sz w:val="12"/>
          <w:szCs w:val="12"/>
          <w:color w:val="auto"/>
        </w:rPr>
        <w:t>LBERT</w:t>
      </w:r>
      <w:r>
        <w:rPr>
          <w:rFonts w:ascii="Arial" w:cs="Arial" w:eastAsia="Arial" w:hAnsi="Arial"/>
          <w:sz w:val="18"/>
          <w:szCs w:val="18"/>
          <w:color w:val="auto"/>
        </w:rPr>
        <w:t xml:space="preserve"> G. P</w:t>
      </w:r>
      <w:r>
        <w:rPr>
          <w:rFonts w:ascii="Arial" w:cs="Arial" w:eastAsia="Arial" w:hAnsi="Arial"/>
          <w:sz w:val="12"/>
          <w:szCs w:val="12"/>
          <w:color w:val="auto"/>
        </w:rPr>
        <w:t>ASTINO</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LBERT</w:t>
      </w:r>
      <w:r>
        <w:rPr>
          <w:rFonts w:ascii="Arial" w:cs="Arial" w:eastAsia="Arial" w:hAnsi="Arial"/>
          <w:sz w:val="18"/>
          <w:szCs w:val="18"/>
          <w:b w:val="1"/>
          <w:bCs w:val="1"/>
          <w:color w:val="auto"/>
        </w:rPr>
        <w:t xml:space="preserve"> G. P</w:t>
      </w:r>
      <w:r>
        <w:rPr>
          <w:rFonts w:ascii="Arial" w:cs="Arial" w:eastAsia="Arial" w:hAnsi="Arial"/>
          <w:sz w:val="12"/>
          <w:szCs w:val="12"/>
          <w:b w:val="1"/>
          <w:bCs w:val="1"/>
          <w:color w:val="auto"/>
        </w:rPr>
        <w:t>ASTINO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C. T</w:t>
      </w:r>
      <w:r>
        <w:rPr>
          <w:rFonts w:ascii="Arial" w:cs="Arial" w:eastAsia="Arial" w:hAnsi="Arial"/>
          <w:sz w:val="11"/>
          <w:szCs w:val="11"/>
          <w:color w:val="auto"/>
        </w:rPr>
        <w:t>URNEY</w:t>
      </w:r>
      <w:r>
        <w:rPr>
          <w:rFonts w:ascii="Arial" w:cs="Arial" w:eastAsia="Arial" w:hAnsi="Arial"/>
          <w:sz w:val="17"/>
          <w:szCs w:val="17"/>
          <w:color w:val="auto"/>
        </w:rPr>
        <w:t xml:space="preserve"> S</w:t>
      </w:r>
      <w:r>
        <w:rPr>
          <w:rFonts w:ascii="Arial" w:cs="Arial" w:eastAsia="Arial" w:hAnsi="Arial"/>
          <w:sz w:val="11"/>
          <w:szCs w:val="11"/>
          <w:color w:val="auto"/>
        </w:rPr>
        <w:t>TEVENS</w:t>
      </w:r>
      <w:r>
        <w:rPr>
          <w:rFonts w:ascii="Arial" w:cs="Arial" w:eastAsia="Arial" w:hAnsi="Arial"/>
          <w:sz w:val="17"/>
          <w:szCs w:val="17"/>
          <w:color w:val="auto"/>
        </w:rPr>
        <w:t>, J</w:t>
      </w:r>
      <w:r>
        <w:rPr>
          <w:rFonts w:ascii="Arial" w:cs="Arial" w:eastAsia="Arial" w:hAnsi="Arial"/>
          <w:sz w:val="11"/>
          <w:szCs w:val="11"/>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3036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 w:lineRule="exact"/>
        <w:rPr>
          <w:sz w:val="20"/>
          <w:szCs w:val="20"/>
          <w:color w:val="auto"/>
        </w:rPr>
      </w:pPr>
    </w:p>
    <w:p>
      <w:pPr>
        <w:ind w:left="6" w:right="120" w:hanging="6"/>
        <w:spacing w:after="0" w:line="258" w:lineRule="auto"/>
        <w:tabs>
          <w:tab w:leader="none" w:pos="22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URNEY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TEVENS</w:t>
      </w:r>
      <w:r>
        <w:rPr>
          <w:rFonts w:ascii="Arial" w:cs="Arial" w:eastAsia="Arial" w:hAnsi="Arial"/>
          <w:sz w:val="18"/>
          <w:szCs w:val="18"/>
          <w:b w:val="1"/>
          <w:bCs w:val="1"/>
          <w:color w:val="auto"/>
        </w:rPr>
        <w:t>, J</w:t>
      </w:r>
      <w:r>
        <w:rPr>
          <w:rFonts w:ascii="Arial" w:cs="Arial" w:eastAsia="Arial" w:hAnsi="Arial"/>
          <w:sz w:val="12"/>
          <w:szCs w:val="12"/>
          <w:b w:val="1"/>
          <w:bCs w:val="1"/>
          <w:color w:val="auto"/>
        </w:rPr>
        <w:t>R</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D</w:t>
      </w:r>
      <w:r>
        <w:rPr>
          <w:rFonts w:ascii="Arial" w:cs="Arial" w:eastAsia="Arial" w:hAnsi="Arial"/>
          <w:sz w:val="12"/>
          <w:szCs w:val="12"/>
          <w:color w:val="auto"/>
        </w:rPr>
        <w:t>EAN</w:t>
      </w:r>
      <w:r>
        <w:rPr>
          <w:rFonts w:ascii="Arial" w:cs="Arial" w:eastAsia="Arial" w:hAnsi="Arial"/>
          <w:sz w:val="18"/>
          <w:szCs w:val="18"/>
          <w:color w:val="auto"/>
        </w:rPr>
        <w:t xml:space="preserve"> C. K</w:t>
      </w:r>
      <w:r>
        <w:rPr>
          <w:rFonts w:ascii="Arial" w:cs="Arial" w:eastAsia="Arial" w:hAnsi="Arial"/>
          <w:sz w:val="12"/>
          <w:szCs w:val="12"/>
          <w:color w:val="auto"/>
        </w:rPr>
        <w:t>EHLER</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EAN</w:t>
      </w:r>
      <w:r>
        <w:rPr>
          <w:rFonts w:ascii="Arial" w:cs="Arial" w:eastAsia="Arial" w:hAnsi="Arial"/>
          <w:sz w:val="18"/>
          <w:szCs w:val="18"/>
          <w:b w:val="1"/>
          <w:bCs w:val="1"/>
          <w:color w:val="auto"/>
        </w:rPr>
        <w:t xml:space="preserve"> C. K</w:t>
      </w:r>
      <w:r>
        <w:rPr>
          <w:rFonts w:ascii="Arial" w:cs="Arial" w:eastAsia="Arial" w:hAnsi="Arial"/>
          <w:sz w:val="12"/>
          <w:szCs w:val="12"/>
          <w:b w:val="1"/>
          <w:bCs w:val="1"/>
          <w:color w:val="auto"/>
        </w:rPr>
        <w:t>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95"/>
        </w:trPr>
        <w:tc>
          <w:tcPr>
            <w:tcW w:w="4540" w:type="dxa"/>
            <w:vAlign w:val="bottom"/>
          </w:tcPr>
          <w:p>
            <w:pPr>
              <w:spacing w:after="0" w:line="195" w:lineRule="exact"/>
              <w:rPr>
                <w:sz w:val="20"/>
                <w:szCs w:val="20"/>
                <w:color w:val="auto"/>
              </w:rPr>
            </w:pPr>
            <w:r>
              <w:rPr>
                <w:rFonts w:ascii="Arial" w:cs="Arial" w:eastAsia="Arial" w:hAnsi="Arial"/>
                <w:sz w:val="18"/>
                <w:szCs w:val="18"/>
                <w:color w:val="auto"/>
                <w:w w:val="98"/>
              </w:rPr>
              <w:t>President and Chief Executive Officer (principal executive</w:t>
            </w:r>
          </w:p>
        </w:tc>
        <w:tc>
          <w:tcPr>
            <w:tcW w:w="16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Arial" w:cs="Arial" w:eastAsia="Arial" w:hAnsi="Arial"/>
                <w:sz w:val="18"/>
                <w:szCs w:val="18"/>
                <w:color w:val="auto"/>
                <w:w w:val="92"/>
              </w:rPr>
              <w:t>March 9, 2017</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officer) and Member of the Board of Directors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Chief Financial Officer, Secretary and Treasurer</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2017</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2017</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2017</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2017</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2017</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2017</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2017</w:t>
            </w:r>
          </w:p>
        </w:tc>
      </w:tr>
    </w:tbl>
    <w:p>
      <w:pPr>
        <w:spacing w:after="0" w:line="406" w:lineRule="exact"/>
        <w:rPr>
          <w:sz w:val="20"/>
          <w:szCs w:val="20"/>
          <w:color w:val="auto"/>
        </w:rPr>
      </w:pPr>
    </w:p>
    <w:p>
      <w:pPr>
        <w:sectPr>
          <w:pgSz w:w="11900" w:h="16838" w:orient="portrait"/>
          <w:cols w:equalWidth="0" w:num="2">
            <w:col w:w="1846" w:space="360"/>
            <w:col w:w="7879"/>
          </w:cols>
          <w:pgMar w:left="374" w:top="792"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4566"/>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119380</wp:posOffset>
            </wp:positionV>
            <wp:extent cx="6114415"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85"/>
          </w:cols>
          <w:pgMar w:left="374" w:top="792" w:right="1440"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7800" w:type="dxa"/>
            <w:vAlign w:val="bottom"/>
            <w:gridSpan w:val="1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20"/>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4660" w:type="dxa"/>
            <w:vAlign w:val="bottom"/>
            <w:gridSpan w:val="8"/>
          </w:tcPr>
          <w:p>
            <w:pPr>
              <w:ind w:left="40"/>
              <w:spacing w:after="0"/>
              <w:rPr>
                <w:sz w:val="20"/>
                <w:szCs w:val="20"/>
                <w:color w:val="auto"/>
              </w:rPr>
            </w:pPr>
            <w:r>
              <w:rPr>
                <w:rFonts w:ascii="Arial" w:cs="Arial" w:eastAsia="Arial" w:hAnsi="Arial"/>
                <w:sz w:val="18"/>
                <w:szCs w:val="18"/>
                <w:b w:val="1"/>
                <w:bCs w:val="1"/>
                <w:color w:val="auto"/>
              </w:rPr>
              <w:t>INDEX TO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8"/>
        </w:trPr>
        <w:tc>
          <w:tcPr>
            <w:tcW w:w="140" w:type="dxa"/>
            <w:vAlign w:val="bottom"/>
          </w:tcPr>
          <w:p>
            <w:pPr>
              <w:spacing w:after="0"/>
              <w:rPr>
                <w:sz w:val="24"/>
                <w:szCs w:val="24"/>
                <w:color w:val="auto"/>
              </w:rPr>
            </w:pPr>
          </w:p>
        </w:tc>
        <w:tc>
          <w:tcPr>
            <w:tcW w:w="7800" w:type="dxa"/>
            <w:vAlign w:val="bottom"/>
            <w:gridSpan w:val="1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Reports of Independent Registered Public Accounting Firms</w:t>
              </w:r>
            </w:hyperlink>
          </w:p>
        </w:tc>
        <w:tc>
          <w:tcPr>
            <w:tcW w:w="400" w:type="dxa"/>
            <w:vAlign w:val="bottom"/>
            <w:gridSpan w:val="2"/>
          </w:tcPr>
          <w:p>
            <w:pPr>
              <w:jc w:val="right"/>
              <w:ind w:right="60"/>
              <w:spacing w:after="0"/>
              <w:rPr>
                <w:rFonts w:ascii="Arial" w:cs="Arial" w:eastAsia="Arial" w:hAnsi="Arial"/>
                <w:sz w:val="18"/>
                <w:szCs w:val="18"/>
                <w:color w:val="0000EE"/>
              </w:rPr>
            </w:pPr>
            <w:hyperlink w:anchor="page80">
              <w:r>
                <w:rPr>
                  <w:rFonts w:ascii="Arial" w:cs="Arial" w:eastAsia="Arial" w:hAnsi="Arial"/>
                  <w:sz w:val="18"/>
                  <w:szCs w:val="18"/>
                  <w:color w:val="0000EE"/>
                </w:rPr>
                <w:t>F-2</w:t>
              </w:r>
            </w:hyperlink>
          </w:p>
        </w:tc>
        <w:tc>
          <w:tcPr>
            <w:tcW w:w="1260" w:type="dxa"/>
            <w:vAlign w:val="bottom"/>
          </w:tcPr>
          <w:p>
            <w:pPr>
              <w:spacing w:after="0"/>
              <w:rPr>
                <w:sz w:val="24"/>
                <w:szCs w:val="24"/>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Balance Sheets as of December 31, 2016 and 2015</w:t>
              </w:r>
            </w:hyperlink>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F-4</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800" w:type="dxa"/>
            <w:vAlign w:val="bottom"/>
            <w:gridSpan w:val="12"/>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Operations for the years ended December 31, 2016, 2015 and 2014</w:t>
              </w:r>
            </w:hyperlink>
          </w:p>
        </w:tc>
        <w:tc>
          <w:tcPr>
            <w:tcW w:w="400" w:type="dxa"/>
            <w:vAlign w:val="bottom"/>
            <w:gridSpan w:val="2"/>
          </w:tcPr>
          <w:p>
            <w:pPr>
              <w:jc w:val="right"/>
              <w:ind w:right="60"/>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F-5</w:t>
              </w:r>
            </w:hyperlink>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Consolidated Statements of Changes in Net Assets for the years ended December 31, 2016, 2015, and</w:t>
              </w:r>
            </w:hyperlink>
          </w:p>
        </w:tc>
        <w:tc>
          <w:tcPr>
            <w:tcW w:w="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540" w:type="dxa"/>
            <w:vAlign w:val="bottom"/>
            <w:tcBorders>
              <w:top w:val="single" w:sz="8" w:color="0000EE"/>
            </w:tcBorders>
            <w:gridSpan w:val="2"/>
            <w:shd w:val="clear" w:color="auto" w:fill="CCEEFF"/>
          </w:tcPr>
          <w:p>
            <w:pPr>
              <w:jc w:val="right"/>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2014</w:t>
              </w:r>
            </w:hyperlink>
          </w:p>
        </w:tc>
        <w:tc>
          <w:tcPr>
            <w:tcW w:w="1000" w:type="dxa"/>
            <w:vAlign w:val="bottom"/>
            <w:tcBorders>
              <w:top w:val="single" w:sz="8" w:color="0000EE"/>
            </w:tcBorders>
            <w:shd w:val="clear" w:color="auto" w:fill="CCEEFF"/>
          </w:tcPr>
          <w:p>
            <w:pPr>
              <w:spacing w:after="0"/>
              <w:rPr>
                <w:sz w:val="17"/>
                <w:szCs w:val="17"/>
                <w:color w:val="auto"/>
              </w:rPr>
            </w:pPr>
          </w:p>
        </w:tc>
        <w:tc>
          <w:tcPr>
            <w:tcW w:w="1600" w:type="dxa"/>
            <w:vAlign w:val="bottom"/>
            <w:tcBorders>
              <w:top w:val="single" w:sz="8" w:color="0000EE"/>
            </w:tcBorders>
            <w:shd w:val="clear" w:color="auto" w:fill="CCEEFF"/>
          </w:tcPr>
          <w:p>
            <w:pPr>
              <w:spacing w:after="0"/>
              <w:rPr>
                <w:sz w:val="17"/>
                <w:szCs w:val="17"/>
                <w:color w:val="auto"/>
              </w:rPr>
            </w:pPr>
          </w:p>
        </w:tc>
        <w:tc>
          <w:tcPr>
            <w:tcW w:w="12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182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gridSpan w:val="2"/>
            <w:shd w:val="clear" w:color="auto" w:fill="CCEEFF"/>
          </w:tcPr>
          <w:p>
            <w:pPr>
              <w:jc w:val="right"/>
              <w:ind w:right="60"/>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F-6</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800" w:type="dxa"/>
            <w:vAlign w:val="bottom"/>
            <w:gridSpan w:val="12"/>
          </w:tcPr>
          <w:p>
            <w:pPr>
              <w:spacing w:after="0" w:line="176" w:lineRule="exact"/>
              <w:rPr>
                <w:rFonts w:ascii="Arial" w:cs="Arial" w:eastAsia="Arial" w:hAnsi="Arial"/>
                <w:sz w:val="18"/>
                <w:szCs w:val="18"/>
                <w:color w:val="0000EE"/>
                <w:w w:val="99"/>
              </w:rPr>
            </w:pPr>
            <w:hyperlink w:anchor="page85">
              <w:r>
                <w:rPr>
                  <w:rFonts w:ascii="Arial" w:cs="Arial" w:eastAsia="Arial" w:hAnsi="Arial"/>
                  <w:sz w:val="18"/>
                  <w:szCs w:val="18"/>
                  <w:color w:val="0000EE"/>
                  <w:w w:val="99"/>
                </w:rPr>
                <w:t>Consolidated Statements of Cash Flows for the years ended December 31, 2016, 2015, and 2014</w:t>
              </w:r>
            </w:hyperlink>
          </w:p>
        </w:tc>
        <w:tc>
          <w:tcPr>
            <w:tcW w:w="400" w:type="dxa"/>
            <w:vAlign w:val="bottom"/>
            <w:gridSpan w:val="2"/>
          </w:tcPr>
          <w:p>
            <w:pPr>
              <w:jc w:val="right"/>
              <w:ind w:right="60"/>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F-7</w:t>
              </w:r>
            </w:hyperlink>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Schedules of Investments as of December 31, 2016 and 2015</w:t>
              </w:r>
            </w:hyperlink>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F-8</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800" w:type="dxa"/>
            <w:vAlign w:val="bottom"/>
            <w:gridSpan w:val="12"/>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Financial Highlights for the years ended December 31, 2016, 2015, 2014, 2013, and 2012</w:t>
              </w:r>
            </w:hyperlink>
          </w:p>
        </w:tc>
        <w:tc>
          <w:tcPr>
            <w:tcW w:w="400" w:type="dxa"/>
            <w:vAlign w:val="bottom"/>
            <w:gridSpan w:val="2"/>
          </w:tcPr>
          <w:p>
            <w:pPr>
              <w:jc w:val="right"/>
              <w:ind w:right="60"/>
              <w:spacing w:after="0" w:line="17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F-25</w:t>
              </w:r>
            </w:hyperlink>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Notes to Consolidated Financial Statements</w:t>
              </w:r>
            </w:hyperlink>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F-26</w:t>
              </w:r>
            </w:hyperlink>
          </w:p>
        </w:tc>
        <w:tc>
          <w:tcPr>
            <w:tcW w:w="1260" w:type="dxa"/>
            <w:vAlign w:val="bottom"/>
          </w:tcPr>
          <w:p>
            <w:pPr>
              <w:spacing w:after="0"/>
              <w:rPr>
                <w:sz w:val="17"/>
                <w:szCs w:val="17"/>
                <w:color w:val="auto"/>
              </w:rPr>
            </w:pPr>
          </w:p>
        </w:tc>
      </w:tr>
      <w:tr>
        <w:trPr>
          <w:trHeight w:val="770"/>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400" w:type="dxa"/>
            <w:vAlign w:val="bottom"/>
            <w:tcBorders>
              <w:top w:val="single" w:sz="8" w:color="CCEEFF"/>
            </w:tcBorders>
            <w:gridSpan w:val="6"/>
          </w:tcPr>
          <w:p>
            <w:pPr>
              <w:ind w:left="120"/>
              <w:spacing w:after="0"/>
              <w:rPr>
                <w:sz w:val="20"/>
                <w:szCs w:val="20"/>
                <w:color w:val="auto"/>
              </w:rPr>
            </w:pPr>
            <w:r>
              <w:rPr>
                <w:rFonts w:ascii="Arial" w:cs="Arial" w:eastAsia="Arial" w:hAnsi="Arial"/>
                <w:sz w:val="18"/>
                <w:szCs w:val="18"/>
                <w:color w:val="auto"/>
              </w:rPr>
              <w:t>F-1</w:t>
            </w: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82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-1937385</wp:posOffset>
            </wp:positionV>
            <wp:extent cx="52139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89" w:right="1440"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KCAP Financial, Inc.</w:t>
      </w:r>
    </w:p>
    <w:p>
      <w:pPr>
        <w:spacing w:after="0" w:line="103" w:lineRule="exact"/>
        <w:rPr>
          <w:sz w:val="20"/>
          <w:szCs w:val="20"/>
          <w:color w:val="auto"/>
        </w:rPr>
      </w:pPr>
    </w:p>
    <w:p>
      <w:pPr>
        <w:ind w:left="40" w:right="719" w:firstLine="270"/>
        <w:spacing w:after="0" w:line="288" w:lineRule="auto"/>
        <w:rPr>
          <w:sz w:val="20"/>
          <w:szCs w:val="20"/>
          <w:color w:val="auto"/>
        </w:rPr>
      </w:pPr>
      <w:r>
        <w:rPr>
          <w:rFonts w:ascii="Arial" w:cs="Arial" w:eastAsia="Arial" w:hAnsi="Arial"/>
          <w:sz w:val="16"/>
          <w:szCs w:val="16"/>
          <w:color w:val="auto"/>
        </w:rPr>
        <w:t>We have audited the accompanying consolidated balance sheets of KCAP Financial, Inc. (the “Company”), including the consolidated schedules of investments, as of December 31, 2016 and 2015, and the related consolidated statements of operations, changes in net assets, and cash flows and the financial highlights for each of the three years in the period ended December 31,</w:t>
      </w:r>
    </w:p>
    <w:p>
      <w:pPr>
        <w:ind w:left="40" w:right="519"/>
        <w:spacing w:after="0" w:line="261" w:lineRule="auto"/>
        <w:rPr>
          <w:sz w:val="20"/>
          <w:szCs w:val="20"/>
          <w:color w:val="auto"/>
        </w:rPr>
      </w:pPr>
      <w:r>
        <w:rPr>
          <w:rFonts w:ascii="Arial" w:cs="Arial" w:eastAsia="Arial" w:hAnsi="Arial"/>
          <w:sz w:val="18"/>
          <w:szCs w:val="18"/>
          <w:color w:val="auto"/>
        </w:rPr>
        <w:t>2016. These financial statements and financial highlights are the responsibility of the Company’s management. Our responsibility is to express an opinion on these financial statements and financial highlights based on our audits.</w:t>
      </w:r>
    </w:p>
    <w:p>
      <w:pPr>
        <w:spacing w:after="0" w:line="76"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and financial highlights. An audit also includes assessing the accounting principles used and significant estimates made by management, as well as evaluating the overall financial statement presentation. Our procedures included confirmation of securities owned as of December 31, 2016 and 2015, by correspondence with the custodians and management or agents of the underlying investments. We believe that our audits provide a reasonable basis for our opinion.</w:t>
      </w:r>
    </w:p>
    <w:p>
      <w:pPr>
        <w:spacing w:after="0" w:line="59" w:lineRule="exact"/>
        <w:rPr>
          <w:sz w:val="20"/>
          <w:szCs w:val="20"/>
          <w:color w:val="auto"/>
        </w:rPr>
      </w:pPr>
    </w:p>
    <w:p>
      <w:pPr>
        <w:ind w:left="40" w:right="799" w:firstLine="270"/>
        <w:spacing w:after="0" w:line="279" w:lineRule="auto"/>
        <w:rPr>
          <w:sz w:val="20"/>
          <w:szCs w:val="20"/>
          <w:color w:val="auto"/>
        </w:rPr>
      </w:pPr>
      <w:r>
        <w:rPr>
          <w:rFonts w:ascii="Arial" w:cs="Arial" w:eastAsia="Arial" w:hAnsi="Arial"/>
          <w:sz w:val="17"/>
          <w:szCs w:val="17"/>
          <w:color w:val="auto"/>
        </w:rPr>
        <w:t>In our opinion, the financial statements and financial highlights referred to above present fairly, in all material respects, the consolidated financial position of KCAP Financial, Inc. at December 31, 2016 and 2015, and the consolidated results of their operations, changes in their net assets, and cash flows and the financial highlights for each of the three years in the period ended December 31, 2016, in conformity with U.S. generally accepted accounting principles.</w:t>
      </w:r>
    </w:p>
    <w:p>
      <w:pPr>
        <w:spacing w:after="0" w:line="63" w:lineRule="exact"/>
        <w:rPr>
          <w:sz w:val="20"/>
          <w:szCs w:val="20"/>
          <w:color w:val="auto"/>
        </w:rPr>
      </w:pPr>
    </w:p>
    <w:p>
      <w:pPr>
        <w:ind w:left="40" w:right="699" w:firstLine="27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KCAP Financial, Inc.’s internal control over financial reporting as of December 31, 2016, based on criteria established in Internal Control-Integrated Framework issued by the Committee of Sponsoring Organizations of the Treadway Commission (2013 framework) and our report dated March 9, 2017 expressed an unqualified opinion thereon.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2017</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KCAP Financial, Inc</w:t>
      </w:r>
      <w:r>
        <w:rPr>
          <w:rFonts w:ascii="Arial" w:cs="Arial" w:eastAsia="Arial" w:hAnsi="Arial"/>
          <w:sz w:val="18"/>
          <w:szCs w:val="18"/>
          <w:color w:val="auto"/>
        </w:rPr>
        <w:t>.</w:t>
      </w:r>
    </w:p>
    <w:p>
      <w:pPr>
        <w:spacing w:after="0" w:line="103" w:lineRule="exact"/>
        <w:rPr>
          <w:sz w:val="20"/>
          <w:szCs w:val="20"/>
          <w:color w:val="auto"/>
        </w:rPr>
      </w:pPr>
    </w:p>
    <w:p>
      <w:pPr>
        <w:ind w:left="40" w:right="659"/>
        <w:spacing w:after="0" w:line="273" w:lineRule="auto"/>
        <w:rPr>
          <w:sz w:val="20"/>
          <w:szCs w:val="20"/>
          <w:color w:val="auto"/>
        </w:rPr>
      </w:pPr>
      <w:r>
        <w:rPr>
          <w:rFonts w:ascii="Arial" w:cs="Arial" w:eastAsia="Arial" w:hAnsi="Arial"/>
          <w:sz w:val="17"/>
          <w:szCs w:val="17"/>
          <w:color w:val="auto"/>
        </w:rPr>
        <w:t>We have audited KCAP Financial, Inc.’s internal control over financial reporting as of December 31, 2016, based on criteria established in Internal Control — Integrated Framework issued by the Committee of Sponsoring Organizations of the Treadway Commission “(2013 framework),” (the COSO criteria). KCAP Financial,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70" w:lineRule="exact"/>
        <w:rPr>
          <w:sz w:val="20"/>
          <w:szCs w:val="20"/>
          <w:color w:val="auto"/>
        </w:rPr>
      </w:pPr>
    </w:p>
    <w:p>
      <w:pPr>
        <w:ind w:left="40" w:right="539"/>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ind w:left="40" w:right="519"/>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left="40" w:right="599"/>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jc w:val="both"/>
        <w:ind w:left="40" w:right="799"/>
        <w:spacing w:after="0" w:line="277" w:lineRule="auto"/>
        <w:rPr>
          <w:sz w:val="20"/>
          <w:szCs w:val="20"/>
          <w:color w:val="auto"/>
        </w:rPr>
      </w:pPr>
      <w:r>
        <w:rPr>
          <w:rFonts w:ascii="Arial" w:cs="Arial" w:eastAsia="Arial" w:hAnsi="Arial"/>
          <w:sz w:val="18"/>
          <w:szCs w:val="18"/>
          <w:color w:val="auto"/>
        </w:rPr>
        <w:t>In our opinion, KCAP Financial, Inc. maintained, in all material respects, effective internal control over financial reporting as of December 31, 2016, based on the COSO criteria.</w:t>
      </w:r>
    </w:p>
    <w:p>
      <w:pPr>
        <w:spacing w:after="0" w:line="62" w:lineRule="exact"/>
        <w:rPr>
          <w:sz w:val="20"/>
          <w:szCs w:val="20"/>
          <w:color w:val="auto"/>
        </w:rPr>
      </w:pPr>
    </w:p>
    <w:p>
      <w:pPr>
        <w:jc w:val="both"/>
        <w:ind w:left="40" w:right="779"/>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financial statements of KCAP Financial, Inc. and our report dated March 9, 2017 expressed an unqualified opinion thereon.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2017</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1" w:name="page82"/>
    <w:bookmarkEnd w:id="8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4"/>
                <w:szCs w:val="14"/>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Money market accounts (cost: 2016 – $28,699,269; 2015 – $2,129,381)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28,699,269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2,129,381</w:t>
            </w:r>
          </w:p>
        </w:tc>
      </w:tr>
      <w:tr>
        <w:trPr>
          <w:trHeight w:val="202"/>
        </w:trPr>
        <w:tc>
          <w:tcPr>
            <w:tcW w:w="5920" w:type="dxa"/>
            <w:vAlign w:val="bottom"/>
          </w:tcPr>
          <w:p>
            <w:pPr>
              <w:ind w:left="200"/>
              <w:spacing w:after="0" w:line="201" w:lineRule="exact"/>
              <w:rPr>
                <w:sz w:val="20"/>
                <w:szCs w:val="20"/>
                <w:color w:val="auto"/>
              </w:rPr>
            </w:pPr>
            <w:r>
              <w:rPr>
                <w:rFonts w:ascii="Arial" w:cs="Arial" w:eastAsia="Arial" w:hAnsi="Arial"/>
                <w:sz w:val="18"/>
                <w:szCs w:val="18"/>
                <w:color w:val="auto"/>
              </w:rPr>
              <w:t>Debt securities (amortized cost: 2016 – $249,520,234;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920" w:type="dxa"/>
            <w:vAlign w:val="bottom"/>
          </w:tcPr>
          <w:p>
            <w:pPr>
              <w:ind w:left="380"/>
              <w:spacing w:after="0"/>
              <w:rPr>
                <w:sz w:val="20"/>
                <w:szCs w:val="20"/>
                <w:color w:val="auto"/>
              </w:rPr>
            </w:pPr>
            <w:r>
              <w:rPr>
                <w:rFonts w:ascii="Arial" w:cs="Arial" w:eastAsia="Arial" w:hAnsi="Arial"/>
                <w:sz w:val="18"/>
                <w:szCs w:val="18"/>
                <w:color w:val="auto"/>
              </w:rPr>
              <w:t>2015 – $298,308,845)</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238,343,330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284,639,244</w:t>
            </w:r>
          </w:p>
        </w:tc>
      </w:tr>
      <w:tr>
        <w:trPr>
          <w:trHeight w:val="202"/>
        </w:trPr>
        <w:tc>
          <w:tcPr>
            <w:tcW w:w="5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CLO Fund Securities managed by affiliates (amortized cost: 2016 –</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$71,734,809; 2015 – $77,764,568)</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51,908,784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53,557,570</w:t>
            </w:r>
          </w:p>
        </w:tc>
      </w:tr>
      <w:tr>
        <w:trPr>
          <w:trHeight w:val="202"/>
        </w:trPr>
        <w:tc>
          <w:tcPr>
            <w:tcW w:w="5920" w:type="dxa"/>
            <w:vAlign w:val="bottom"/>
          </w:tcPr>
          <w:p>
            <w:pPr>
              <w:ind w:left="200"/>
              <w:spacing w:after="0" w:line="201" w:lineRule="exact"/>
              <w:rPr>
                <w:sz w:val="20"/>
                <w:szCs w:val="20"/>
                <w:color w:val="auto"/>
              </w:rPr>
            </w:pPr>
            <w:r>
              <w:rPr>
                <w:rFonts w:ascii="Arial" w:cs="Arial" w:eastAsia="Arial" w:hAnsi="Arial"/>
                <w:sz w:val="18"/>
                <w:szCs w:val="18"/>
                <w:color w:val="auto"/>
                <w:w w:val="99"/>
              </w:rPr>
              <w:t>CLO Fund Securities managed by non-affiliates (amortized cost: 2016 –</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920" w:type="dxa"/>
            <w:vAlign w:val="bottom"/>
          </w:tcPr>
          <w:p>
            <w:pPr>
              <w:ind w:left="420"/>
              <w:spacing w:after="0"/>
              <w:rPr>
                <w:sz w:val="20"/>
                <w:szCs w:val="20"/>
                <w:color w:val="auto"/>
              </w:rPr>
            </w:pPr>
            <w:r>
              <w:rPr>
                <w:rFonts w:ascii="Arial" w:cs="Arial" w:eastAsia="Arial" w:hAnsi="Arial"/>
                <w:sz w:val="18"/>
                <w:szCs w:val="18"/>
                <w:color w:val="auto"/>
              </w:rPr>
              <w:t>$5,116,508; 2015 – $5,450,379)</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2,265,566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2,314,812</w:t>
            </w: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 (cost: 2016 – $10,389,007; 2015 – $10,467,786)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5,056,355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9,548,488</w:t>
            </w:r>
          </w:p>
        </w:tc>
      </w:tr>
      <w:tr>
        <w:trPr>
          <w:trHeight w:val="216"/>
        </w:trPr>
        <w:tc>
          <w:tcPr>
            <w:tcW w:w="5920" w:type="dxa"/>
            <w:vAlign w:val="bottom"/>
          </w:tcPr>
          <w:p>
            <w:pPr>
              <w:ind w:left="200"/>
              <w:spacing w:after="0"/>
              <w:rPr>
                <w:sz w:val="20"/>
                <w:szCs w:val="20"/>
                <w:color w:val="auto"/>
              </w:rPr>
            </w:pPr>
            <w:r>
              <w:rPr>
                <w:rFonts w:ascii="Arial" w:cs="Arial" w:eastAsia="Arial" w:hAnsi="Arial"/>
                <w:sz w:val="18"/>
                <w:szCs w:val="18"/>
                <w:color w:val="auto"/>
                <w:w w:val="97"/>
              </w:rPr>
              <w:t>Asset Manager Affiliates (cost: 2016 – $55,341,230; 2015 – $56,591,230)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40,198,000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57,381,000</w:t>
            </w:r>
          </w:p>
        </w:tc>
      </w:tr>
      <w:tr>
        <w:trPr>
          <w:trHeight w:val="195"/>
        </w:trPr>
        <w:tc>
          <w:tcPr>
            <w:tcW w:w="59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Total Investments at Fair Value (cost: 2016 – $420,801,057; 2015 –</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$450,712,189)</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366,471,304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409,570,495</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1,307,257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8,528,298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7,138,272</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1,033,917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1,812,624</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for open trades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2,950,658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612,854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2,117,095</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566,211</w:t>
            </w:r>
          </w:p>
        </w:tc>
      </w:tr>
      <w:tr>
        <w:trPr>
          <w:trHeight w:val="20"/>
        </w:trPr>
        <w:tc>
          <w:tcPr>
            <w:tcW w:w="5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381,371,983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421,204,697</w:t>
            </w:r>
          </w:p>
        </w:tc>
      </w:tr>
      <w:tr>
        <w:trPr>
          <w:trHeight w:val="21"/>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5920" w:type="dxa"/>
            <w:vAlign w:val="bottom"/>
          </w:tcPr>
          <w:p>
            <w:pPr>
              <w:ind w:left="20"/>
              <w:spacing w:after="0" w:line="201" w:lineRule="exact"/>
              <w:rPr>
                <w:sz w:val="20"/>
                <w:szCs w:val="20"/>
                <w:color w:val="auto"/>
              </w:rPr>
            </w:pPr>
            <w:r>
              <w:rPr>
                <w:rFonts w:ascii="Arial" w:cs="Arial" w:eastAsia="Arial" w:hAnsi="Arial"/>
                <w:sz w:val="18"/>
                <w:szCs w:val="18"/>
                <w:color w:val="auto"/>
                <w:w w:val="99"/>
              </w:rPr>
              <w:t>Notes issued by KCAP Senior Funding I, LLC (net of discount and offering</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920" w:type="dxa"/>
            <w:vAlign w:val="bottom"/>
          </w:tcPr>
          <w:p>
            <w:pPr>
              <w:ind w:left="200"/>
              <w:spacing w:after="0"/>
              <w:rPr>
                <w:sz w:val="20"/>
                <w:szCs w:val="20"/>
                <w:color w:val="auto"/>
              </w:rPr>
            </w:pPr>
            <w:r>
              <w:rPr>
                <w:rFonts w:ascii="Arial" w:cs="Arial" w:eastAsia="Arial" w:hAnsi="Arial"/>
                <w:sz w:val="18"/>
                <w:szCs w:val="18"/>
                <w:color w:val="auto"/>
                <w:w w:val="92"/>
              </w:rPr>
              <w:t>costs of: 2016 – $2,286,425 and $2,459,156, respectively; 2015 – $2,907,595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18"/>
                <w:szCs w:val="18"/>
                <w:color w:val="auto"/>
              </w:rPr>
              <w:t>and $3,126,009,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142,604,419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141,316,396</w:t>
            </w:r>
          </w:p>
        </w:tc>
      </w:tr>
      <w:tr>
        <w:trPr>
          <w:trHeight w:val="202"/>
        </w:trPr>
        <w:tc>
          <w:tcPr>
            <w:tcW w:w="59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7.375% Notes Due 2019 (net of offering costs of: 2016 – $550,774; 2015 –</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$890,344)</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32,980,151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40,509,656</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Convertible Notes (net of offering costs of: 2015 – $21,291)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19,277,709</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for open trades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7,884,943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2,047,405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2,218,065</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930,086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1,228,068</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554,333</w:t>
            </w:r>
          </w:p>
        </w:tc>
      </w:tr>
      <w:tr>
        <w:trPr>
          <w:trHeight w:val="20"/>
        </w:trPr>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186,447,058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205,104,227</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5920" w:type="dxa"/>
            <w:vAlign w:val="bottom"/>
          </w:tcPr>
          <w:p>
            <w:pPr>
              <w:ind w:left="20"/>
              <w:spacing w:after="0" w:line="201" w:lineRule="exact"/>
              <w:rPr>
                <w:sz w:val="20"/>
                <w:szCs w:val="20"/>
                <w:color w:val="auto"/>
              </w:rPr>
            </w:pPr>
            <w:r>
              <w:rPr>
                <w:rFonts w:ascii="Arial" w:cs="Arial" w:eastAsia="Arial" w:hAnsi="Arial"/>
                <w:sz w:val="18"/>
                <w:szCs w:val="18"/>
                <w:color w:val="auto"/>
              </w:rPr>
              <w:t>Common stock, par value $0.01 per share, 100,000,000 common shares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920" w:type="dxa"/>
            <w:vAlign w:val="bottom"/>
          </w:tcPr>
          <w:p>
            <w:pPr>
              <w:ind w:left="200"/>
              <w:spacing w:after="0"/>
              <w:rPr>
                <w:sz w:val="20"/>
                <w:szCs w:val="20"/>
                <w:color w:val="auto"/>
              </w:rPr>
            </w:pPr>
            <w:r>
              <w:rPr>
                <w:rFonts w:ascii="Arial" w:cs="Arial" w:eastAsia="Arial" w:hAnsi="Arial"/>
                <w:sz w:val="18"/>
                <w:szCs w:val="18"/>
                <w:color w:val="auto"/>
                <w:w w:val="93"/>
              </w:rPr>
              <w:t>authorized; 37,282,296 issued, and 37,178,294 outstanding at December 31,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20" w:type="dxa"/>
            <w:vAlign w:val="bottom"/>
          </w:tcPr>
          <w:p>
            <w:pPr>
              <w:ind w:left="200"/>
              <w:spacing w:after="0"/>
              <w:rPr>
                <w:sz w:val="20"/>
                <w:szCs w:val="20"/>
                <w:color w:val="auto"/>
              </w:rPr>
            </w:pPr>
            <w:r>
              <w:rPr>
                <w:rFonts w:ascii="Arial" w:cs="Arial" w:eastAsia="Arial" w:hAnsi="Arial"/>
                <w:sz w:val="18"/>
                <w:szCs w:val="18"/>
                <w:color w:val="auto"/>
                <w:w w:val="94"/>
              </w:rPr>
              <w:t>2016, and 37,136,353 issued, and 37,100,005 outstanding at December 31,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371,783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371,000</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353,404,155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361,962,511</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Excess distribution of net investment income</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(14,630,319)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(21,638,184)</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net realized losses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(88,491,896)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(82,054,107)</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(55,728,798)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(42,540,750)</w:t>
            </w:r>
          </w:p>
        </w:tc>
      </w:tr>
      <w:tr>
        <w:trPr>
          <w:trHeight w:val="20"/>
        </w:trPr>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194,924,925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216,100,470</w:t>
            </w:r>
          </w:p>
        </w:tc>
      </w:tr>
      <w:tr>
        <w:trPr>
          <w:trHeight w:val="20"/>
        </w:trPr>
        <w:tc>
          <w:tcPr>
            <w:tcW w:w="5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381,371,983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421,204,697</w:t>
            </w:r>
          </w:p>
        </w:tc>
      </w:tr>
      <w:tr>
        <w:trPr>
          <w:trHeight w:val="21"/>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 VALUE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-3703955</wp:posOffset>
            </wp:positionV>
            <wp:extent cx="5213985"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80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2" w:name="page83"/>
    <w:bookmarkEnd w:id="8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196"/>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from investments in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20,828,916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24,101,257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21,386,432</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Interest from cash and time deposits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29,383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10,239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income on CLO Fund Securities managed by</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affiliates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12,642,625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14,691,428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12,367,581</w:t>
            </w:r>
          </w:p>
        </w:tc>
        <w:tc>
          <w:tcPr>
            <w:tcW w:w="0" w:type="dxa"/>
            <w:vAlign w:val="bottom"/>
          </w:tcPr>
          <w:p>
            <w:pPr>
              <w:spacing w:after="0"/>
              <w:rPr>
                <w:sz w:val="1"/>
                <w:szCs w:val="1"/>
                <w:color w:val="auto"/>
              </w:rPr>
            </w:pPr>
          </w:p>
        </w:tc>
      </w:tr>
      <w:tr>
        <w:trPr>
          <w:trHeight w:val="202"/>
        </w:trPr>
        <w:tc>
          <w:tcPr>
            <w:tcW w:w="4800" w:type="dxa"/>
            <w:vAlign w:val="bottom"/>
          </w:tcPr>
          <w:p>
            <w:pPr>
              <w:ind w:left="200"/>
              <w:spacing w:after="0" w:line="201" w:lineRule="exact"/>
              <w:rPr>
                <w:sz w:val="20"/>
                <w:szCs w:val="20"/>
                <w:color w:val="auto"/>
              </w:rPr>
            </w:pPr>
            <w:r>
              <w:rPr>
                <w:rFonts w:ascii="Arial" w:cs="Arial" w:eastAsia="Arial" w:hAnsi="Arial"/>
                <w:sz w:val="18"/>
                <w:szCs w:val="18"/>
                <w:color w:val="auto"/>
                <w:w w:val="92"/>
              </w:rPr>
              <w:t>Investment income on CLO Fund Securities managed by non-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affiliates</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630,647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1,008,634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1,045,225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from Asset Manager Affiliates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5,348,554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5,467,914</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Capital structuring service fees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668,527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366,859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934,871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36,200,098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45,526,971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41,205,475</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amortization of debt issuance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9,110,603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11,727,880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11,538,179</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4,103,558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3,843,799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4,951,745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2,391,038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3,520,461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2,614,479</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412,764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433,561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471,276</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1,692,140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1,818,480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1,509,228</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17,710,103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21,344,181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21,084,907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18,489,995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24,182,790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20,120,568</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w w:val="97"/>
              </w:rPr>
              <w:t>Realized And Unrealized Gains (Losses) On Investments: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losses from investment transactions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(6,167,467)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(6,202,289)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(10,384,415)</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Net change in unrealized (depreciation) appreciation on: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2,492,707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(10,748,262)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5,641,403</w:t>
            </w:r>
          </w:p>
        </w:tc>
        <w:tc>
          <w:tcPr>
            <w:tcW w:w="0" w:type="dxa"/>
            <w:vAlign w:val="bottom"/>
          </w:tcPr>
          <w:p>
            <w:pPr>
              <w:spacing w:after="0"/>
              <w:rPr>
                <w:sz w:val="1"/>
                <w:szCs w:val="1"/>
                <w:color w:val="auto"/>
              </w:rPr>
            </w:pPr>
          </w:p>
        </w:tc>
      </w:tr>
      <w:tr>
        <w:trPr>
          <w:trHeight w:val="216"/>
        </w:trPr>
        <w:tc>
          <w:tcPr>
            <w:tcW w:w="4800" w:type="dxa"/>
            <w:vAlign w:val="bottom"/>
          </w:tcPr>
          <w:p>
            <w:pPr>
              <w:ind w:left="38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(4,413,354)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(210,167)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7,040,155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CLO Fund Securities managed by affiliates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4,380,974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(12,990,404)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(11,584,257)</w:t>
            </w:r>
          </w:p>
        </w:tc>
        <w:tc>
          <w:tcPr>
            <w:tcW w:w="0" w:type="dxa"/>
            <w:vAlign w:val="bottom"/>
          </w:tcPr>
          <w:p>
            <w:pPr>
              <w:spacing w:after="0"/>
              <w:rPr>
                <w:sz w:val="1"/>
                <w:szCs w:val="1"/>
                <w:color w:val="auto"/>
              </w:rPr>
            </w:pPr>
          </w:p>
        </w:tc>
      </w:tr>
      <w:tr>
        <w:trPr>
          <w:trHeight w:val="216"/>
        </w:trPr>
        <w:tc>
          <w:tcPr>
            <w:tcW w:w="4800" w:type="dxa"/>
            <w:vAlign w:val="bottom"/>
          </w:tcPr>
          <w:p>
            <w:pPr>
              <w:ind w:left="380"/>
              <w:spacing w:after="0"/>
              <w:rPr>
                <w:sz w:val="20"/>
                <w:szCs w:val="20"/>
                <w:color w:val="auto"/>
              </w:rPr>
            </w:pPr>
            <w:r>
              <w:rPr>
                <w:rFonts w:ascii="Arial" w:cs="Arial" w:eastAsia="Arial" w:hAnsi="Arial"/>
                <w:sz w:val="18"/>
                <w:szCs w:val="18"/>
                <w:color w:val="auto"/>
              </w:rPr>
              <w:t>CLO Fund Securities managed by non-affiliates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284,625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(977,483)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2,884,109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 Manager Affiliates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(15,933,000)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(11,243,554)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2,064,107</w:t>
            </w:r>
          </w:p>
        </w:tc>
        <w:tc>
          <w:tcPr>
            <w:tcW w:w="0" w:type="dxa"/>
            <w:vAlign w:val="bottom"/>
          </w:tcPr>
          <w:p>
            <w:pPr>
              <w:spacing w:after="0"/>
              <w:rPr>
                <w:sz w:val="1"/>
                <w:szCs w:val="1"/>
                <w:color w:val="auto"/>
              </w:rPr>
            </w:pPr>
          </w:p>
        </w:tc>
      </w:tr>
      <w:tr>
        <w:trPr>
          <w:trHeight w:val="195"/>
        </w:trPr>
        <w:tc>
          <w:tcPr>
            <w:tcW w:w="480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rPr>
              <w:t>Total net (depreciation) appreciation from investment</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transactions</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(13,188,048)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(36,169,870)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6,045,517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realized and unrealized loss on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(19,355,515)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(42,372,159)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(4,338,898)</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200"/>
              <w:spacing w:after="0"/>
              <w:rPr>
                <w:sz w:val="20"/>
                <w:szCs w:val="20"/>
                <w:color w:val="auto"/>
              </w:rPr>
            </w:pPr>
            <w:r>
              <w:rPr>
                <w:rFonts w:ascii="Arial" w:cs="Arial" w:eastAsia="Arial" w:hAnsi="Arial"/>
                <w:sz w:val="18"/>
                <w:szCs w:val="18"/>
                <w:color w:val="auto"/>
              </w:rPr>
              <w:t>Realized losses on extinguishments of debt</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(174,211)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(445,189)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(748,076)</w:t>
            </w:r>
          </w:p>
        </w:tc>
        <w:tc>
          <w:tcPr>
            <w:tcW w:w="0" w:type="dxa"/>
            <w:vAlign w:val="bottom"/>
          </w:tcPr>
          <w:p>
            <w:pPr>
              <w:spacing w:after="0"/>
              <w:rPr>
                <w:sz w:val="1"/>
                <w:szCs w:val="1"/>
                <w:color w:val="auto"/>
              </w:rPr>
            </w:pPr>
          </w:p>
        </w:tc>
      </w:tr>
      <w:tr>
        <w:trPr>
          <w:trHeight w:val="191"/>
        </w:trPr>
        <w:tc>
          <w:tcPr>
            <w:tcW w:w="48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5"/>
              </w:rPr>
              <w:t>Net (Decrease) Increase In Stockholders’ Equity Resulting</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(1,039,731)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(18,634,558)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15,033,594</w:t>
            </w:r>
          </w:p>
        </w:tc>
        <w:tc>
          <w:tcPr>
            <w:tcW w:w="0" w:type="dxa"/>
            <w:vAlign w:val="bottom"/>
          </w:tcPr>
          <w:p>
            <w:pPr>
              <w:spacing w:after="0"/>
              <w:rPr>
                <w:sz w:val="1"/>
                <w:szCs w:val="1"/>
                <w:color w:val="auto"/>
              </w:rPr>
            </w:pPr>
          </w:p>
        </w:tc>
      </w:tr>
      <w:tr>
        <w:trPr>
          <w:trHeight w:val="195"/>
        </w:trPr>
        <w:tc>
          <w:tcPr>
            <w:tcW w:w="480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w w:val="98"/>
              </w:rPr>
              <w:t>Net (Decrease) Increase in Stockholders' Equity Resulting</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from Operations per Common Share:</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0.50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2"/>
        </w:trPr>
        <w:tc>
          <w:tcPr>
            <w:tcW w:w="4800" w:type="dxa"/>
            <w:vAlign w:val="bottom"/>
          </w:tcPr>
          <w:p>
            <w:pPr>
              <w:ind w:left="200"/>
              <w:spacing w:after="0" w:line="201" w:lineRule="exact"/>
              <w:rPr>
                <w:sz w:val="20"/>
                <w:szCs w:val="20"/>
                <w:color w:val="auto"/>
              </w:rPr>
            </w:pPr>
            <w:r>
              <w:rPr>
                <w:rFonts w:ascii="Arial" w:cs="Arial" w:eastAsia="Arial" w:hAnsi="Arial"/>
                <w:sz w:val="18"/>
                <w:szCs w:val="18"/>
                <w:color w:val="auto"/>
                <w:w w:val="96"/>
              </w:rPr>
              <w:t>Weighted Average Shares of Common Stock Outstanding –</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37,149,663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36,964,444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34,248,346</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Weighted Average Shares of Common Stock Outstanding –</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37,149,663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36,964,444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34,259,977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-3789680</wp:posOffset>
            </wp:positionV>
            <wp:extent cx="5213985"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-2400300</wp:posOffset>
            </wp:positionV>
            <wp:extent cx="5213985" cy="291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-1971675</wp:posOffset>
            </wp:positionV>
            <wp:extent cx="5213985"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-1543050</wp:posOffset>
            </wp:positionV>
            <wp:extent cx="5213985" cy="3086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3985" cy="30861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3" w:name="page84"/>
    <w:bookmarkEnd w:id="8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96"/>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Operations: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18,489,995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24,182,790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20,120,568</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Net realized losses from investment transactions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(6,167,467)</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(6,202,289)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(10,384,415)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 from extinguishments of debt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(174,211)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(445,189)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(748,076)</w:t>
            </w:r>
          </w:p>
        </w:tc>
        <w:tc>
          <w:tcPr>
            <w:tcW w:w="0" w:type="dxa"/>
            <w:vAlign w:val="bottom"/>
          </w:tcPr>
          <w:p>
            <w:pPr>
              <w:spacing w:after="0"/>
              <w:rPr>
                <w:sz w:val="1"/>
                <w:szCs w:val="1"/>
                <w:color w:val="auto"/>
              </w:rPr>
            </w:pPr>
          </w:p>
        </w:tc>
      </w:tr>
      <w:tr>
        <w:trPr>
          <w:trHeight w:val="202"/>
        </w:trPr>
        <w:tc>
          <w:tcPr>
            <w:tcW w:w="4760" w:type="dxa"/>
            <w:vAlign w:val="bottom"/>
          </w:tcPr>
          <w:p>
            <w:pPr>
              <w:ind w:left="20"/>
              <w:spacing w:after="0" w:line="201" w:lineRule="exact"/>
              <w:rPr>
                <w:sz w:val="20"/>
                <w:szCs w:val="20"/>
                <w:color w:val="auto"/>
              </w:rPr>
            </w:pPr>
            <w:r>
              <w:rPr>
                <w:rFonts w:ascii="Arial" w:cs="Arial" w:eastAsia="Arial" w:hAnsi="Arial"/>
                <w:sz w:val="18"/>
                <w:szCs w:val="18"/>
                <w:color w:val="auto"/>
              </w:rPr>
              <w:t>Net change in unrealized (depreciation) appreciation from</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(13,188,048)</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(36,169,870)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6,045,517</w:t>
            </w: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w w:val="93"/>
              </w:rPr>
              <w:t>Net (decrease)/increase in stockholders' equity resulting from</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(1,039,731)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(18,634,558)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15,033,594</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Stockholder distributions: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of ordinary income</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(14,761,679)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(22,985,978)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(26,807,154)</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Return of capital</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(7,307,578)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(7,972,633)</w:t>
            </w: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Net decrease in net assets resulting from stockholder</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(22,069,257)</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(22,985,978)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(34,779,787)</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 for: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tcPr>
          <w:p>
            <w:pPr>
              <w:ind w:left="200"/>
              <w:spacing w:after="0" w:line="201" w:lineRule="exact"/>
              <w:rPr>
                <w:sz w:val="20"/>
                <w:szCs w:val="20"/>
                <w:color w:val="auto"/>
              </w:rPr>
            </w:pPr>
            <w:r>
              <w:rPr>
                <w:rFonts w:ascii="Arial" w:cs="Arial" w:eastAsia="Arial" w:hAnsi="Arial"/>
                <w:sz w:val="18"/>
                <w:szCs w:val="18"/>
                <w:color w:val="auto"/>
              </w:rPr>
              <w:t>Common stock withheld for payroll taxes upon vesting of</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(247,926)</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(220,301)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reinvestment plan</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638,016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1,051,795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724,935</w:t>
            </w:r>
          </w:p>
        </w:tc>
        <w:tc>
          <w:tcPr>
            <w:tcW w:w="0" w:type="dxa"/>
            <w:vAlign w:val="bottom"/>
          </w:tcPr>
          <w:p>
            <w:pPr>
              <w:spacing w:after="0"/>
              <w:rPr>
                <w:sz w:val="1"/>
                <w:szCs w:val="1"/>
                <w:color w:val="auto"/>
              </w:rPr>
            </w:pP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23,772,408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Convertible Notes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(927,413)</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1,543,353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1,572,811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1,123,271</w:t>
            </w: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Net increase in net assets resulting from capital share</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transactions</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1,933,443</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2,404,305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24,693,201</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216,100,470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255,316,701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250,369,693</w:t>
            </w: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2"/>
              </w:rPr>
              <w:t>Net assets at end of period (including accumulated undistributed</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net investment income of $0, $0, and $0 in 2016, 2015,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194,924,925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216,100,470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255,316,701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color w:val="auto"/>
              </w:rPr>
              <w:t>Net asset value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outstanding at end of period</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37,178,294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37,100,005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36,775,127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-307975</wp:posOffset>
            </wp:positionV>
            <wp:extent cx="521398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4" w:name="page85"/>
    <w:bookmarkEnd w:id="8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96"/>
        </w:trPr>
        <w:tc>
          <w:tcPr>
            <w:tcW w:w="456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Net (decrease) increase in stockholder's equity resulting</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(1,039,731)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(18,634,558)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15,033,594</w:t>
            </w:r>
          </w:p>
        </w:tc>
        <w:tc>
          <w:tcPr>
            <w:tcW w:w="0" w:type="dxa"/>
            <w:vAlign w:val="bottom"/>
          </w:tcPr>
          <w:p>
            <w:pPr>
              <w:spacing w:after="0"/>
              <w:rPr>
                <w:sz w:val="1"/>
                <w:szCs w:val="1"/>
                <w:color w:val="auto"/>
              </w:rPr>
            </w:pPr>
          </w:p>
        </w:tc>
      </w:tr>
      <w:tr>
        <w:trPr>
          <w:trHeight w:val="202"/>
        </w:trPr>
        <w:tc>
          <w:tcPr>
            <w:tcW w:w="4560" w:type="dxa"/>
            <w:vAlign w:val="bottom"/>
          </w:tcPr>
          <w:p>
            <w:pPr>
              <w:ind w:left="200"/>
              <w:spacing w:after="0" w:line="201" w:lineRule="exact"/>
              <w:rPr>
                <w:sz w:val="20"/>
                <w:szCs w:val="20"/>
                <w:color w:val="auto"/>
              </w:rPr>
            </w:pPr>
            <w:r>
              <w:rPr>
                <w:rFonts w:ascii="Arial" w:cs="Arial" w:eastAsia="Arial" w:hAnsi="Arial"/>
                <w:sz w:val="18"/>
                <w:szCs w:val="18"/>
                <w:color w:val="auto"/>
              </w:rPr>
              <w:t>Adjustments to reconcile net increase (decrease) in</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stockholder’s equity resulting from operations to net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cash provided by/(used in) operating activities: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realized losses on investment transactions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6,167,467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6,202,289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10,384,415</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w w:val="90"/>
              </w:rPr>
              <w:t>Net change in unrealized losses (gains) from investments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13,188,048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36,169,870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(6,045,517)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(110,229,217)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(112,647,477)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(249,264,398)</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w w:val="98"/>
              </w:rPr>
              <w:t>Proceeds from sales and redemptions of investments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133,253,936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132,764,940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195,511,479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accretion of discount on debt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1,784,579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9,094,250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10,691,298</w:t>
            </w:r>
          </w:p>
        </w:tc>
        <w:tc>
          <w:tcPr>
            <w:tcW w:w="0" w:type="dxa"/>
            <w:vAlign w:val="bottom"/>
          </w:tcPr>
          <w:p>
            <w:pPr>
              <w:spacing w:after="0"/>
              <w:rPr>
                <w:sz w:val="1"/>
                <w:szCs w:val="1"/>
                <w:color w:val="auto"/>
              </w:rPr>
            </w:pPr>
          </w:p>
        </w:tc>
      </w:tr>
      <w:tr>
        <w:trPr>
          <w:trHeight w:val="202"/>
        </w:trPr>
        <w:tc>
          <w:tcPr>
            <w:tcW w:w="4560" w:type="dxa"/>
            <w:vAlign w:val="bottom"/>
          </w:tcPr>
          <w:p>
            <w:pPr>
              <w:ind w:left="380"/>
              <w:spacing w:after="0" w:line="201" w:lineRule="exact"/>
              <w:rPr>
                <w:sz w:val="20"/>
                <w:szCs w:val="20"/>
                <w:color w:val="auto"/>
              </w:rPr>
            </w:pPr>
            <w:r>
              <w:rPr>
                <w:rFonts w:ascii="Arial" w:cs="Arial" w:eastAsia="Arial" w:hAnsi="Arial"/>
                <w:sz w:val="18"/>
                <w:szCs w:val="18"/>
                <w:color w:val="auto"/>
              </w:rPr>
              <w:t>Amortization of original issue discount on</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560"/>
              <w:spacing w:after="0"/>
              <w:rPr>
                <w:sz w:val="20"/>
                <w:szCs w:val="20"/>
                <w:color w:val="auto"/>
              </w:rPr>
            </w:pPr>
            <w:r>
              <w:rPr>
                <w:rFonts w:ascii="Arial" w:cs="Arial" w:eastAsia="Arial" w:hAnsi="Arial"/>
                <w:sz w:val="18"/>
                <w:szCs w:val="18"/>
                <w:color w:val="auto"/>
              </w:rPr>
              <w:t>indebtedness</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621,171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604,811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449,568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845,793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1,181,866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1,109,081</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Realized losses on extinguishments of debt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174,211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445,189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748,076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Payment-in-kind interest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(1,065,339)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(1,447,865)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(433,778)</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1,543,353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1,572,811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1,123,271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Increase (Decrease) in payable for open trades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7,884,943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(18,293,725)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14,313,725</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Decrease (Increase) in interest and dividends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receivable</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778,707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(63,803)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283,737</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(Increase) Decrease in accounts receivable</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325,259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receivable for open trades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(2,950,658)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Decrease (Increase) in other assets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98,516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(793,461)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(644,715)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Decrease (Increase) in due from affiliates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910,315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(227,409)</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(Decrease) Increase in due to affiliates</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(554,279)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523,333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6"/>
              </w:rPr>
              <w:t>(Decrease) Increase in accounts payable and accrued</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(170,660)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(56,086)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Decrease in accrued interest payable</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(297,982)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(338,186)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(62,444)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Net cash provided by (used in)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51,537,099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37,193,922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(6,668,200)</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23,772,408</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(19,136)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(678,201)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restricted shares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Forfeitures of restricted shares</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stockholders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(21,431,241)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(31,016,373)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(33,307,511)</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Proceeds from issuance of debt, net of discount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41,203,652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Convertible Notes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(19,299,000)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(19,348,000)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(11,288,413)</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Repurchase of 7.375% Notes Due 2019</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(7,861,364)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Common Stock withheld for payroll taxes upon vesting of</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stock</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(220,301)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(Increase) Decrease in restricted cash</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(1,390,026)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12,187,278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(15,246,612)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(50,229,842)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(38,414,720)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4,455,323</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tcPr>
          <w:p>
            <w:pPr>
              <w:ind w:left="20"/>
              <w:spacing w:after="0"/>
              <w:rPr>
                <w:sz w:val="20"/>
                <w:szCs w:val="20"/>
                <w:color w:val="auto"/>
              </w:rPr>
            </w:pPr>
            <w:r>
              <w:rPr>
                <w:rFonts w:ascii="Arial" w:cs="Arial" w:eastAsia="Arial" w:hAnsi="Arial"/>
                <w:sz w:val="18"/>
                <w:szCs w:val="18"/>
                <w:color w:val="auto"/>
              </w:rPr>
              <w:t>CHANGE IN CASH</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1,307,257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(1,220,798)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(2,212,877)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BEGINNING OF YEAR</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1,220,798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3,433,675</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tcPr>
          <w:p>
            <w:pPr>
              <w:ind w:left="20"/>
              <w:spacing w:after="0"/>
              <w:rPr>
                <w:sz w:val="20"/>
                <w:szCs w:val="20"/>
                <w:color w:val="auto"/>
              </w:rPr>
            </w:pPr>
            <w:r>
              <w:rPr>
                <w:rFonts w:ascii="Arial" w:cs="Arial" w:eastAsia="Arial" w:hAnsi="Arial"/>
                <w:sz w:val="18"/>
                <w:szCs w:val="18"/>
                <w:color w:val="auto"/>
              </w:rPr>
              <w:t>CASH,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1,307,257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1,220,798</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7,902,774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10,279,221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9,966,425</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Issuance of common stock under the dividend</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reinvestment plan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1,051,795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724,935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5213985"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-728345</wp:posOffset>
            </wp:positionV>
            <wp:extent cx="5213985" cy="180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5" w:name="page86"/>
    <w:bookmarkEnd w:id="8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2360" w:type="dxa"/>
            <w:vAlign w:val="bottom"/>
          </w:tcPr>
          <w:p>
            <w:pPr>
              <w:jc w:val="center"/>
              <w:ind w:left="40"/>
              <w:spacing w:after="0"/>
              <w:rPr>
                <w:sz w:val="20"/>
                <w:szCs w:val="20"/>
                <w:color w:val="auto"/>
              </w:rPr>
            </w:pPr>
            <w:r>
              <w:rPr>
                <w:rFonts w:ascii="Arial" w:cs="Arial" w:eastAsia="Arial" w:hAnsi="Arial"/>
                <w:sz w:val="13"/>
                <w:szCs w:val="13"/>
                <w:b w:val="1"/>
                <w:bCs w:val="1"/>
                <w:color w:val="auto"/>
                <w:w w:val="90"/>
              </w:rPr>
              <w:t>Investment</w:t>
            </w:r>
          </w:p>
        </w:tc>
        <w:tc>
          <w:tcPr>
            <w:tcW w:w="1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1"/>
              </w:rPr>
              <w:t>Amortized</w:t>
            </w: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0"/>
                <w:szCs w:val="20"/>
                <w:b w:val="1"/>
                <w:bCs w:val="1"/>
                <w:color w:val="auto"/>
                <w:w w:val="84"/>
                <w:vertAlign w:val="superscript"/>
              </w:rPr>
              <w:t>(2)</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3"/>
                <w:szCs w:val="13"/>
                <w:b w:val="1"/>
                <w:bCs w:val="1"/>
                <w:color w:val="auto"/>
              </w:rPr>
              <w:t>Portfolio Company/Principal Business</w:t>
            </w:r>
          </w:p>
        </w:tc>
        <w:tc>
          <w:tcPr>
            <w:tcW w:w="2360" w:type="dxa"/>
            <w:vAlign w:val="bottom"/>
          </w:tcPr>
          <w:p>
            <w:pPr>
              <w:jc w:val="center"/>
              <w:ind w:left="40"/>
              <w:spacing w:after="0" w:line="162" w:lineRule="exact"/>
              <w:rPr>
                <w:sz w:val="20"/>
                <w:szCs w:val="20"/>
                <w:color w:val="auto"/>
              </w:rPr>
            </w:pPr>
            <w:r>
              <w:rPr>
                <w:rFonts w:ascii="Arial" w:cs="Arial" w:eastAsia="Arial" w:hAnsi="Arial"/>
                <w:sz w:val="12"/>
                <w:szCs w:val="12"/>
                <w:b w:val="1"/>
                <w:bCs w:val="1"/>
                <w:color w:val="auto"/>
                <w:w w:val="97"/>
              </w:rPr>
              <w:t>Interest Rate</w:t>
            </w:r>
            <w:r>
              <w:rPr>
                <w:rFonts w:ascii="Arial" w:cs="Arial" w:eastAsia="Arial" w:hAnsi="Arial"/>
                <w:sz w:val="18"/>
                <w:szCs w:val="18"/>
                <w:b w:val="1"/>
                <w:bCs w:val="1"/>
                <w:color w:val="auto"/>
                <w:w w:val="97"/>
                <w:vertAlign w:val="superscript"/>
              </w:rPr>
              <w:t>(1)</w:t>
            </w:r>
            <w:r>
              <w:rPr>
                <w:rFonts w:ascii="Arial" w:cs="Arial" w:eastAsia="Arial" w:hAnsi="Arial"/>
                <w:sz w:val="12"/>
                <w:szCs w:val="12"/>
                <w:b w:val="1"/>
                <w:bCs w:val="1"/>
                <w:color w:val="auto"/>
                <w:w w:val="97"/>
              </w:rPr>
              <w:t>/Maturity</w:t>
            </w:r>
          </w:p>
        </w:tc>
        <w:tc>
          <w:tcPr>
            <w:tcW w:w="1200" w:type="dxa"/>
            <w:vAlign w:val="bottom"/>
          </w:tcPr>
          <w:p>
            <w:pPr>
              <w:ind w:left="460"/>
              <w:spacing w:after="0"/>
              <w:rPr>
                <w:sz w:val="20"/>
                <w:szCs w:val="20"/>
                <w:color w:val="auto"/>
              </w:rPr>
            </w:pPr>
            <w:r>
              <w:rPr>
                <w:rFonts w:ascii="Arial" w:cs="Arial" w:eastAsia="Arial" w:hAnsi="Arial"/>
                <w:sz w:val="13"/>
                <w:szCs w:val="13"/>
                <w:b w:val="1"/>
                <w:bCs w:val="1"/>
                <w:color w:val="auto"/>
              </w:rPr>
              <w:t>Principal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5436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ind w:left="20"/>
        <w:spacing w:after="0" w:line="185" w:lineRule="auto"/>
        <w:rPr>
          <w:sz w:val="20"/>
          <w:szCs w:val="20"/>
          <w:color w:val="auto"/>
        </w:rPr>
      </w:pPr>
      <w:r>
        <w:rPr>
          <w:rFonts w:ascii="Arial" w:cs="Arial" w:eastAsia="Arial" w:hAnsi="Arial"/>
          <w:sz w:val="14"/>
          <w:szCs w:val="14"/>
          <w:color w:val="auto"/>
        </w:rPr>
        <w:t>1A Smart Start LLC</w:t>
      </w:r>
      <w:r>
        <w:rPr>
          <w:rFonts w:ascii="Arial" w:cs="Arial" w:eastAsia="Arial" w:hAnsi="Arial"/>
          <w:sz w:val="22"/>
          <w:szCs w:val="22"/>
          <w:color w:val="auto"/>
          <w:vertAlign w:val="superscript"/>
        </w:rPr>
        <w:t>(8), (9)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Consumer goods: Non-durable</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4L Technologies Inc. (fka Clover</w:t>
      </w:r>
    </w:p>
    <w:p>
      <w:pPr>
        <w:spacing w:after="0" w:line="7" w:lineRule="exact"/>
        <w:rPr>
          <w:sz w:val="20"/>
          <w:szCs w:val="20"/>
          <w:color w:val="auto"/>
        </w:rPr>
      </w:pPr>
    </w:p>
    <w:p>
      <w:pPr>
        <w:ind w:left="200" w:right="420"/>
        <w:spacing w:after="0" w:line="207" w:lineRule="auto"/>
        <w:rPr>
          <w:sz w:val="20"/>
          <w:szCs w:val="20"/>
          <w:color w:val="auto"/>
        </w:rPr>
      </w:pPr>
      <w:r>
        <w:rPr>
          <w:rFonts w:ascii="Arial" w:cs="Arial" w:eastAsia="Arial" w:hAnsi="Arial"/>
          <w:sz w:val="13"/>
          <w:szCs w:val="13"/>
          <w:color w:val="auto"/>
        </w:rPr>
        <w:t>Holdings, Inc.)</w:t>
      </w:r>
      <w:r>
        <w:rPr>
          <w:rFonts w:ascii="Arial" w:cs="Arial" w:eastAsia="Arial" w:hAnsi="Arial"/>
          <w:sz w:val="21"/>
          <w:szCs w:val="21"/>
          <w:color w:val="auto"/>
          <w:vertAlign w:val="superscript"/>
        </w:rPr>
        <w:t>(8), (9)</w:t>
      </w:r>
      <w:r>
        <w:rPr>
          <w:rFonts w:ascii="Arial" w:cs="Arial" w:eastAsia="Arial" w:hAnsi="Arial"/>
          <w:sz w:val="13"/>
          <w:szCs w:val="13"/>
          <w:color w:val="auto"/>
        </w:rPr>
        <w:t xml:space="preserve"> </w:t>
      </w:r>
      <w:r>
        <w:rPr>
          <w:rFonts w:ascii="Arial" w:cs="Arial" w:eastAsia="Arial" w:hAnsi="Arial"/>
          <w:sz w:val="13"/>
          <w:szCs w:val="13"/>
          <w:i w:val="1"/>
          <w:iCs w:val="1"/>
          <w:color w:val="auto"/>
        </w:rPr>
        <w:t>Consumer goods: Non-durable</w:t>
      </w:r>
    </w:p>
    <w:p>
      <w:pPr>
        <w:ind w:left="20"/>
        <w:spacing w:after="0" w:line="188" w:lineRule="auto"/>
        <w:rPr>
          <w:sz w:val="20"/>
          <w:szCs w:val="20"/>
          <w:color w:val="auto"/>
        </w:rPr>
      </w:pPr>
      <w:r>
        <w:rPr>
          <w:rFonts w:ascii="Arial" w:cs="Arial" w:eastAsia="Arial" w:hAnsi="Arial"/>
          <w:sz w:val="13"/>
          <w:szCs w:val="13"/>
          <w:color w:val="auto"/>
        </w:rPr>
        <w:t>Advanced Lighting Technologies, Inc,</w:t>
      </w:r>
      <w:r>
        <w:rPr>
          <w:rFonts w:ascii="Arial" w:cs="Arial" w:eastAsia="Arial" w:hAnsi="Arial"/>
          <w:sz w:val="21"/>
          <w:szCs w:val="21"/>
          <w:color w:val="auto"/>
          <w:vertAlign w:val="superscript"/>
        </w:rPr>
        <w:t>(8),</w:t>
      </w:r>
    </w:p>
    <w:p>
      <w:pPr>
        <w:ind w:left="200"/>
        <w:spacing w:after="0"/>
        <w:rPr>
          <w:sz w:val="20"/>
          <w:szCs w:val="20"/>
          <w:color w:val="auto"/>
        </w:rPr>
      </w:pPr>
      <w:r>
        <w:rPr>
          <w:rFonts w:ascii="Arial" w:cs="Arial" w:eastAsia="Arial" w:hAnsi="Arial"/>
          <w:sz w:val="12"/>
          <w:szCs w:val="12"/>
          <w:color w:val="auto"/>
        </w:rPr>
        <w:t>(9), (14)</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Consumer goods: Durable</w:t>
      </w:r>
    </w:p>
    <w:p>
      <w:pPr>
        <w:ind w:left="20"/>
        <w:spacing w:after="0" w:line="187" w:lineRule="auto"/>
        <w:rPr>
          <w:sz w:val="20"/>
          <w:szCs w:val="20"/>
          <w:color w:val="auto"/>
        </w:rPr>
      </w:pPr>
      <w:r>
        <w:rPr>
          <w:rFonts w:ascii="Arial" w:cs="Arial" w:eastAsia="Arial" w:hAnsi="Arial"/>
          <w:sz w:val="13"/>
          <w:szCs w:val="13"/>
          <w:color w:val="auto"/>
        </w:rPr>
        <w:t>Advantage Sales &amp; Marketing Inc.</w:t>
      </w:r>
      <w:r>
        <w:rPr>
          <w:rFonts w:ascii="Arial" w:cs="Arial" w:eastAsia="Arial" w:hAnsi="Arial"/>
          <w:sz w:val="21"/>
          <w:szCs w:val="21"/>
          <w:color w:val="auto"/>
          <w:vertAlign w:val="superscript"/>
        </w:rPr>
        <w:t>(8)</w:t>
      </w:r>
    </w:p>
    <w:p>
      <w:pPr>
        <w:ind w:left="200"/>
        <w:spacing w:after="0"/>
        <w:rPr>
          <w:sz w:val="20"/>
          <w:szCs w:val="20"/>
          <w:color w:val="auto"/>
        </w:rPr>
      </w:pPr>
      <w:r>
        <w:rPr>
          <w:rFonts w:ascii="Arial" w:cs="Arial" w:eastAsia="Arial" w:hAnsi="Arial"/>
          <w:sz w:val="14"/>
          <w:szCs w:val="14"/>
          <w:i w:val="1"/>
          <w:iCs w:val="1"/>
          <w:color w:val="auto"/>
        </w:rPr>
        <w:t>Services: Business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Alere Inc. (fka IM US Holdings, LLC)</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American Seafoods Group LLC</w:t>
      </w:r>
      <w:r>
        <w:rPr>
          <w:rFonts w:ascii="Arial" w:cs="Arial" w:eastAsia="Arial" w:hAnsi="Arial"/>
          <w:sz w:val="21"/>
          <w:szCs w:val="21"/>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Anaren,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Aerospace and Defense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Apco Holdings,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Services: Business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API Technologies Corp.</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High Tech Industries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Aristotle Corporation, The</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Consumer goods: Non-durable</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Asurion, LLC (fka Asurion Corporation)</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(8), (9)</w:t>
      </w:r>
    </w:p>
    <w:p>
      <w:pPr>
        <w:spacing w:after="0" w:line="31" w:lineRule="exact"/>
        <w:rPr>
          <w:sz w:val="20"/>
          <w:szCs w:val="20"/>
          <w:color w:val="auto"/>
        </w:rPr>
      </w:pPr>
    </w:p>
    <w:p>
      <w:pPr>
        <w:ind w:left="200" w:right="80"/>
        <w:spacing w:after="0" w:line="230" w:lineRule="auto"/>
        <w:rPr>
          <w:sz w:val="20"/>
          <w:szCs w:val="20"/>
          <w:color w:val="auto"/>
        </w:rPr>
      </w:pPr>
      <w:r>
        <w:rPr>
          <w:rFonts w:ascii="Arial" w:cs="Arial" w:eastAsia="Arial" w:hAnsi="Arial"/>
          <w:sz w:val="14"/>
          <w:szCs w:val="14"/>
          <w:i w:val="1"/>
          <w:iCs w:val="1"/>
          <w:color w:val="auto"/>
        </w:rPr>
        <w:t>Banking, Finance, Insurance &amp; Real Estate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Asurion, LLC (fka Asurion Corporation)</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(8), (9)</w:t>
      </w:r>
    </w:p>
    <w:p>
      <w:pPr>
        <w:spacing w:after="0" w:line="31" w:lineRule="exact"/>
        <w:rPr>
          <w:sz w:val="20"/>
          <w:szCs w:val="20"/>
          <w:color w:val="auto"/>
        </w:rPr>
      </w:pPr>
    </w:p>
    <w:p>
      <w:pPr>
        <w:ind w:left="200" w:right="80"/>
        <w:spacing w:after="0" w:line="236" w:lineRule="auto"/>
        <w:rPr>
          <w:sz w:val="20"/>
          <w:szCs w:val="20"/>
          <w:color w:val="auto"/>
        </w:rPr>
      </w:pPr>
      <w:r>
        <w:rPr>
          <w:rFonts w:ascii="Arial" w:cs="Arial" w:eastAsia="Arial" w:hAnsi="Arial"/>
          <w:sz w:val="14"/>
          <w:szCs w:val="14"/>
          <w:i w:val="1"/>
          <w:iCs w:val="1"/>
          <w:color w:val="auto"/>
        </w:rPr>
        <w:t>Banking, Finance, Insurance &amp; Real Estate</w:t>
      </w:r>
    </w:p>
    <w:p>
      <w:pPr>
        <w:ind w:left="20"/>
        <w:spacing w:after="0" w:line="180" w:lineRule="auto"/>
        <w:rPr>
          <w:sz w:val="20"/>
          <w:szCs w:val="20"/>
          <w:color w:val="auto"/>
        </w:rPr>
      </w:pPr>
      <w:r>
        <w:rPr>
          <w:rFonts w:ascii="Arial" w:cs="Arial" w:eastAsia="Arial" w:hAnsi="Arial"/>
          <w:sz w:val="13"/>
          <w:szCs w:val="13"/>
          <w:color w:val="auto"/>
        </w:rPr>
        <w:t>Avalign Technologies, Inc.</w:t>
      </w:r>
      <w:r>
        <w:rPr>
          <w:rFonts w:ascii="Arial" w:cs="Arial" w:eastAsia="Arial" w:hAnsi="Arial"/>
          <w:sz w:val="21"/>
          <w:szCs w:val="21"/>
          <w:color w:val="auto"/>
          <w:vertAlign w:val="superscript"/>
        </w:rPr>
        <w:t>(8)</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Avalign Technologies,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Bankruptcy Management Solutions, Inc.</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(8)</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Services: Business</w:t>
      </w:r>
    </w:p>
    <w:p>
      <w:pPr>
        <w:ind w:left="20"/>
        <w:spacing w:after="0" w:line="233" w:lineRule="auto"/>
        <w:rPr>
          <w:sz w:val="20"/>
          <w:szCs w:val="20"/>
          <w:color w:val="auto"/>
        </w:rPr>
      </w:pPr>
      <w:r>
        <w:rPr>
          <w:rFonts w:ascii="Arial" w:cs="Arial" w:eastAsia="Arial" w:hAnsi="Arial"/>
          <w:sz w:val="14"/>
          <w:szCs w:val="14"/>
          <w:color w:val="auto"/>
        </w:rPr>
        <w:t>BarBri, Inc. (Gemini Holdings,</w:t>
      </w:r>
    </w:p>
    <w:p>
      <w:pPr>
        <w:ind w:left="200"/>
        <w:spacing w:after="0" w:line="180"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(8), (9)</w:t>
      </w:r>
    </w:p>
    <w:p>
      <w:pPr>
        <w:ind w:left="200"/>
        <w:spacing w:after="0" w:line="233" w:lineRule="auto"/>
        <w:rPr>
          <w:sz w:val="20"/>
          <w:szCs w:val="20"/>
          <w:color w:val="auto"/>
        </w:rPr>
      </w:pPr>
      <w:r>
        <w:rPr>
          <w:rFonts w:ascii="Arial" w:cs="Arial" w:eastAsia="Arial" w:hAnsi="Arial"/>
          <w:sz w:val="14"/>
          <w:szCs w:val="14"/>
          <w:i w:val="1"/>
          <w:iCs w:val="1"/>
          <w:color w:val="auto"/>
        </w:rPr>
        <w:t>Services: Consumer</w:t>
      </w:r>
    </w:p>
    <w:p>
      <w:pPr>
        <w:ind w:left="200" w:right="80" w:hanging="186"/>
        <w:spacing w:after="0" w:line="183" w:lineRule="auto"/>
        <w:tabs>
          <w:tab w:leader="none" w:pos="344"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Industries US Holdings, Inc.</w:t>
      </w:r>
      <w:r>
        <w:rPr>
          <w:rFonts w:ascii="Arial" w:cs="Arial" w:eastAsia="Arial" w:hAnsi="Arial"/>
          <w:sz w:val="20"/>
          <w:szCs w:val="20"/>
          <w:color w:val="auto"/>
          <w:vertAlign w:val="superscript"/>
        </w:rPr>
        <w:t>(8), (9)</w:t>
      </w:r>
      <w:r>
        <w:rPr>
          <w:rFonts w:ascii="Arial" w:cs="Arial" w:eastAsia="Arial" w:hAnsi="Arial"/>
          <w:sz w:val="13"/>
          <w:szCs w:val="13"/>
          <w:color w:val="auto"/>
        </w:rPr>
        <w:t xml:space="preserve"> </w:t>
      </w:r>
      <w:r>
        <w:rPr>
          <w:rFonts w:ascii="Arial" w:cs="Arial" w:eastAsia="Arial" w:hAnsi="Arial"/>
          <w:sz w:val="13"/>
          <w:szCs w:val="13"/>
          <w:i w:val="1"/>
          <w:iCs w:val="1"/>
          <w:color w:val="auto"/>
        </w:rPr>
        <w:t>Automotive</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Bestop,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Automotive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48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5.8%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Due 2/22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  2,970,000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2,946,408</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   2,919,807</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5/20</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2,720,465</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2,705,259</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2,606,194</w:t>
            </w:r>
          </w:p>
        </w:tc>
      </w:tr>
      <w:tr>
        <w:trPr>
          <w:trHeight w:val="196"/>
        </w:trPr>
        <w:tc>
          <w:tcPr>
            <w:tcW w:w="2480" w:type="dxa"/>
            <w:vAlign w:val="bottom"/>
          </w:tcPr>
          <w:p>
            <w:pPr>
              <w:ind w:left="80"/>
              <w:spacing w:after="0"/>
              <w:rPr>
                <w:sz w:val="20"/>
                <w:szCs w:val="20"/>
                <w:color w:val="auto"/>
              </w:rPr>
            </w:pPr>
            <w:r>
              <w:rPr>
                <w:rFonts w:ascii="Arial" w:cs="Arial" w:eastAsia="Arial" w:hAnsi="Arial"/>
                <w:sz w:val="14"/>
                <w:szCs w:val="14"/>
                <w:color w:val="auto"/>
              </w:rPr>
              <w:t>First Lien Bond — 12.500% –</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49"/>
        </w:trPr>
        <w:tc>
          <w:tcPr>
            <w:tcW w:w="2480" w:type="dxa"/>
            <w:vAlign w:val="bottom"/>
          </w:tcPr>
          <w:p>
            <w:pPr>
              <w:ind w:left="120"/>
              <w:spacing w:after="0" w:line="149" w:lineRule="exact"/>
              <w:rPr>
                <w:sz w:val="20"/>
                <w:szCs w:val="20"/>
                <w:color w:val="auto"/>
              </w:rPr>
            </w:pPr>
            <w:r>
              <w:rPr>
                <w:rFonts w:ascii="Arial" w:cs="Arial" w:eastAsia="Arial" w:hAnsi="Arial"/>
                <w:sz w:val="14"/>
                <w:szCs w:val="14"/>
                <w:color w:val="auto"/>
              </w:rPr>
              <w:t>6/2019 — 00753CAG7 5.3% Cash,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7.3% PIK, Due 6/19</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3,060,919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3,060,919</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1,089,338</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7.5%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7/22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1,001,753</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995,300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B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4.3%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6/22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3,030,277</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3,024,429</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3,034,489</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6.0%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8/21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3,853,704</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3,838,792</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3,874,899</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5.5%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2/21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1,871,912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1,860,822</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1,864,237</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7.0%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3,867,838</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3,769,454</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3,900,714</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7.5%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4/22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3,482,500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3,420,642</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3,480,759</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6/21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3,665,860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3,652,075</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3,604,274</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Incremental</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Tranche B-4 Term Loan 5.0% Cash,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1.0% Libor Floor, Due 8/22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876,911</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873,399</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889,736</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w w:val="93"/>
              </w:rPr>
              <w:t>Senior Secured Loan — Replacement B-</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2 Term Loan 4.0% Cash, 0.8%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7/20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187,812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188,275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189,719</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(Second Lien) 9.5%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7/22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992,078</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985,000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5.5%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Due 7/21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2,925,000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2,913,921</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2,915,640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7.0%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6/18</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665,654</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665,654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655,935</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4.5%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7/19</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2,619,636</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2,614,056</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2,578,508</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6.0%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11/21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2,947,500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2,906,715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2,800,125</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8"/>
              </w:rPr>
              <w:t>Senior Secured Loan — Delayed Draw</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Term Loan 6.3%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1"/>
        </w:trPr>
        <w:tc>
          <w:tcPr>
            <w:tcW w:w="2480" w:type="dxa"/>
            <w:vAlign w:val="bottom"/>
          </w:tcPr>
          <w:p>
            <w:pPr>
              <w:ind w:left="80"/>
              <w:spacing w:after="0"/>
              <w:rPr>
                <w:sz w:val="20"/>
                <w:szCs w:val="20"/>
                <w:color w:val="auto"/>
              </w:rPr>
            </w:pPr>
            <w:r>
              <w:rPr>
                <w:rFonts w:ascii="Arial" w:cs="Arial" w:eastAsia="Arial" w:hAnsi="Arial"/>
                <w:sz w:val="14"/>
                <w:szCs w:val="14"/>
                <w:color w:val="auto"/>
              </w:rPr>
              <w:t>Floor, Due 7/21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34,660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32,776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34,466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-5440680</wp:posOffset>
            </wp:positionV>
            <wp:extent cx="5213985" cy="2832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-4848860</wp:posOffset>
            </wp:positionV>
            <wp:extent cx="5213985" cy="3346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334645"/>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-4231640</wp:posOffset>
            </wp:positionV>
            <wp:extent cx="5213985" cy="2832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-3665855</wp:posOffset>
            </wp:positionV>
            <wp:extent cx="5213985" cy="2832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-3099435</wp:posOffset>
            </wp:positionV>
            <wp:extent cx="5213985" cy="2832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-2533650</wp:posOffset>
            </wp:positionV>
            <wp:extent cx="5213985" cy="4032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-1727200</wp:posOffset>
            </wp:positionV>
            <wp:extent cx="5213985" cy="2832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-1161415</wp:posOffset>
            </wp:positionV>
            <wp:extent cx="5213985" cy="291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-561340</wp:posOffset>
            </wp:positionV>
            <wp:extent cx="5213985" cy="2832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3985" cy="2832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00" w:space="200"/>
            <w:col w:w="749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860" w:type="dxa"/>
            <w:vAlign w:val="bottom"/>
            <w:shd w:val="clear" w:color="auto" w:fill="CCEEFF"/>
          </w:tcPr>
          <w:p>
            <w:pPr>
              <w:jc w:val="center"/>
              <w:ind w:right="713"/>
              <w:spacing w:after="0" w:line="169" w:lineRule="exact"/>
              <w:rPr>
                <w:sz w:val="20"/>
                <w:szCs w:val="20"/>
                <w:color w:val="auto"/>
              </w:rPr>
            </w:pPr>
            <w:r>
              <w:rPr>
                <w:rFonts w:ascii="Arial" w:cs="Arial" w:eastAsia="Arial" w:hAnsi="Arial"/>
                <w:sz w:val="12"/>
                <w:szCs w:val="12"/>
                <w:color w:val="auto"/>
              </w:rPr>
              <w:t>Bestop, Inc.</w:t>
            </w:r>
            <w:r>
              <w:rPr>
                <w:rFonts w:ascii="Arial" w:cs="Arial" w:eastAsia="Arial" w:hAnsi="Arial"/>
                <w:sz w:val="19"/>
                <w:szCs w:val="19"/>
                <w:color w:val="auto"/>
                <w:vertAlign w:val="superscript"/>
              </w:rPr>
              <w:t>(8), (9)</w:t>
            </w:r>
          </w:p>
        </w:tc>
        <w:tc>
          <w:tcPr>
            <w:tcW w:w="33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Senior Secured Loan — First</w:t>
            </w:r>
          </w:p>
        </w:tc>
        <w:tc>
          <w:tcPr>
            <w:tcW w:w="1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jc w:val="center"/>
              <w:ind w:right="753"/>
              <w:spacing w:after="0" w:line="149" w:lineRule="exact"/>
              <w:rPr>
                <w:sz w:val="20"/>
                <w:szCs w:val="20"/>
                <w:color w:val="auto"/>
              </w:rPr>
            </w:pPr>
            <w:r>
              <w:rPr>
                <w:rFonts w:ascii="Arial" w:cs="Arial" w:eastAsia="Arial" w:hAnsi="Arial"/>
                <w:sz w:val="14"/>
                <w:szCs w:val="14"/>
                <w:i w:val="1"/>
                <w:iCs w:val="1"/>
                <w:color w:val="auto"/>
                <w:w w:val="91"/>
              </w:rPr>
              <w:t>Automotive</w:t>
            </w:r>
          </w:p>
        </w:tc>
        <w:tc>
          <w:tcPr>
            <w:tcW w:w="332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Amendment Term Loan 6.3% Cash,</w:t>
            </w:r>
          </w:p>
        </w:tc>
        <w:tc>
          <w:tcPr>
            <w:tcW w:w="11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500,000</w:t>
            </w:r>
          </w:p>
        </w:tc>
        <w:tc>
          <w:tcPr>
            <w:tcW w:w="106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495,290</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497,200</w:t>
            </w:r>
          </w:p>
        </w:tc>
        <w:tc>
          <w:tcPr>
            <w:tcW w:w="0" w:type="dxa"/>
            <w:vAlign w:val="bottom"/>
          </w:tcPr>
          <w:p>
            <w:pPr>
              <w:spacing w:after="0"/>
              <w:rPr>
                <w:sz w:val="1"/>
                <w:szCs w:val="1"/>
                <w:color w:val="auto"/>
              </w:rPr>
            </w:pPr>
          </w:p>
        </w:tc>
      </w:tr>
      <w:tr>
        <w:trPr>
          <w:trHeight w:val="135"/>
        </w:trPr>
        <w:tc>
          <w:tcPr>
            <w:tcW w:w="1860" w:type="dxa"/>
            <w:vAlign w:val="bottom"/>
            <w:shd w:val="clear" w:color="auto" w:fill="CCEEFF"/>
          </w:tcPr>
          <w:p>
            <w:pPr>
              <w:spacing w:after="0"/>
              <w:rPr>
                <w:sz w:val="11"/>
                <w:szCs w:val="11"/>
                <w:color w:val="auto"/>
              </w:rPr>
            </w:pPr>
          </w:p>
        </w:tc>
        <w:tc>
          <w:tcPr>
            <w:tcW w:w="3320" w:type="dxa"/>
            <w:vAlign w:val="bottom"/>
            <w:shd w:val="clear" w:color="auto" w:fill="CCEEFF"/>
          </w:tcPr>
          <w:p>
            <w:pPr>
              <w:ind w:left="820"/>
              <w:spacing w:after="0" w:line="135" w:lineRule="exact"/>
              <w:rPr>
                <w:sz w:val="20"/>
                <w:szCs w:val="20"/>
                <w:color w:val="auto"/>
              </w:rPr>
            </w:pPr>
            <w:r>
              <w:rPr>
                <w:rFonts w:ascii="Arial" w:cs="Arial" w:eastAsia="Arial" w:hAnsi="Arial"/>
                <w:sz w:val="14"/>
                <w:szCs w:val="14"/>
                <w:color w:val="auto"/>
              </w:rPr>
              <w:t>1.0% Libor Floor, Due 7/21</w:t>
            </w:r>
          </w:p>
        </w:tc>
        <w:tc>
          <w:tcPr>
            <w:tcW w:w="1160" w:type="dxa"/>
            <w:vAlign w:val="bottom"/>
            <w:vMerge w:val="continue"/>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436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5862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4"/>
          <w:szCs w:val="14"/>
          <w:color w:val="auto"/>
        </w:rPr>
        <w:t>Bestop, Inc.</w:t>
      </w:r>
      <w:r>
        <w:rPr>
          <w:rFonts w:ascii="Arial" w:cs="Arial" w:eastAsia="Arial" w:hAnsi="Arial"/>
          <w:sz w:val="23"/>
          <w:szCs w:val="23"/>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Carolina Beverage Group LLC</w:t>
      </w:r>
      <w:r>
        <w:rPr>
          <w:rFonts w:ascii="Arial" w:cs="Arial" w:eastAsia="Arial" w:hAnsi="Arial"/>
          <w:sz w:val="23"/>
          <w:szCs w:val="23"/>
          <w:color w:val="auto"/>
          <w:vertAlign w:val="superscript"/>
        </w:rPr>
        <w:t>(8)</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CCS Intermediate Holdings, LLC</w:t>
      </w:r>
      <w:r>
        <w:rPr>
          <w:rFonts w:ascii="Arial" w:cs="Arial" w:eastAsia="Arial" w:hAnsi="Arial"/>
          <w:sz w:val="21"/>
          <w:szCs w:val="21"/>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Cengage Learning, Inc.</w:t>
      </w:r>
      <w:r>
        <w:rPr>
          <w:rFonts w:ascii="Arial" w:cs="Arial" w:eastAsia="Arial" w:hAnsi="Arial"/>
          <w:sz w:val="23"/>
          <w:szCs w:val="23"/>
          <w:color w:val="auto"/>
          <w:vertAlign w:val="superscript"/>
        </w:rPr>
        <w:t>(8), (9)</w:t>
      </w:r>
    </w:p>
    <w:p>
      <w:pPr>
        <w:ind w:left="180"/>
        <w:spacing w:after="0" w:line="221" w:lineRule="auto"/>
        <w:rPr>
          <w:sz w:val="20"/>
          <w:szCs w:val="20"/>
          <w:color w:val="auto"/>
        </w:rPr>
      </w:pPr>
      <w:r>
        <w:rPr>
          <w:rFonts w:ascii="Arial" w:cs="Arial" w:eastAsia="Arial" w:hAnsi="Arial"/>
          <w:sz w:val="14"/>
          <w:szCs w:val="14"/>
          <w:i w:val="1"/>
          <w:iCs w:val="1"/>
          <w:color w:val="auto"/>
        </w:rPr>
        <w:t>Media: Advertising, Printing &amp;</w:t>
      </w:r>
    </w:p>
    <w:p>
      <w:pPr>
        <w:ind w:left="180"/>
        <w:spacing w:after="0" w:line="221" w:lineRule="auto"/>
        <w:rPr>
          <w:sz w:val="20"/>
          <w:szCs w:val="20"/>
          <w:color w:val="auto"/>
        </w:rPr>
      </w:pPr>
      <w:r>
        <w:rPr>
          <w:rFonts w:ascii="Arial" w:cs="Arial" w:eastAsia="Arial" w:hAnsi="Arial"/>
          <w:sz w:val="14"/>
          <w:szCs w:val="14"/>
          <w:i w:val="1"/>
          <w:iCs w:val="1"/>
          <w:color w:val="auto"/>
        </w:rPr>
        <w:t>Publishing</w:t>
      </w:r>
    </w:p>
    <w:p>
      <w:pPr>
        <w:spacing w:after="0" w:line="1" w:lineRule="exact"/>
        <w:rPr>
          <w:sz w:val="20"/>
          <w:szCs w:val="20"/>
          <w:color w:val="auto"/>
        </w:rPr>
      </w:pPr>
    </w:p>
    <w:p>
      <w:pPr>
        <w:ind w:left="180" w:right="220" w:hanging="179"/>
        <w:spacing w:after="0" w:line="190" w:lineRule="auto"/>
        <w:rPr>
          <w:sz w:val="20"/>
          <w:szCs w:val="20"/>
          <w:color w:val="auto"/>
        </w:rPr>
      </w:pPr>
      <w:r>
        <w:rPr>
          <w:rFonts w:ascii="Arial" w:cs="Arial" w:eastAsia="Arial" w:hAnsi="Arial"/>
          <w:sz w:val="14"/>
          <w:szCs w:val="14"/>
          <w:color w:val="auto"/>
        </w:rPr>
        <w:t>Checkout Holding Corp. (fka Catalina Marketing)</w:t>
      </w:r>
      <w:r>
        <w:rPr>
          <w:rFonts w:ascii="Arial" w:cs="Arial" w:eastAsia="Arial" w:hAnsi="Arial"/>
          <w:sz w:val="23"/>
          <w:szCs w:val="23"/>
          <w:color w:val="auto"/>
          <w:vertAlign w:val="superscript"/>
        </w:rPr>
        <w:t>(8), (9)</w:t>
      </w:r>
    </w:p>
    <w:p>
      <w:pPr>
        <w:spacing w:after="0" w:line="1" w:lineRule="exact"/>
        <w:rPr>
          <w:sz w:val="20"/>
          <w:szCs w:val="20"/>
          <w:color w:val="auto"/>
        </w:rPr>
      </w:pPr>
    </w:p>
    <w:p>
      <w:pPr>
        <w:ind w:left="180" w:right="440"/>
        <w:spacing w:after="0" w:line="227" w:lineRule="auto"/>
        <w:rPr>
          <w:sz w:val="20"/>
          <w:szCs w:val="20"/>
          <w:color w:val="auto"/>
        </w:rPr>
      </w:pPr>
      <w:r>
        <w:rPr>
          <w:rFonts w:ascii="Arial" w:cs="Arial" w:eastAsia="Arial" w:hAnsi="Arial"/>
          <w:sz w:val="14"/>
          <w:szCs w:val="14"/>
          <w:i w:val="1"/>
          <w:iCs w:val="1"/>
          <w:color w:val="auto"/>
        </w:rPr>
        <w:t>Media: Advertising, Printing &amp; Publishing</w:t>
      </w:r>
    </w:p>
    <w:p>
      <w:pPr>
        <w:spacing w:after="0" w:line="180" w:lineRule="auto"/>
        <w:rPr>
          <w:sz w:val="20"/>
          <w:szCs w:val="20"/>
          <w:color w:val="auto"/>
        </w:rPr>
      </w:pPr>
      <w:r>
        <w:rPr>
          <w:rFonts w:ascii="Arial" w:cs="Arial" w:eastAsia="Arial" w:hAnsi="Arial"/>
          <w:sz w:val="13"/>
          <w:szCs w:val="13"/>
          <w:color w:val="auto"/>
        </w:rPr>
        <w:t>CHS/Community Health Systems, Inc.</w:t>
      </w:r>
      <w:r>
        <w:rPr>
          <w:rFonts w:ascii="Arial" w:cs="Arial" w:eastAsia="Arial" w:hAnsi="Arial"/>
          <w:sz w:val="21"/>
          <w:szCs w:val="21"/>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Consolidated Communications,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CRGT Inc.</w:t>
      </w:r>
      <w:r>
        <w:rPr>
          <w:rFonts w:ascii="Arial" w:cs="Arial" w:eastAsia="Arial" w:hAnsi="Arial"/>
          <w:sz w:val="23"/>
          <w:szCs w:val="23"/>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84" w:lineRule="exact"/>
        <w:rPr>
          <w:sz w:val="20"/>
          <w:szCs w:val="20"/>
          <w:color w:val="auto"/>
        </w:rPr>
      </w:pPr>
    </w:p>
    <w:p>
      <w:pPr>
        <w:ind w:left="180" w:hanging="179"/>
        <w:spacing w:after="0" w:line="197" w:lineRule="auto"/>
        <w:rPr>
          <w:sz w:val="20"/>
          <w:szCs w:val="20"/>
          <w:color w:val="auto"/>
        </w:rPr>
      </w:pPr>
      <w:r>
        <w:rPr>
          <w:rFonts w:ascii="Arial" w:cs="Arial" w:eastAsia="Arial" w:hAnsi="Arial"/>
          <w:sz w:val="14"/>
          <w:szCs w:val="14"/>
          <w:color w:val="auto"/>
        </w:rPr>
        <w:t>CSM Bakery Solutions Limited (fka CSM Bakery Supplies Limited)</w:t>
      </w:r>
      <w:r>
        <w:rPr>
          <w:rFonts w:ascii="Arial" w:cs="Arial" w:eastAsia="Arial" w:hAnsi="Arial"/>
          <w:sz w:val="23"/>
          <w:szCs w:val="23"/>
          <w:color w:val="auto"/>
          <w:vertAlign w:val="superscript"/>
        </w:rPr>
        <w:t>(8)</w:t>
      </w:r>
    </w:p>
    <w:p>
      <w:pPr>
        <w:ind w:left="180"/>
        <w:spacing w:after="0" w:line="222" w:lineRule="auto"/>
        <w:rPr>
          <w:sz w:val="20"/>
          <w:szCs w:val="20"/>
          <w:color w:val="auto"/>
        </w:rPr>
      </w:pPr>
      <w:r>
        <w:rPr>
          <w:rFonts w:ascii="Arial" w:cs="Arial" w:eastAsia="Arial" w:hAnsi="Arial"/>
          <w:sz w:val="14"/>
          <w:szCs w:val="14"/>
          <w:i w:val="1"/>
          <w:iCs w:val="1"/>
          <w:color w:val="auto"/>
        </w:rPr>
        <w:t>Beverage, Food and Tobacco</w:t>
      </w:r>
    </w:p>
    <w:p>
      <w:pPr>
        <w:spacing w:after="0"/>
        <w:rPr>
          <w:sz w:val="20"/>
          <w:szCs w:val="20"/>
          <w:color w:val="auto"/>
        </w:rPr>
      </w:pPr>
      <w:r>
        <w:rPr>
          <w:rFonts w:ascii="Arial" w:cs="Arial" w:eastAsia="Arial" w:hAnsi="Arial"/>
          <w:sz w:val="13"/>
          <w:szCs w:val="13"/>
          <w:color w:val="auto"/>
        </w:rPr>
        <w:t>CT Technologies Intermediate Holdings,</w:t>
      </w:r>
    </w:p>
    <w:p>
      <w:pPr>
        <w:ind w:left="180"/>
        <w:spacing w:after="0" w:line="233" w:lineRule="auto"/>
        <w:rPr>
          <w:sz w:val="20"/>
          <w:szCs w:val="20"/>
          <w:color w:val="auto"/>
        </w:rPr>
      </w:pPr>
      <w:r>
        <w:rPr>
          <w:rFonts w:ascii="Arial" w:cs="Arial" w:eastAsia="Arial" w:hAnsi="Arial"/>
          <w:sz w:val="14"/>
          <w:szCs w:val="14"/>
          <w:color w:val="auto"/>
        </w:rPr>
        <w:t>Inc. (Smart Holdings Corp.) (aka</w:t>
      </w:r>
    </w:p>
    <w:p>
      <w:pPr>
        <w:ind w:left="180"/>
        <w:spacing w:after="0" w:line="180" w:lineRule="auto"/>
        <w:rPr>
          <w:sz w:val="20"/>
          <w:szCs w:val="20"/>
          <w:color w:val="auto"/>
        </w:rPr>
      </w:pPr>
      <w:r>
        <w:rPr>
          <w:rFonts w:ascii="Arial" w:cs="Arial" w:eastAsia="Arial" w:hAnsi="Arial"/>
          <w:sz w:val="13"/>
          <w:szCs w:val="13"/>
          <w:color w:val="auto"/>
        </w:rPr>
        <w:t>HealthPort)</w:t>
      </w:r>
      <w:r>
        <w:rPr>
          <w:rFonts w:ascii="Arial" w:cs="Arial" w:eastAsia="Arial" w:hAnsi="Arial"/>
          <w:sz w:val="21"/>
          <w:szCs w:val="21"/>
          <w:color w:val="auto"/>
          <w:vertAlign w:val="superscript"/>
        </w:rPr>
        <w:t>(8), (9)</w:t>
      </w:r>
    </w:p>
    <w:p>
      <w:pPr>
        <w:ind w:left="180"/>
        <w:spacing w:after="0" w:line="233" w:lineRule="auto"/>
        <w:rPr>
          <w:sz w:val="20"/>
          <w:szCs w:val="20"/>
          <w:color w:val="auto"/>
        </w:rPr>
      </w:pPr>
      <w:r>
        <w:rPr>
          <w:rFonts w:ascii="Arial" w:cs="Arial" w:eastAsia="Arial" w:hAnsi="Arial"/>
          <w:sz w:val="14"/>
          <w:szCs w:val="14"/>
          <w:i w:val="1"/>
          <w:iCs w:val="1"/>
          <w:color w:val="auto"/>
        </w:rPr>
        <w:t>Healthcare &amp; Pharmaceuticals</w:t>
      </w:r>
    </w:p>
    <w:p>
      <w:pPr>
        <w:spacing w:after="0" w:line="180" w:lineRule="auto"/>
        <w:rPr>
          <w:sz w:val="20"/>
          <w:szCs w:val="20"/>
          <w:color w:val="auto"/>
        </w:rPr>
      </w:pPr>
      <w:r>
        <w:rPr>
          <w:rFonts w:ascii="Arial" w:cs="Arial" w:eastAsia="Arial" w:hAnsi="Arial"/>
          <w:sz w:val="13"/>
          <w:szCs w:val="13"/>
          <w:color w:val="auto"/>
        </w:rPr>
        <w:t>Drew Marine Group Inc.</w:t>
      </w:r>
      <w:r>
        <w:rPr>
          <w:rFonts w:ascii="Arial" w:cs="Arial" w:eastAsia="Arial" w:hAnsi="Arial"/>
          <w:sz w:val="21"/>
          <w:szCs w:val="21"/>
          <w:color w:val="auto"/>
          <w:vertAlign w:val="superscript"/>
        </w:rPr>
        <w:t>(8)</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84" w:lineRule="exact"/>
        <w:rPr>
          <w:sz w:val="20"/>
          <w:szCs w:val="20"/>
          <w:color w:val="auto"/>
        </w:rPr>
      </w:pPr>
    </w:p>
    <w:p>
      <w:pPr>
        <w:ind w:left="180" w:hanging="179"/>
        <w:spacing w:after="0" w:line="219" w:lineRule="auto"/>
        <w:rPr>
          <w:sz w:val="20"/>
          <w:szCs w:val="20"/>
          <w:color w:val="auto"/>
        </w:rPr>
      </w:pPr>
      <w:r>
        <w:rPr>
          <w:rFonts w:ascii="Arial" w:cs="Arial" w:eastAsia="Arial" w:hAnsi="Arial"/>
          <w:sz w:val="13"/>
          <w:szCs w:val="13"/>
          <w:color w:val="auto"/>
        </w:rPr>
        <w:t>Eastern Power, LLC (Eastern Covert Midco, LLC) (aka TPF II LC, LLC)</w:t>
      </w:r>
      <w:r>
        <w:rPr>
          <w:rFonts w:ascii="Arial" w:cs="Arial" w:eastAsia="Arial" w:hAnsi="Arial"/>
          <w:sz w:val="21"/>
          <w:szCs w:val="21"/>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(9)</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Utilities: Electric</w:t>
      </w:r>
    </w:p>
    <w:p>
      <w:pPr>
        <w:spacing w:after="0" w:line="233" w:lineRule="auto"/>
        <w:rPr>
          <w:sz w:val="20"/>
          <w:szCs w:val="20"/>
          <w:color w:val="auto"/>
        </w:rPr>
      </w:pPr>
      <w:r>
        <w:rPr>
          <w:rFonts w:ascii="Arial" w:cs="Arial" w:eastAsia="Arial" w:hAnsi="Arial"/>
          <w:sz w:val="14"/>
          <w:szCs w:val="14"/>
          <w:color w:val="auto"/>
        </w:rPr>
        <w:t>Electric Lightwave Holdings, Inc. (f.k.a.</w:t>
      </w:r>
    </w:p>
    <w:p>
      <w:pPr>
        <w:ind w:left="180" w:right="60"/>
        <w:spacing w:after="0" w:line="227" w:lineRule="auto"/>
        <w:rPr>
          <w:sz w:val="20"/>
          <w:szCs w:val="20"/>
          <w:color w:val="auto"/>
        </w:rPr>
      </w:pPr>
      <w:r>
        <w:rPr>
          <w:rFonts w:ascii="Arial" w:cs="Arial" w:eastAsia="Arial" w:hAnsi="Arial"/>
          <w:sz w:val="12"/>
          <w:szCs w:val="12"/>
          <w:color w:val="auto"/>
        </w:rPr>
        <w:t>Integra Telecom Holdings, Inc.)</w:t>
      </w:r>
      <w:r>
        <w:rPr>
          <w:rFonts w:ascii="Arial" w:cs="Arial" w:eastAsia="Arial" w:hAnsi="Arial"/>
          <w:sz w:val="19"/>
          <w:szCs w:val="19"/>
          <w:color w:val="auto"/>
          <w:vertAlign w:val="superscript"/>
        </w:rPr>
        <w:t>(8), (9)</w:t>
      </w:r>
      <w:r>
        <w:rPr>
          <w:rFonts w:ascii="Arial" w:cs="Arial" w:eastAsia="Arial" w:hAnsi="Arial"/>
          <w:sz w:val="12"/>
          <w:szCs w:val="12"/>
          <w:color w:val="auto"/>
        </w:rPr>
        <w:t xml:space="preserve"> </w:t>
      </w:r>
      <w:r>
        <w:rPr>
          <w:rFonts w:ascii="Arial" w:cs="Arial" w:eastAsia="Arial" w:hAnsi="Arial"/>
          <w:sz w:val="12"/>
          <w:szCs w:val="12"/>
          <w:i w:val="1"/>
          <w:iCs w:val="1"/>
          <w:color w:val="auto"/>
        </w:rPr>
        <w:t>Telecommunications</w:t>
      </w:r>
    </w:p>
    <w:p>
      <w:pPr>
        <w:spacing w:after="0" w:line="180" w:lineRule="auto"/>
        <w:rPr>
          <w:sz w:val="20"/>
          <w:szCs w:val="20"/>
          <w:color w:val="auto"/>
        </w:rPr>
      </w:pPr>
      <w:r>
        <w:rPr>
          <w:rFonts w:ascii="Arial" w:cs="Arial" w:eastAsia="Arial" w:hAnsi="Arial"/>
          <w:sz w:val="13"/>
          <w:szCs w:val="13"/>
          <w:color w:val="auto"/>
        </w:rPr>
        <w:t>ELO Touch Solutions, Inc.</w:t>
      </w:r>
      <w:r>
        <w:rPr>
          <w:rFonts w:ascii="Arial" w:cs="Arial" w:eastAsia="Arial" w:hAnsi="Arial"/>
          <w:sz w:val="21"/>
          <w:szCs w:val="21"/>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Empower Payments Acquisition,</w:t>
      </w:r>
    </w:p>
    <w:p>
      <w:pPr>
        <w:ind w:left="180"/>
        <w:spacing w:after="0" w:line="187"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(8), (9)</w:t>
      </w:r>
    </w:p>
    <w:p>
      <w:pPr>
        <w:ind w:left="180"/>
        <w:spacing w:after="0" w:line="222" w:lineRule="auto"/>
        <w:rPr>
          <w:sz w:val="20"/>
          <w:szCs w:val="20"/>
          <w:color w:val="auto"/>
        </w:rPr>
      </w:pPr>
      <w:r>
        <w:rPr>
          <w:rFonts w:ascii="Arial" w:cs="Arial" w:eastAsia="Arial" w:hAnsi="Arial"/>
          <w:sz w:val="14"/>
          <w:szCs w:val="14"/>
          <w:i w:val="1"/>
          <w:iCs w:val="1"/>
          <w:color w:val="auto"/>
        </w:rPr>
        <w:t>Services: Business</w:t>
      </w:r>
    </w:p>
    <w:p>
      <w:pPr>
        <w:spacing w:after="0" w:line="233" w:lineRule="auto"/>
        <w:rPr>
          <w:sz w:val="20"/>
          <w:szCs w:val="20"/>
          <w:color w:val="auto"/>
        </w:rPr>
      </w:pPr>
      <w:r>
        <w:rPr>
          <w:rFonts w:ascii="Arial" w:cs="Arial" w:eastAsia="Arial" w:hAnsi="Arial"/>
          <w:sz w:val="14"/>
          <w:szCs w:val="14"/>
          <w:color w:val="auto"/>
        </w:rPr>
        <w:t>EWT Holdings III Corp. (fka WTG</w:t>
      </w:r>
    </w:p>
    <w:p>
      <w:pPr>
        <w:ind w:left="180"/>
        <w:spacing w:after="0" w:line="180" w:lineRule="auto"/>
        <w:rPr>
          <w:sz w:val="20"/>
          <w:szCs w:val="20"/>
          <w:color w:val="auto"/>
        </w:rPr>
      </w:pPr>
      <w:r>
        <w:rPr>
          <w:rFonts w:ascii="Arial" w:cs="Arial" w:eastAsia="Arial" w:hAnsi="Arial"/>
          <w:sz w:val="13"/>
          <w:szCs w:val="13"/>
          <w:color w:val="auto"/>
        </w:rPr>
        <w:t>Holdings III Corp.)</w:t>
      </w:r>
      <w:r>
        <w:rPr>
          <w:rFonts w:ascii="Arial" w:cs="Arial" w:eastAsia="Arial" w:hAnsi="Arial"/>
          <w:sz w:val="21"/>
          <w:szCs w:val="21"/>
          <w:color w:val="auto"/>
          <w:vertAlign w:val="superscript"/>
        </w:rPr>
        <w:t>(8), (9)</w:t>
      </w:r>
    </w:p>
    <w:p>
      <w:pPr>
        <w:ind w:left="180"/>
        <w:spacing w:after="0" w:line="221" w:lineRule="auto"/>
        <w:rPr>
          <w:sz w:val="20"/>
          <w:szCs w:val="20"/>
          <w:color w:val="auto"/>
        </w:rPr>
      </w:pPr>
      <w:r>
        <w:rPr>
          <w:rFonts w:ascii="Arial" w:cs="Arial" w:eastAsia="Arial" w:hAnsi="Arial"/>
          <w:sz w:val="14"/>
          <w:szCs w:val="14"/>
          <w:i w:val="1"/>
          <w:iCs w:val="1"/>
          <w:color w:val="auto"/>
        </w:rPr>
        <w:t>Ecological</w:t>
      </w:r>
    </w:p>
    <w:p>
      <w:pPr>
        <w:spacing w:after="0" w:line="234" w:lineRule="auto"/>
        <w:rPr>
          <w:sz w:val="20"/>
          <w:szCs w:val="20"/>
          <w:color w:val="auto"/>
        </w:rPr>
      </w:pPr>
      <w:r>
        <w:rPr>
          <w:rFonts w:ascii="Arial" w:cs="Arial" w:eastAsia="Arial" w:hAnsi="Arial"/>
          <w:sz w:val="14"/>
          <w:szCs w:val="14"/>
          <w:color w:val="auto"/>
        </w:rPr>
        <w:t>Fender Musical Instruments</w:t>
      </w:r>
    </w:p>
    <w:p>
      <w:pPr>
        <w:ind w:left="180" w:right="720"/>
        <w:spacing w:after="0" w:line="207" w:lineRule="auto"/>
        <w:rPr>
          <w:sz w:val="20"/>
          <w:szCs w:val="20"/>
          <w:color w:val="auto"/>
        </w:rPr>
      </w:pPr>
      <w:r>
        <w:rPr>
          <w:rFonts w:ascii="Arial" w:cs="Arial" w:eastAsia="Arial" w:hAnsi="Arial"/>
          <w:sz w:val="13"/>
          <w:szCs w:val="13"/>
          <w:color w:val="auto"/>
        </w:rPr>
        <w:t>Corporation</w:t>
      </w:r>
      <w:r>
        <w:rPr>
          <w:rFonts w:ascii="Arial" w:cs="Arial" w:eastAsia="Arial" w:hAnsi="Arial"/>
          <w:sz w:val="21"/>
          <w:szCs w:val="21"/>
          <w:color w:val="auto"/>
          <w:vertAlign w:val="superscript"/>
        </w:rPr>
        <w:t>(8), (9)</w:t>
      </w:r>
      <w:r>
        <w:rPr>
          <w:rFonts w:ascii="Arial" w:cs="Arial" w:eastAsia="Arial" w:hAnsi="Arial"/>
          <w:sz w:val="13"/>
          <w:szCs w:val="13"/>
          <w:color w:val="auto"/>
        </w:rPr>
        <w:t xml:space="preserve"> </w:t>
      </w:r>
      <w:r>
        <w:rPr>
          <w:rFonts w:ascii="Arial" w:cs="Arial" w:eastAsia="Arial" w:hAnsi="Arial"/>
          <w:sz w:val="13"/>
          <w:szCs w:val="13"/>
          <w:i w:val="1"/>
          <w:iCs w:val="1"/>
          <w:color w:val="auto"/>
        </w:rPr>
        <w:t>Consumer goods: Durable</w:t>
      </w:r>
    </w:p>
    <w:p>
      <w:pPr>
        <w:spacing w:after="0" w:line="180" w:lineRule="auto"/>
        <w:rPr>
          <w:sz w:val="20"/>
          <w:szCs w:val="20"/>
          <w:color w:val="auto"/>
        </w:rPr>
      </w:pPr>
      <w:r>
        <w:rPr>
          <w:rFonts w:ascii="Arial" w:cs="Arial" w:eastAsia="Arial" w:hAnsi="Arial"/>
          <w:sz w:val="13"/>
          <w:szCs w:val="13"/>
          <w:color w:val="auto"/>
        </w:rPr>
        <w:t>FHC Health Systems, Inc.</w:t>
      </w:r>
      <w:r>
        <w:rPr>
          <w:rFonts w:ascii="Arial" w:cs="Arial" w:eastAsia="Arial" w:hAnsi="Arial"/>
          <w:sz w:val="21"/>
          <w:szCs w:val="21"/>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First American Payment Systems, L.P.</w:t>
      </w:r>
      <w:r>
        <w:rPr>
          <w:rFonts w:ascii="Arial" w:cs="Arial" w:eastAsia="Arial" w:hAnsi="Arial"/>
          <w:sz w:val="21"/>
          <w:szCs w:val="21"/>
          <w:color w:val="auto"/>
          <w:vertAlign w:val="superscript"/>
        </w:rPr>
        <w:t>(8)</w:t>
      </w:r>
    </w:p>
    <w:p>
      <w:pPr>
        <w:ind w:left="180"/>
        <w:spacing w:after="0" w:line="221" w:lineRule="auto"/>
        <w:rPr>
          <w:sz w:val="20"/>
          <w:szCs w:val="20"/>
          <w:color w:val="auto"/>
        </w:rPr>
      </w:pPr>
      <w:r>
        <w:rPr>
          <w:rFonts w:ascii="Arial" w:cs="Arial" w:eastAsia="Arial" w:hAnsi="Arial"/>
          <w:sz w:val="14"/>
          <w:szCs w:val="14"/>
          <w:i w:val="1"/>
          <w:iCs w:val="1"/>
          <w:color w:val="auto"/>
        </w:rPr>
        <w:t>Banking, Finance, Insurance &amp; Real</w:t>
      </w:r>
    </w:p>
    <w:p>
      <w:pPr>
        <w:ind w:left="180"/>
        <w:spacing w:after="0"/>
        <w:rPr>
          <w:sz w:val="20"/>
          <w:szCs w:val="20"/>
          <w:color w:val="auto"/>
        </w:rPr>
      </w:pPr>
      <w:r>
        <w:rPr>
          <w:rFonts w:ascii="Arial" w:cs="Arial" w:eastAsia="Arial" w:hAnsi="Arial"/>
          <w:sz w:val="14"/>
          <w:szCs w:val="14"/>
          <w:i w:val="1"/>
          <w:iCs w:val="1"/>
          <w:color w:val="auto"/>
        </w:rPr>
        <w:t>Estate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Getty Images, Inc.</w:t>
      </w:r>
      <w:r>
        <w:rPr>
          <w:rFonts w:ascii="Arial" w:cs="Arial" w:eastAsia="Arial" w:hAnsi="Arial"/>
          <w:sz w:val="23"/>
          <w:szCs w:val="23"/>
          <w:color w:val="auto"/>
          <w:vertAlign w:val="superscript"/>
        </w:rPr>
        <w:t>(8), (9)</w:t>
      </w:r>
    </w:p>
    <w:p>
      <w:pPr>
        <w:ind w:left="180" w:right="440"/>
        <w:spacing w:after="0" w:line="227" w:lineRule="auto"/>
        <w:rPr>
          <w:sz w:val="20"/>
          <w:szCs w:val="20"/>
          <w:color w:val="auto"/>
        </w:rPr>
      </w:pPr>
      <w:r>
        <w:rPr>
          <w:rFonts w:ascii="Arial" w:cs="Arial" w:eastAsia="Arial" w:hAnsi="Arial"/>
          <w:sz w:val="14"/>
          <w:szCs w:val="14"/>
          <w:i w:val="1"/>
          <w:iCs w:val="1"/>
          <w:color w:val="auto"/>
        </w:rPr>
        <w:t>Media: Advertising, Printing &amp; Publishing</w:t>
      </w:r>
    </w:p>
    <w:p>
      <w:pPr>
        <w:spacing w:after="0" w:line="180" w:lineRule="auto"/>
        <w:rPr>
          <w:sz w:val="20"/>
          <w:szCs w:val="20"/>
          <w:color w:val="auto"/>
        </w:rPr>
      </w:pPr>
      <w:r>
        <w:rPr>
          <w:rFonts w:ascii="Arial" w:cs="Arial" w:eastAsia="Arial" w:hAnsi="Arial"/>
          <w:sz w:val="13"/>
          <w:szCs w:val="13"/>
          <w:color w:val="auto"/>
        </w:rPr>
        <w:t>GI Advo Opco, LLC</w:t>
      </w:r>
      <w:r>
        <w:rPr>
          <w:rFonts w:ascii="Arial" w:cs="Arial" w:eastAsia="Arial" w:hAnsi="Arial"/>
          <w:sz w:val="21"/>
          <w:szCs w:val="21"/>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400" w:type="dxa"/>
            <w:vAlign w:val="bottom"/>
          </w:tcPr>
          <w:p>
            <w:pPr>
              <w:ind w:left="90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9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9"/>
              </w:rPr>
              <w:t>Fair Value</w:t>
            </w:r>
            <w:r>
              <w:rPr>
                <w:rFonts w:ascii="Arial" w:cs="Arial" w:eastAsia="Arial" w:hAnsi="Arial"/>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162"/>
        </w:trPr>
        <w:tc>
          <w:tcPr>
            <w:tcW w:w="2400" w:type="dxa"/>
            <w:vAlign w:val="bottom"/>
            <w:tcBorders>
              <w:bottom w:val="single" w:sz="8" w:color="auto"/>
            </w:tcBorders>
          </w:tcPr>
          <w:p>
            <w:pPr>
              <w:ind w:left="52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400" w:type="dxa"/>
            <w:vAlign w:val="bottom"/>
          </w:tcPr>
          <w:p>
            <w:pPr>
              <w:ind w:left="80"/>
              <w:spacing w:after="0" w:line="123"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6.3%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7/21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1,520,000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1,498,330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1,452,512</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Bond — 10.625% –</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120"/>
              <w:spacing w:after="0" w:line="149" w:lineRule="exact"/>
              <w:rPr>
                <w:sz w:val="20"/>
                <w:szCs w:val="20"/>
                <w:color w:val="auto"/>
              </w:rPr>
            </w:pPr>
            <w:r>
              <w:rPr>
                <w:rFonts w:ascii="Arial" w:cs="Arial" w:eastAsia="Arial" w:hAnsi="Arial"/>
                <w:sz w:val="14"/>
                <w:szCs w:val="14"/>
                <w:color w:val="auto"/>
              </w:rPr>
              <w:t>08/2018 –</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143818AA0 144A 10.6% Cash,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8/18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1,506,461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1,487,400</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5.0%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Libor Floor, Due 7/21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2,932,500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2,922,875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2,470,338</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2016</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Refinancing Term Loan 5.3% Cash,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1.0% Libor Floor, Due 6/23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3,793,913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3,788,981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3,702,043</w:t>
            </w:r>
          </w:p>
        </w:tc>
        <w:tc>
          <w:tcPr>
            <w:tcW w:w="0" w:type="dxa"/>
            <w:vAlign w:val="bottom"/>
          </w:tcPr>
          <w:p>
            <w:pPr>
              <w:spacing w:after="0"/>
              <w:rPr>
                <w:sz w:val="1"/>
                <w:szCs w:val="1"/>
                <w:color w:val="auto"/>
              </w:rPr>
            </w:pPr>
          </w:p>
        </w:tc>
      </w:tr>
      <w:tr>
        <w:trPr>
          <w:trHeight w:val="304"/>
        </w:trPr>
        <w:tc>
          <w:tcPr>
            <w:tcW w:w="2400" w:type="dxa"/>
            <w:vAlign w:val="bottom"/>
          </w:tcPr>
          <w:p>
            <w:pPr>
              <w:ind w:left="80"/>
              <w:spacing w:after="0"/>
              <w:rPr>
                <w:sz w:val="20"/>
                <w:szCs w:val="20"/>
                <w:color w:val="auto"/>
              </w:rPr>
            </w:pPr>
            <w:r>
              <w:rPr>
                <w:rFonts w:ascii="Arial" w:cs="Arial" w:eastAsia="Arial" w:hAnsi="Arial"/>
                <w:sz w:val="14"/>
                <w:szCs w:val="14"/>
                <w:color w:val="auto"/>
                <w:w w:val="98"/>
              </w:rPr>
              <w:t>Senior Secured Loan — Term B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(First Lien) 4.5%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Floor, Due 4/21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975,000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972,021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853,125</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Incremental</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2021 Term H Loan 4.0%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1/21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2,878,621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2,853,070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2,796,465</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Loan 4.0%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10/23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2,067,444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2,062,450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2,067,444</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7.5%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Due 12/20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3,224,017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3,190,360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3,224,339</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w w:val="98"/>
              </w:rPr>
              <w:t>(Second Lien) 8.8%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Floor, Due 7/21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3,011,328</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2,463,000</w:t>
            </w:r>
          </w:p>
        </w:tc>
        <w:tc>
          <w:tcPr>
            <w:tcW w:w="0" w:type="dxa"/>
            <w:vAlign w:val="bottom"/>
          </w:tcPr>
          <w:p>
            <w:pPr>
              <w:spacing w:after="0"/>
              <w:rPr>
                <w:sz w:val="1"/>
                <w:szCs w:val="1"/>
                <w:color w:val="auto"/>
              </w:rPr>
            </w:pPr>
          </w:p>
        </w:tc>
      </w:tr>
      <w:tr>
        <w:trPr>
          <w:trHeight w:val="304"/>
        </w:trPr>
        <w:tc>
          <w:tcPr>
            <w:tcW w:w="2400" w:type="dxa"/>
            <w:vAlign w:val="bottom"/>
          </w:tcPr>
          <w:p>
            <w:pPr>
              <w:ind w:left="80"/>
              <w:spacing w:after="0"/>
              <w:rPr>
                <w:sz w:val="20"/>
                <w:szCs w:val="20"/>
                <w:color w:val="auto"/>
              </w:rPr>
            </w:pPr>
            <w:r>
              <w:rPr>
                <w:rFonts w:ascii="Arial" w:cs="Arial" w:eastAsia="Arial" w:hAnsi="Arial"/>
                <w:sz w:val="14"/>
                <w:szCs w:val="14"/>
                <w:color w:val="auto"/>
              </w:rPr>
              <w:t>Senior Secured Loan — New Term</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Loan Facility 5.3%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Floor, Due 12/21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2,940,225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2,917,719</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2,818,941</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w w:val="98"/>
              </w:rPr>
              <w:t>(Second Lien) 8.0%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Floor, Due 5/21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2,500,000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2,496,331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2,380,000</w:t>
            </w:r>
          </w:p>
        </w:tc>
        <w:tc>
          <w:tcPr>
            <w:tcW w:w="0" w:type="dxa"/>
            <w:vAlign w:val="bottom"/>
          </w:tcPr>
          <w:p>
            <w:pPr>
              <w:spacing w:after="0"/>
              <w:rPr>
                <w:sz w:val="1"/>
                <w:szCs w:val="1"/>
                <w:color w:val="auto"/>
              </w:rPr>
            </w:pPr>
          </w:p>
        </w:tc>
      </w:tr>
      <w:tr>
        <w:trPr>
          <w:trHeight w:val="317"/>
        </w:trPr>
        <w:tc>
          <w:tcPr>
            <w:tcW w:w="2400" w:type="dxa"/>
            <w:vAlign w:val="bottom"/>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Due 10/21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2,796,756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2,814,422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2,826,122</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B-1</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Loan 5.3%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8/20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2,932,538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2,924,968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2,945,734</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(First Lien) 8.5% Cash, 1.5%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Floor, Due 6/18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1,420,897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1,397,046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1,380,544</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Due 11/23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2,940,565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2,940,000</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(First Lien) 4.8%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Floor, Due 1/21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1,745,501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1,741,292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1,760,783</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5.8% Cash, 1.3%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4/19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1,339,534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1,345,751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1,322,254</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Loan 5.0%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12/21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3,838,768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3,811,221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3,742,799</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w w:val="95"/>
              </w:rPr>
              <w:t>(Second Lien) 10.8% Cash, 1.3%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Due 4/19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1,796,448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1,783,840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1,742,555</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Loan 4.8% Cash, 1.3%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10/19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2,140,569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2,147,692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1,874,775</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Due 11/21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247,500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245,474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223,913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-6689725</wp:posOffset>
            </wp:positionV>
            <wp:extent cx="5213985" cy="2832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-6029325</wp:posOffset>
            </wp:positionV>
            <wp:extent cx="5213985" cy="2832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-5437505</wp:posOffset>
            </wp:positionV>
            <wp:extent cx="5213985" cy="4032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-4751070</wp:posOffset>
            </wp:positionV>
            <wp:extent cx="5213985" cy="2832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-4185285</wp:posOffset>
            </wp:positionV>
            <wp:extent cx="5213985" cy="3086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-3473450</wp:posOffset>
            </wp:positionV>
            <wp:extent cx="5213985" cy="2832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-2778760</wp:posOffset>
            </wp:positionV>
            <wp:extent cx="5213985" cy="3086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-2186940</wp:posOffset>
            </wp:positionV>
            <wp:extent cx="5213985" cy="308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-1569720</wp:posOffset>
            </wp:positionV>
            <wp:extent cx="5213985" cy="3086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-977900</wp:posOffset>
            </wp:positionV>
            <wp:extent cx="5213985" cy="3771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-292100</wp:posOffset>
            </wp:positionV>
            <wp:extent cx="5213985" cy="2832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-6946900</wp:posOffset>
            </wp:positionV>
            <wp:extent cx="35248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105410</wp:posOffset>
            </wp:positionV>
            <wp:extent cx="6114415" cy="596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2420" w:space="240"/>
            <w:col w:w="7419"/>
          </w:cols>
          <w:pgMar w:left="380" w:top="792" w:right="1440" w:bottom="1440" w:gutter="0" w:footer="0" w:header="0"/>
        </w:sectPr>
      </w:pPr>
    </w:p>
    <w:bookmarkStart w:id="87" w:name="page88"/>
    <w:bookmarkEnd w:id="8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2360" w:type="dxa"/>
            <w:vAlign w:val="bottom"/>
          </w:tcPr>
          <w:p>
            <w:pPr>
              <w:jc w:val="center"/>
              <w:ind w:left="40"/>
              <w:spacing w:after="0"/>
              <w:rPr>
                <w:sz w:val="20"/>
                <w:szCs w:val="20"/>
                <w:color w:val="auto"/>
              </w:rPr>
            </w:pPr>
            <w:r>
              <w:rPr>
                <w:rFonts w:ascii="Arial" w:cs="Arial" w:eastAsia="Arial" w:hAnsi="Arial"/>
                <w:sz w:val="13"/>
                <w:szCs w:val="13"/>
                <w:b w:val="1"/>
                <w:bCs w:val="1"/>
                <w:color w:val="auto"/>
                <w:w w:val="90"/>
              </w:rPr>
              <w:t>Investment</w:t>
            </w:r>
          </w:p>
        </w:tc>
        <w:tc>
          <w:tcPr>
            <w:tcW w:w="1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1"/>
              </w:rPr>
              <w:t>Amortized</w:t>
            </w: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0"/>
                <w:szCs w:val="20"/>
                <w:b w:val="1"/>
                <w:bCs w:val="1"/>
                <w:color w:val="auto"/>
                <w:w w:val="84"/>
                <w:vertAlign w:val="superscript"/>
              </w:rPr>
              <w:t>(2)</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3"/>
                <w:szCs w:val="13"/>
                <w:b w:val="1"/>
                <w:bCs w:val="1"/>
                <w:color w:val="auto"/>
              </w:rPr>
              <w:t>Portfolio Company/Principal Business</w:t>
            </w:r>
          </w:p>
        </w:tc>
        <w:tc>
          <w:tcPr>
            <w:tcW w:w="2360" w:type="dxa"/>
            <w:vAlign w:val="bottom"/>
          </w:tcPr>
          <w:p>
            <w:pPr>
              <w:jc w:val="center"/>
              <w:ind w:left="40"/>
              <w:spacing w:after="0" w:line="162" w:lineRule="exact"/>
              <w:rPr>
                <w:sz w:val="20"/>
                <w:szCs w:val="20"/>
                <w:color w:val="auto"/>
              </w:rPr>
            </w:pPr>
            <w:r>
              <w:rPr>
                <w:rFonts w:ascii="Arial" w:cs="Arial" w:eastAsia="Arial" w:hAnsi="Arial"/>
                <w:sz w:val="12"/>
                <w:szCs w:val="12"/>
                <w:b w:val="1"/>
                <w:bCs w:val="1"/>
                <w:color w:val="auto"/>
                <w:w w:val="97"/>
              </w:rPr>
              <w:t>Interest Rate</w:t>
            </w:r>
            <w:r>
              <w:rPr>
                <w:rFonts w:ascii="Arial" w:cs="Arial" w:eastAsia="Arial" w:hAnsi="Arial"/>
                <w:sz w:val="18"/>
                <w:szCs w:val="18"/>
                <w:b w:val="1"/>
                <w:bCs w:val="1"/>
                <w:color w:val="auto"/>
                <w:w w:val="97"/>
                <w:vertAlign w:val="superscript"/>
              </w:rPr>
              <w:t>(1)</w:t>
            </w:r>
            <w:r>
              <w:rPr>
                <w:rFonts w:ascii="Arial" w:cs="Arial" w:eastAsia="Arial" w:hAnsi="Arial"/>
                <w:sz w:val="12"/>
                <w:szCs w:val="12"/>
                <w:b w:val="1"/>
                <w:bCs w:val="1"/>
                <w:color w:val="auto"/>
                <w:w w:val="97"/>
              </w:rPr>
              <w:t>/Maturity</w:t>
            </w:r>
          </w:p>
        </w:tc>
        <w:tc>
          <w:tcPr>
            <w:tcW w:w="1200" w:type="dxa"/>
            <w:vAlign w:val="bottom"/>
          </w:tcPr>
          <w:p>
            <w:pPr>
              <w:ind w:left="460"/>
              <w:spacing w:after="0"/>
              <w:rPr>
                <w:sz w:val="20"/>
                <w:szCs w:val="20"/>
                <w:color w:val="auto"/>
              </w:rPr>
            </w:pPr>
            <w:r>
              <w:rPr>
                <w:rFonts w:ascii="Arial" w:cs="Arial" w:eastAsia="Arial" w:hAnsi="Arial"/>
                <w:sz w:val="13"/>
                <w:szCs w:val="13"/>
                <w:b w:val="1"/>
                <w:bCs w:val="1"/>
                <w:color w:val="auto"/>
              </w:rPr>
              <w:t>Principal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5436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ind w:left="20"/>
        <w:spacing w:after="0" w:line="185" w:lineRule="auto"/>
        <w:rPr>
          <w:sz w:val="20"/>
          <w:szCs w:val="20"/>
          <w:color w:val="auto"/>
        </w:rPr>
      </w:pPr>
      <w:r>
        <w:rPr>
          <w:rFonts w:ascii="Arial" w:cs="Arial" w:eastAsia="Arial" w:hAnsi="Arial"/>
          <w:sz w:val="14"/>
          <w:szCs w:val="14"/>
          <w:color w:val="auto"/>
        </w:rPr>
        <w:t>GI Advo Opco, LLC</w:t>
      </w:r>
      <w:r>
        <w:rPr>
          <w:rFonts w:ascii="Arial" w:cs="Arial" w:eastAsia="Arial" w:hAnsi="Arial"/>
          <w:sz w:val="22"/>
          <w:szCs w:val="22"/>
          <w:color w:val="auto"/>
          <w:vertAlign w:val="superscript"/>
        </w:rPr>
        <w:t>(8), (9)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GK Holdings, Inc. (aka Global</w:t>
      </w:r>
    </w:p>
    <w:p>
      <w:pPr>
        <w:ind w:left="200"/>
        <w:spacing w:after="0" w:line="187" w:lineRule="auto"/>
        <w:rPr>
          <w:sz w:val="20"/>
          <w:szCs w:val="20"/>
          <w:color w:val="auto"/>
        </w:rPr>
      </w:pPr>
      <w:r>
        <w:rPr>
          <w:rFonts w:ascii="Arial" w:cs="Arial" w:eastAsia="Arial" w:hAnsi="Arial"/>
          <w:sz w:val="13"/>
          <w:szCs w:val="13"/>
          <w:color w:val="auto"/>
        </w:rPr>
        <w:t>Knowledge)</w:t>
      </w:r>
      <w:r>
        <w:rPr>
          <w:rFonts w:ascii="Arial" w:cs="Arial" w:eastAsia="Arial" w:hAnsi="Arial"/>
          <w:sz w:val="21"/>
          <w:szCs w:val="21"/>
          <w:color w:val="auto"/>
          <w:vertAlign w:val="superscript"/>
        </w:rPr>
        <w:t>(8)</w:t>
      </w:r>
    </w:p>
    <w:p>
      <w:pPr>
        <w:ind w:left="200"/>
        <w:spacing w:after="0" w:line="222" w:lineRule="auto"/>
        <w:rPr>
          <w:sz w:val="20"/>
          <w:szCs w:val="20"/>
          <w:color w:val="auto"/>
        </w:rPr>
      </w:pPr>
      <w:r>
        <w:rPr>
          <w:rFonts w:ascii="Arial" w:cs="Arial" w:eastAsia="Arial" w:hAnsi="Arial"/>
          <w:sz w:val="14"/>
          <w:szCs w:val="14"/>
          <w:i w:val="1"/>
          <w:iCs w:val="1"/>
          <w:color w:val="auto"/>
        </w:rPr>
        <w:t>Services: Business</w:t>
      </w:r>
    </w:p>
    <w:p>
      <w:pPr>
        <w:ind w:left="20"/>
        <w:spacing w:after="0" w:line="233" w:lineRule="auto"/>
        <w:rPr>
          <w:sz w:val="20"/>
          <w:szCs w:val="20"/>
          <w:color w:val="auto"/>
        </w:rPr>
      </w:pPr>
      <w:r>
        <w:rPr>
          <w:rFonts w:ascii="Arial" w:cs="Arial" w:eastAsia="Arial" w:hAnsi="Arial"/>
          <w:sz w:val="14"/>
          <w:szCs w:val="14"/>
          <w:color w:val="auto"/>
        </w:rPr>
        <w:t>GK Holdings, Inc. (aka Global</w:t>
      </w:r>
    </w:p>
    <w:p>
      <w:pPr>
        <w:ind w:left="200"/>
        <w:spacing w:after="0" w:line="180" w:lineRule="auto"/>
        <w:rPr>
          <w:sz w:val="20"/>
          <w:szCs w:val="20"/>
          <w:color w:val="auto"/>
        </w:rPr>
      </w:pPr>
      <w:r>
        <w:rPr>
          <w:rFonts w:ascii="Arial" w:cs="Arial" w:eastAsia="Arial" w:hAnsi="Arial"/>
          <w:sz w:val="13"/>
          <w:szCs w:val="13"/>
          <w:color w:val="auto"/>
        </w:rPr>
        <w:t>Knowledge)</w:t>
      </w:r>
      <w:r>
        <w:rPr>
          <w:rFonts w:ascii="Arial" w:cs="Arial" w:eastAsia="Arial" w:hAnsi="Arial"/>
          <w:sz w:val="21"/>
          <w:szCs w:val="21"/>
          <w:color w:val="auto"/>
          <w:vertAlign w:val="superscript"/>
        </w:rPr>
        <w:t>(8), (9)</w:t>
      </w:r>
    </w:p>
    <w:p>
      <w:pPr>
        <w:ind w:left="200"/>
        <w:spacing w:after="0" w:line="233" w:lineRule="auto"/>
        <w:rPr>
          <w:sz w:val="20"/>
          <w:szCs w:val="20"/>
          <w:color w:val="auto"/>
        </w:rPr>
      </w:pPr>
      <w:r>
        <w:rPr>
          <w:rFonts w:ascii="Arial" w:cs="Arial" w:eastAsia="Arial" w:hAnsi="Arial"/>
          <w:sz w:val="14"/>
          <w:szCs w:val="14"/>
          <w:i w:val="1"/>
          <w:iCs w:val="1"/>
          <w:color w:val="auto"/>
        </w:rPr>
        <w:t>Services: Business</w:t>
      </w:r>
    </w:p>
    <w:p>
      <w:pPr>
        <w:ind w:left="20"/>
        <w:spacing w:after="0" w:line="180" w:lineRule="auto"/>
        <w:rPr>
          <w:sz w:val="20"/>
          <w:szCs w:val="20"/>
          <w:color w:val="auto"/>
        </w:rPr>
      </w:pPr>
      <w:r>
        <w:rPr>
          <w:rFonts w:ascii="Arial" w:cs="Arial" w:eastAsia="Arial" w:hAnsi="Arial"/>
          <w:sz w:val="13"/>
          <w:szCs w:val="13"/>
          <w:color w:val="auto"/>
        </w:rPr>
        <w:t>Global Tel*Link Corporation</w:t>
      </w:r>
      <w:r>
        <w:rPr>
          <w:rFonts w:ascii="Arial" w:cs="Arial" w:eastAsia="Arial" w:hAnsi="Arial"/>
          <w:sz w:val="21"/>
          <w:szCs w:val="21"/>
          <w:color w:val="auto"/>
          <w:vertAlign w:val="superscript"/>
        </w:rPr>
        <w:t>(8)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Telecommunications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Gold Standard Baking,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Grande Communications Networks</w:t>
      </w:r>
    </w:p>
    <w:p>
      <w:pPr>
        <w:ind w:left="200"/>
        <w:spacing w:after="0" w:line="187" w:lineRule="auto"/>
        <w:rPr>
          <w:sz w:val="20"/>
          <w:szCs w:val="20"/>
          <w:color w:val="auto"/>
        </w:rPr>
      </w:pPr>
      <w:r>
        <w:rPr>
          <w:rFonts w:ascii="Arial" w:cs="Arial" w:eastAsia="Arial" w:hAnsi="Arial"/>
          <w:sz w:val="21"/>
          <w:szCs w:val="21"/>
          <w:color w:val="auto"/>
          <w:vertAlign w:val="subscript"/>
        </w:rPr>
        <w:t>LLC</w:t>
      </w:r>
      <w:r>
        <w:rPr>
          <w:rFonts w:ascii="Arial" w:cs="Arial" w:eastAsia="Arial" w:hAnsi="Arial"/>
          <w:sz w:val="10"/>
          <w:szCs w:val="10"/>
          <w:color w:val="auto"/>
        </w:rPr>
        <w:t>(8), (9)</w:t>
      </w:r>
    </w:p>
    <w:p>
      <w:pPr>
        <w:ind w:left="200"/>
        <w:spacing w:after="0" w:line="233" w:lineRule="auto"/>
        <w:rPr>
          <w:sz w:val="20"/>
          <w:szCs w:val="20"/>
          <w:color w:val="auto"/>
        </w:rPr>
      </w:pPr>
      <w:r>
        <w:rPr>
          <w:rFonts w:ascii="Arial" w:cs="Arial" w:eastAsia="Arial" w:hAnsi="Arial"/>
          <w:sz w:val="14"/>
          <w:szCs w:val="14"/>
          <w:i w:val="1"/>
          <w:iCs w:val="1"/>
          <w:color w:val="auto"/>
        </w:rPr>
        <w:t>Telecommunications</w:t>
      </w:r>
    </w:p>
    <w:p>
      <w:pPr>
        <w:ind w:left="20"/>
        <w:spacing w:after="0" w:line="180" w:lineRule="auto"/>
        <w:rPr>
          <w:sz w:val="20"/>
          <w:szCs w:val="20"/>
          <w:color w:val="auto"/>
        </w:rPr>
      </w:pPr>
      <w:r>
        <w:rPr>
          <w:rFonts w:ascii="Arial" w:cs="Arial" w:eastAsia="Arial" w:hAnsi="Arial"/>
          <w:sz w:val="13"/>
          <w:szCs w:val="13"/>
          <w:color w:val="auto"/>
        </w:rPr>
        <w:t>Grupo HIMA San Pablo, Inc.</w:t>
      </w:r>
      <w:r>
        <w:rPr>
          <w:rFonts w:ascii="Arial" w:cs="Arial" w:eastAsia="Arial" w:hAnsi="Arial"/>
          <w:sz w:val="21"/>
          <w:szCs w:val="21"/>
          <w:color w:val="auto"/>
          <w:vertAlign w:val="superscript"/>
        </w:rPr>
        <w:t>(8)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(8)</w:t>
      </w:r>
    </w:p>
    <w:p>
      <w:pPr>
        <w:ind w:left="200"/>
        <w:spacing w:after="0" w:line="233" w:lineRule="auto"/>
        <w:rPr>
          <w:sz w:val="20"/>
          <w:szCs w:val="20"/>
          <w:color w:val="auto"/>
        </w:rPr>
      </w:pPr>
      <w:r>
        <w:rPr>
          <w:rFonts w:ascii="Arial" w:cs="Arial" w:eastAsia="Arial" w:hAnsi="Arial"/>
          <w:sz w:val="14"/>
          <w:szCs w:val="14"/>
          <w:i w:val="1"/>
          <w:iCs w:val="1"/>
          <w:color w:val="auto"/>
        </w:rPr>
        <w:t>Healthcare &amp; Pharmaceuticals</w:t>
      </w:r>
    </w:p>
    <w:p>
      <w:pPr>
        <w:ind w:left="20"/>
        <w:spacing w:after="0" w:line="180" w:lineRule="auto"/>
        <w:rPr>
          <w:sz w:val="20"/>
          <w:szCs w:val="20"/>
          <w:color w:val="auto"/>
        </w:rPr>
      </w:pPr>
      <w:r>
        <w:rPr>
          <w:rFonts w:ascii="Arial" w:cs="Arial" w:eastAsia="Arial" w:hAnsi="Arial"/>
          <w:sz w:val="13"/>
          <w:szCs w:val="13"/>
          <w:color w:val="auto"/>
        </w:rPr>
        <w:t>Gymboree Corporation., The</w:t>
      </w:r>
      <w:r>
        <w:rPr>
          <w:rFonts w:ascii="Arial" w:cs="Arial" w:eastAsia="Arial" w:hAnsi="Arial"/>
          <w:sz w:val="21"/>
          <w:szCs w:val="21"/>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Retail</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Hargray Communications Group, Inc.</w:t>
      </w:r>
    </w:p>
    <w:p>
      <w:pPr>
        <w:ind w:left="200"/>
        <w:spacing w:after="0" w:line="187" w:lineRule="auto"/>
        <w:rPr>
          <w:sz w:val="20"/>
          <w:szCs w:val="20"/>
          <w:color w:val="auto"/>
        </w:rPr>
      </w:pPr>
      <w:r>
        <w:rPr>
          <w:rFonts w:ascii="Arial" w:cs="Arial" w:eastAsia="Arial" w:hAnsi="Arial"/>
          <w:sz w:val="13"/>
          <w:szCs w:val="13"/>
          <w:color w:val="auto"/>
        </w:rPr>
        <w:t>(HCP Acquisition LLC)</w:t>
      </w:r>
      <w:r>
        <w:rPr>
          <w:rFonts w:ascii="Arial" w:cs="Arial" w:eastAsia="Arial" w:hAnsi="Arial"/>
          <w:sz w:val="21"/>
          <w:szCs w:val="21"/>
          <w:color w:val="auto"/>
          <w:vertAlign w:val="superscript"/>
        </w:rPr>
        <w:t>(8), (9)</w:t>
      </w:r>
    </w:p>
    <w:p>
      <w:pPr>
        <w:ind w:left="200"/>
        <w:spacing w:after="0" w:line="222" w:lineRule="auto"/>
        <w:rPr>
          <w:sz w:val="20"/>
          <w:szCs w:val="20"/>
          <w:color w:val="auto"/>
        </w:rPr>
      </w:pPr>
      <w:r>
        <w:rPr>
          <w:rFonts w:ascii="Arial" w:cs="Arial" w:eastAsia="Arial" w:hAnsi="Arial"/>
          <w:sz w:val="14"/>
          <w:szCs w:val="14"/>
          <w:i w:val="1"/>
          <w:iCs w:val="1"/>
          <w:color w:val="auto"/>
        </w:rPr>
        <w:t>Media: Broadcasting &amp;</w:t>
      </w:r>
    </w:p>
    <w:p>
      <w:pPr>
        <w:ind w:left="200"/>
        <w:spacing w:after="0" w:line="221" w:lineRule="auto"/>
        <w:rPr>
          <w:sz w:val="20"/>
          <w:szCs w:val="20"/>
          <w:color w:val="auto"/>
        </w:rPr>
      </w:pPr>
      <w:r>
        <w:rPr>
          <w:rFonts w:ascii="Arial" w:cs="Arial" w:eastAsia="Arial" w:hAnsi="Arial"/>
          <w:sz w:val="14"/>
          <w:szCs w:val="14"/>
          <w:i w:val="1"/>
          <w:iCs w:val="1"/>
          <w:color w:val="auto"/>
        </w:rPr>
        <w:t>Subscription</w:t>
      </w:r>
    </w:p>
    <w:p>
      <w:pPr>
        <w:ind w:left="20"/>
        <w:spacing w:after="0" w:line="233" w:lineRule="auto"/>
        <w:rPr>
          <w:sz w:val="20"/>
          <w:szCs w:val="20"/>
          <w:color w:val="auto"/>
        </w:rPr>
      </w:pPr>
      <w:r>
        <w:rPr>
          <w:rFonts w:ascii="Arial" w:cs="Arial" w:eastAsia="Arial" w:hAnsi="Arial"/>
          <w:sz w:val="14"/>
          <w:szCs w:val="14"/>
          <w:color w:val="auto"/>
        </w:rPr>
        <w:t>Harland Clarke Holdings Corp.</w:t>
      </w:r>
    </w:p>
    <w:p>
      <w:pPr>
        <w:ind w:left="200"/>
        <w:spacing w:after="0" w:line="180" w:lineRule="auto"/>
        <w:rPr>
          <w:sz w:val="20"/>
          <w:szCs w:val="20"/>
          <w:color w:val="auto"/>
        </w:rPr>
      </w:pPr>
      <w:r>
        <w:rPr>
          <w:rFonts w:ascii="Arial" w:cs="Arial" w:eastAsia="Arial" w:hAnsi="Arial"/>
          <w:sz w:val="13"/>
          <w:szCs w:val="13"/>
          <w:color w:val="auto"/>
        </w:rPr>
        <w:t>(fka Clarke American Corp.)</w:t>
      </w:r>
      <w:r>
        <w:rPr>
          <w:rFonts w:ascii="Arial" w:cs="Arial" w:eastAsia="Arial" w:hAnsi="Arial"/>
          <w:sz w:val="21"/>
          <w:szCs w:val="21"/>
          <w:color w:val="auto"/>
          <w:vertAlign w:val="superscript"/>
        </w:rPr>
        <w:t>(8), (9)</w:t>
      </w:r>
    </w:p>
    <w:p>
      <w:pPr>
        <w:ind w:left="200"/>
        <w:spacing w:after="0" w:line="222" w:lineRule="auto"/>
        <w:rPr>
          <w:sz w:val="20"/>
          <w:szCs w:val="20"/>
          <w:color w:val="auto"/>
        </w:rPr>
      </w:pPr>
      <w:r>
        <w:rPr>
          <w:rFonts w:ascii="Arial" w:cs="Arial" w:eastAsia="Arial" w:hAnsi="Arial"/>
          <w:sz w:val="14"/>
          <w:szCs w:val="14"/>
          <w:i w:val="1"/>
          <w:iCs w:val="1"/>
          <w:color w:val="auto"/>
        </w:rPr>
        <w:t>Media: Advertising, Printing &amp;</w:t>
      </w:r>
    </w:p>
    <w:p>
      <w:pPr>
        <w:ind w:left="200"/>
        <w:spacing w:after="0" w:line="221" w:lineRule="auto"/>
        <w:rPr>
          <w:sz w:val="20"/>
          <w:szCs w:val="20"/>
          <w:color w:val="auto"/>
        </w:rPr>
      </w:pPr>
      <w:r>
        <w:rPr>
          <w:rFonts w:ascii="Arial" w:cs="Arial" w:eastAsia="Arial" w:hAnsi="Arial"/>
          <w:sz w:val="14"/>
          <w:szCs w:val="14"/>
          <w:i w:val="1"/>
          <w:iCs w:val="1"/>
          <w:color w:val="auto"/>
        </w:rPr>
        <w:t>Publishing</w:t>
      </w:r>
    </w:p>
    <w:p>
      <w:pPr>
        <w:ind w:left="20"/>
        <w:spacing w:after="0" w:line="234" w:lineRule="auto"/>
        <w:rPr>
          <w:sz w:val="20"/>
          <w:szCs w:val="20"/>
          <w:color w:val="auto"/>
        </w:rPr>
      </w:pPr>
      <w:r>
        <w:rPr>
          <w:rFonts w:ascii="Arial" w:cs="Arial" w:eastAsia="Arial" w:hAnsi="Arial"/>
          <w:sz w:val="14"/>
          <w:szCs w:val="14"/>
          <w:color w:val="auto"/>
        </w:rPr>
        <w:t>Harland Clarke Holdings Corp.</w:t>
      </w:r>
    </w:p>
    <w:p>
      <w:pPr>
        <w:ind w:left="200"/>
        <w:spacing w:after="0" w:line="180" w:lineRule="auto"/>
        <w:rPr>
          <w:sz w:val="20"/>
          <w:szCs w:val="20"/>
          <w:color w:val="auto"/>
        </w:rPr>
      </w:pPr>
      <w:r>
        <w:rPr>
          <w:rFonts w:ascii="Arial" w:cs="Arial" w:eastAsia="Arial" w:hAnsi="Arial"/>
          <w:sz w:val="13"/>
          <w:szCs w:val="13"/>
          <w:color w:val="auto"/>
        </w:rPr>
        <w:t>(fka Clarke American Corp.)</w:t>
      </w:r>
      <w:r>
        <w:rPr>
          <w:rFonts w:ascii="Arial" w:cs="Arial" w:eastAsia="Arial" w:hAnsi="Arial"/>
          <w:sz w:val="21"/>
          <w:szCs w:val="21"/>
          <w:color w:val="auto"/>
          <w:vertAlign w:val="superscript"/>
        </w:rPr>
        <w:t>(8), (9)</w:t>
      </w:r>
    </w:p>
    <w:p>
      <w:pPr>
        <w:ind w:left="200"/>
        <w:spacing w:after="0" w:line="221" w:lineRule="auto"/>
        <w:rPr>
          <w:sz w:val="20"/>
          <w:szCs w:val="20"/>
          <w:color w:val="auto"/>
        </w:rPr>
      </w:pPr>
      <w:r>
        <w:rPr>
          <w:rFonts w:ascii="Arial" w:cs="Arial" w:eastAsia="Arial" w:hAnsi="Arial"/>
          <w:sz w:val="14"/>
          <w:szCs w:val="14"/>
          <w:i w:val="1"/>
          <w:iCs w:val="1"/>
          <w:color w:val="auto"/>
        </w:rPr>
        <w:t>Media: Advertising, Printing &amp;</w:t>
      </w:r>
    </w:p>
    <w:p>
      <w:pPr>
        <w:ind w:left="200"/>
        <w:spacing w:after="0" w:line="222" w:lineRule="auto"/>
        <w:rPr>
          <w:sz w:val="20"/>
          <w:szCs w:val="20"/>
          <w:color w:val="auto"/>
        </w:rPr>
      </w:pPr>
      <w:r>
        <w:rPr>
          <w:rFonts w:ascii="Arial" w:cs="Arial" w:eastAsia="Arial" w:hAnsi="Arial"/>
          <w:sz w:val="14"/>
          <w:szCs w:val="14"/>
          <w:i w:val="1"/>
          <w:iCs w:val="1"/>
          <w:color w:val="auto"/>
        </w:rPr>
        <w:t>Publishing</w:t>
      </w:r>
    </w:p>
    <w:p>
      <w:pPr>
        <w:ind w:left="20"/>
        <w:spacing w:after="0" w:line="233" w:lineRule="auto"/>
        <w:rPr>
          <w:sz w:val="20"/>
          <w:szCs w:val="20"/>
          <w:color w:val="auto"/>
        </w:rPr>
      </w:pPr>
      <w:r>
        <w:rPr>
          <w:rFonts w:ascii="Arial" w:cs="Arial" w:eastAsia="Arial" w:hAnsi="Arial"/>
          <w:sz w:val="14"/>
          <w:szCs w:val="14"/>
          <w:color w:val="auto"/>
        </w:rPr>
        <w:t>Harland Clarke Holdings Corp.</w:t>
      </w:r>
    </w:p>
    <w:p>
      <w:pPr>
        <w:ind w:left="200" w:right="220"/>
        <w:spacing w:after="0" w:line="181" w:lineRule="auto"/>
        <w:rPr>
          <w:sz w:val="20"/>
          <w:szCs w:val="20"/>
          <w:color w:val="auto"/>
        </w:rPr>
      </w:pPr>
      <w:r>
        <w:rPr>
          <w:rFonts w:ascii="Arial" w:cs="Arial" w:eastAsia="Arial" w:hAnsi="Arial"/>
          <w:sz w:val="13"/>
          <w:szCs w:val="13"/>
          <w:color w:val="auto"/>
        </w:rPr>
        <w:t>(fka Clarke American Corp.)</w:t>
      </w:r>
      <w:r>
        <w:rPr>
          <w:rFonts w:ascii="Arial" w:cs="Arial" w:eastAsia="Arial" w:hAnsi="Arial"/>
          <w:sz w:val="21"/>
          <w:szCs w:val="21"/>
          <w:color w:val="auto"/>
          <w:vertAlign w:val="superscript"/>
        </w:rPr>
        <w:t>(8), (9)</w:t>
      </w:r>
      <w:r>
        <w:rPr>
          <w:rFonts w:ascii="Arial" w:cs="Arial" w:eastAsia="Arial" w:hAnsi="Arial"/>
          <w:sz w:val="13"/>
          <w:szCs w:val="13"/>
          <w:color w:val="auto"/>
        </w:rPr>
        <w:t xml:space="preserve"> </w:t>
      </w:r>
      <w:r>
        <w:rPr>
          <w:rFonts w:ascii="Arial" w:cs="Arial" w:eastAsia="Arial" w:hAnsi="Arial"/>
          <w:sz w:val="13"/>
          <w:szCs w:val="13"/>
          <w:i w:val="1"/>
          <w:iCs w:val="1"/>
          <w:color w:val="auto"/>
        </w:rPr>
        <w:t>Media: Advertising, Printing &amp; Publishing</w:t>
      </w:r>
    </w:p>
    <w:p>
      <w:pPr>
        <w:spacing w:after="0" w:line="1" w:lineRule="exact"/>
        <w:rPr>
          <w:sz w:val="20"/>
          <w:szCs w:val="20"/>
          <w:color w:val="auto"/>
        </w:rPr>
      </w:pPr>
    </w:p>
    <w:p>
      <w:pPr>
        <w:ind w:left="200" w:right="260" w:hanging="179"/>
        <w:spacing w:after="0" w:line="244" w:lineRule="auto"/>
        <w:rPr>
          <w:sz w:val="20"/>
          <w:szCs w:val="20"/>
          <w:color w:val="auto"/>
        </w:rPr>
      </w:pPr>
      <w:r>
        <w:rPr>
          <w:rFonts w:ascii="Arial" w:cs="Arial" w:eastAsia="Arial" w:hAnsi="Arial"/>
          <w:sz w:val="13"/>
          <w:szCs w:val="13"/>
          <w:color w:val="auto"/>
        </w:rPr>
        <w:t>Highland Acquisition Holdings, LLC (aka HealthSun Health Plans,</w:t>
      </w:r>
    </w:p>
    <w:p>
      <w:pPr>
        <w:ind w:left="200"/>
        <w:spacing w:after="0" w:line="181"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(8), (9)</w:t>
      </w:r>
    </w:p>
    <w:p>
      <w:pPr>
        <w:ind w:left="200"/>
        <w:spacing w:after="0" w:line="233" w:lineRule="auto"/>
        <w:rPr>
          <w:sz w:val="20"/>
          <w:szCs w:val="20"/>
          <w:color w:val="auto"/>
        </w:rPr>
      </w:pPr>
      <w:r>
        <w:rPr>
          <w:rFonts w:ascii="Arial" w:cs="Arial" w:eastAsia="Arial" w:hAnsi="Arial"/>
          <w:sz w:val="14"/>
          <w:szCs w:val="14"/>
          <w:i w:val="1"/>
          <w:iCs w:val="1"/>
          <w:color w:val="auto"/>
        </w:rPr>
        <w:t>Healthcare &amp; Pharmaceuticals</w:t>
      </w:r>
    </w:p>
    <w:p>
      <w:pPr>
        <w:ind w:left="20"/>
        <w:spacing w:after="0" w:line="180" w:lineRule="auto"/>
        <w:rPr>
          <w:sz w:val="20"/>
          <w:szCs w:val="20"/>
          <w:color w:val="auto"/>
        </w:rPr>
      </w:pPr>
      <w:r>
        <w:rPr>
          <w:rFonts w:ascii="Arial" w:cs="Arial" w:eastAsia="Arial" w:hAnsi="Arial"/>
          <w:sz w:val="13"/>
          <w:szCs w:val="13"/>
          <w:color w:val="auto"/>
        </w:rPr>
        <w:t>Hoffmaster Group, Inc.</w:t>
      </w:r>
      <w:r>
        <w:rPr>
          <w:rFonts w:ascii="Arial" w:cs="Arial" w:eastAsia="Arial" w:hAnsi="Arial"/>
          <w:sz w:val="21"/>
          <w:szCs w:val="21"/>
          <w:color w:val="auto"/>
          <w:vertAlign w:val="superscript"/>
        </w:rPr>
        <w:t>(8)</w:t>
      </w:r>
    </w:p>
    <w:p>
      <w:pPr>
        <w:ind w:left="200"/>
        <w:spacing w:after="0"/>
        <w:rPr>
          <w:sz w:val="20"/>
          <w:szCs w:val="20"/>
          <w:color w:val="auto"/>
        </w:rPr>
      </w:pPr>
      <w:r>
        <w:rPr>
          <w:rFonts w:ascii="Arial" w:cs="Arial" w:eastAsia="Arial" w:hAnsi="Arial"/>
          <w:sz w:val="14"/>
          <w:szCs w:val="14"/>
          <w:i w:val="1"/>
          <w:iCs w:val="1"/>
          <w:color w:val="auto"/>
        </w:rPr>
        <w:t>Forest Products &amp; Paper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Hoffmaster Group,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Forest Products &amp; Paper</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Industrial Services Acquisition, LLC (aka</w:t>
      </w:r>
    </w:p>
    <w:p>
      <w:pPr>
        <w:ind w:left="200"/>
        <w:spacing w:after="0" w:line="181" w:lineRule="auto"/>
        <w:rPr>
          <w:sz w:val="20"/>
          <w:szCs w:val="20"/>
          <w:color w:val="auto"/>
        </w:rPr>
      </w:pPr>
      <w:r>
        <w:rPr>
          <w:rFonts w:ascii="Arial" w:cs="Arial" w:eastAsia="Arial" w:hAnsi="Arial"/>
          <w:sz w:val="14"/>
          <w:szCs w:val="14"/>
          <w:color w:val="auto"/>
        </w:rPr>
        <w:t>Evergreen/NAIC)</w:t>
      </w:r>
      <w:r>
        <w:rPr>
          <w:rFonts w:ascii="Arial" w:cs="Arial" w:eastAsia="Arial" w:hAnsi="Arial"/>
          <w:sz w:val="23"/>
          <w:szCs w:val="23"/>
          <w:color w:val="auto"/>
          <w:vertAlign w:val="superscript"/>
        </w:rPr>
        <w:t>(8), (9)</w:t>
      </w:r>
    </w:p>
    <w:p>
      <w:pPr>
        <w:ind w:left="200"/>
        <w:spacing w:after="0" w:line="222" w:lineRule="auto"/>
        <w:rPr>
          <w:sz w:val="20"/>
          <w:szCs w:val="20"/>
          <w:color w:val="auto"/>
        </w:rPr>
      </w:pPr>
      <w:r>
        <w:rPr>
          <w:rFonts w:ascii="Arial" w:cs="Arial" w:eastAsia="Arial" w:hAnsi="Arial"/>
          <w:sz w:val="14"/>
          <w:szCs w:val="14"/>
          <w:i w:val="1"/>
          <w:iCs w:val="1"/>
          <w:color w:val="auto"/>
        </w:rPr>
        <w:t>Environmental Industries</w:t>
      </w:r>
    </w:p>
    <w:p>
      <w:pPr>
        <w:ind w:left="20"/>
        <w:spacing w:after="0" w:line="233" w:lineRule="auto"/>
        <w:rPr>
          <w:sz w:val="20"/>
          <w:szCs w:val="20"/>
          <w:color w:val="auto"/>
        </w:rPr>
      </w:pPr>
      <w:r>
        <w:rPr>
          <w:rFonts w:ascii="Arial" w:cs="Arial" w:eastAsia="Arial" w:hAnsi="Arial"/>
          <w:sz w:val="14"/>
          <w:szCs w:val="14"/>
          <w:color w:val="auto"/>
        </w:rPr>
        <w:t>Kellermeyer Bergensons Services,</w:t>
      </w:r>
    </w:p>
    <w:p>
      <w:pPr>
        <w:ind w:left="200"/>
        <w:spacing w:after="0" w:line="180" w:lineRule="auto"/>
        <w:rPr>
          <w:sz w:val="20"/>
          <w:szCs w:val="20"/>
          <w:color w:val="auto"/>
        </w:rPr>
      </w:pPr>
      <w:r>
        <w:rPr>
          <w:rFonts w:ascii="Arial" w:cs="Arial" w:eastAsia="Arial" w:hAnsi="Arial"/>
          <w:sz w:val="21"/>
          <w:szCs w:val="21"/>
          <w:color w:val="auto"/>
          <w:vertAlign w:val="subscript"/>
        </w:rPr>
        <w:t>LLC</w:t>
      </w:r>
      <w:r>
        <w:rPr>
          <w:rFonts w:ascii="Arial" w:cs="Arial" w:eastAsia="Arial" w:hAnsi="Arial"/>
          <w:sz w:val="10"/>
          <w:szCs w:val="10"/>
          <w:color w:val="auto"/>
        </w:rPr>
        <w:t>(8), (9)</w:t>
      </w:r>
    </w:p>
    <w:p>
      <w:pPr>
        <w:ind w:left="200"/>
        <w:spacing w:after="0" w:line="234" w:lineRule="auto"/>
        <w:rPr>
          <w:sz w:val="20"/>
          <w:szCs w:val="20"/>
          <w:color w:val="auto"/>
        </w:rPr>
      </w:pPr>
      <w:r>
        <w:rPr>
          <w:rFonts w:ascii="Arial" w:cs="Arial" w:eastAsia="Arial" w:hAnsi="Arial"/>
          <w:sz w:val="14"/>
          <w:szCs w:val="14"/>
          <w:i w:val="1"/>
          <w:iCs w:val="1"/>
          <w:color w:val="auto"/>
        </w:rPr>
        <w:t>Services: Business</w:t>
      </w:r>
    </w:p>
    <w:p>
      <w:pPr>
        <w:ind w:left="20"/>
        <w:spacing w:after="0" w:line="180" w:lineRule="auto"/>
        <w:rPr>
          <w:sz w:val="20"/>
          <w:szCs w:val="20"/>
          <w:color w:val="auto"/>
        </w:rPr>
      </w:pPr>
      <w:r>
        <w:rPr>
          <w:rFonts w:ascii="Arial" w:cs="Arial" w:eastAsia="Arial" w:hAnsi="Arial"/>
          <w:sz w:val="13"/>
          <w:szCs w:val="13"/>
          <w:color w:val="auto"/>
        </w:rPr>
        <w:t>Key Safety Systems, Inc.</w:t>
      </w:r>
      <w:r>
        <w:rPr>
          <w:rFonts w:ascii="Arial" w:cs="Arial" w:eastAsia="Arial" w:hAnsi="Arial"/>
          <w:sz w:val="21"/>
          <w:szCs w:val="21"/>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Automotive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Landslide Holdings,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48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11/21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  2,722,500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2,700,224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   2,463,046</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8"/>
              </w:rPr>
              <w:t>Loan (Second Lien) 10.5%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Due 1/22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1,478,209</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1,465,650</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6.5%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1/21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2,450,000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2,433,329</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2,446,080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9.0% Cash, 1.3%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11/20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3,957,505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3,894,500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4/21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2,462,500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2,453,554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2,461,269</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4.5%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3,860,145</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3,864,877</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3,860,145</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8.5% Cash, 1.5%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Floor, Due 1/18</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2,887,500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2,875,001</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2,743,125</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13.8% Cash, Due 7/18</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6,953,618</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6,370,000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5.0% Cash, 1.5%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2/18</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1,421,105</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1,415,457</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759,581</w:t>
            </w:r>
          </w:p>
        </w:tc>
      </w:tr>
      <w:tr>
        <w:trPr>
          <w:trHeight w:val="452"/>
        </w:trPr>
        <w:tc>
          <w:tcPr>
            <w:tcW w:w="2480" w:type="dxa"/>
            <w:vAlign w:val="bottom"/>
          </w:tcPr>
          <w:p>
            <w:pPr>
              <w:ind w:left="80"/>
              <w:spacing w:after="0"/>
              <w:rPr>
                <w:sz w:val="20"/>
                <w:szCs w:val="20"/>
                <w:color w:val="auto"/>
              </w:rPr>
            </w:pPr>
            <w:r>
              <w:rPr>
                <w:rFonts w:ascii="Arial" w:cs="Arial" w:eastAsia="Arial" w:hAnsi="Arial"/>
                <w:sz w:val="14"/>
                <w:szCs w:val="14"/>
                <w:color w:val="auto"/>
                <w:w w:val="96"/>
              </w:rPr>
              <w:t>Senior Secured Loan — Term B-1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w w:val="97"/>
              </w:rPr>
              <w:t>4.8% Cash, 1.0% Libor Floor, Due 6/19</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2,887,075</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2,860,733</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2,926,166</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Tranche B-3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Term Loan 7.0% Cash, 1.5%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Floor, Due 5/18</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1,697,272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1,690,708</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1,703,637</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Tranche B-4</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Term Loan 7.0%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Floor, Due 8/19</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1,387,500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1,384,229</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1,391,545</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Tranche B-5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Term Loan 7.0%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Floor, Due 12/19</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1,385,417</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1,369,287</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1,395,980</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Term Loan B</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11/22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1,903,216</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1,910,000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8"/>
              </w:rPr>
              <w:t>Loan (Second Lien) 10.5%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11/24</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1,552,544</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1,524,640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5.5%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Due 11/23</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2,666,667</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2,640,345</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2,668,267</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6/22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2,925,000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2,898,235</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2,925,000</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6.0%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10/21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1,950,120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1,936,641</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1,943,100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5.5%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8/21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1,394,077</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1,389,440</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1,411,851</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5.5%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5"/>
        </w:trPr>
        <w:tc>
          <w:tcPr>
            <w:tcW w:w="2480" w:type="dxa"/>
            <w:vAlign w:val="bottom"/>
          </w:tcPr>
          <w:p>
            <w:pPr>
              <w:ind w:left="80"/>
              <w:spacing w:after="0"/>
              <w:rPr>
                <w:sz w:val="20"/>
                <w:szCs w:val="20"/>
                <w:color w:val="auto"/>
              </w:rPr>
            </w:pPr>
            <w:r>
              <w:rPr>
                <w:rFonts w:ascii="Arial" w:cs="Arial" w:eastAsia="Arial" w:hAnsi="Arial"/>
                <w:sz w:val="14"/>
                <w:szCs w:val="14"/>
                <w:color w:val="auto"/>
              </w:rPr>
              <w:t>Floor, Due 9/22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1,850,467</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1,846,044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1,850,467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-6318250</wp:posOffset>
            </wp:positionV>
            <wp:extent cx="5213985" cy="2832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-5726430</wp:posOffset>
            </wp:positionV>
            <wp:extent cx="5213985" cy="3086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-5135245</wp:posOffset>
            </wp:positionV>
            <wp:extent cx="5213985" cy="283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-4543425</wp:posOffset>
            </wp:positionV>
            <wp:extent cx="5213985" cy="2832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-4045585</wp:posOffset>
            </wp:positionV>
            <wp:extent cx="5213985" cy="2832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-3359785</wp:posOffset>
            </wp:positionV>
            <wp:extent cx="5213985" cy="4032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-2553970</wp:posOffset>
            </wp:positionV>
            <wp:extent cx="5213985" cy="4032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-1747520</wp:posOffset>
            </wp:positionV>
            <wp:extent cx="5213985" cy="2832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-1181735</wp:posOffset>
            </wp:positionV>
            <wp:extent cx="5213985" cy="3086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-563880</wp:posOffset>
            </wp:positionV>
            <wp:extent cx="5213985" cy="2832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20" w:space="180"/>
            <w:col w:w="749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560" w:type="dxa"/>
            <w:vAlign w:val="bottom"/>
            <w:shd w:val="clear" w:color="auto" w:fill="CCEEFF"/>
          </w:tcPr>
          <w:p>
            <w:pPr>
              <w:ind w:left="20"/>
              <w:spacing w:after="0" w:line="183" w:lineRule="exact"/>
              <w:rPr>
                <w:sz w:val="20"/>
                <w:szCs w:val="20"/>
                <w:color w:val="auto"/>
              </w:rPr>
            </w:pPr>
            <w:r>
              <w:rPr>
                <w:rFonts w:ascii="Arial" w:cs="Arial" w:eastAsia="Arial" w:hAnsi="Arial"/>
                <w:sz w:val="13"/>
                <w:szCs w:val="13"/>
                <w:color w:val="auto"/>
              </w:rPr>
              <w:t>MB Aerospace ACP Holdings II Corp.</w:t>
            </w:r>
            <w:r>
              <w:rPr>
                <w:rFonts w:ascii="Arial" w:cs="Arial" w:eastAsia="Arial" w:hAnsi="Arial"/>
                <w:sz w:val="21"/>
                <w:szCs w:val="21"/>
                <w:color w:val="auto"/>
                <w:vertAlign w:val="superscript"/>
              </w:rPr>
              <w:t>(8),</w:t>
            </w: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w:t>
            </w:r>
          </w:p>
        </w:tc>
        <w:tc>
          <w:tcPr>
            <w:tcW w:w="1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52"/>
        </w:trPr>
        <w:tc>
          <w:tcPr>
            <w:tcW w:w="25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(9)</w:t>
            </w:r>
          </w:p>
        </w:tc>
        <w:tc>
          <w:tcPr>
            <w:tcW w:w="2700" w:type="dxa"/>
            <w:vAlign w:val="bottom"/>
            <w:shd w:val="clear" w:color="auto" w:fill="CCEEFF"/>
          </w:tcPr>
          <w:p>
            <w:pPr>
              <w:ind w:left="120"/>
              <w:spacing w:after="0" w:line="152" w:lineRule="exact"/>
              <w:rPr>
                <w:sz w:val="20"/>
                <w:szCs w:val="20"/>
                <w:color w:val="auto"/>
              </w:rPr>
            </w:pPr>
            <w:r>
              <w:rPr>
                <w:rFonts w:ascii="Arial" w:cs="Arial" w:eastAsia="Arial" w:hAnsi="Arial"/>
                <w:sz w:val="14"/>
                <w:szCs w:val="14"/>
                <w:color w:val="auto"/>
              </w:rPr>
              <w:t>Loan 6.5% Cash, 1.0% Libor Floor, Due</w:t>
            </w:r>
          </w:p>
        </w:tc>
        <w:tc>
          <w:tcPr>
            <w:tcW w:w="10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7"/>
        </w:trPr>
        <w:tc>
          <w:tcPr>
            <w:tcW w:w="25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12/22</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1,342,500</w:t>
            </w: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1,331,454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1,342,366</w:t>
            </w:r>
          </w:p>
        </w:tc>
      </w:tr>
    </w:tbl>
    <w:p>
      <w:pPr>
        <w:spacing w:after="0" w:line="200" w:lineRule="exact"/>
        <w:rPr>
          <w:sz w:val="20"/>
          <w:szCs w:val="20"/>
          <w:color w:val="auto"/>
        </w:r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88" w:name="page89"/>
    <w:bookmarkEnd w:id="8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2360" w:type="dxa"/>
            <w:vAlign w:val="bottom"/>
          </w:tcPr>
          <w:p>
            <w:pPr>
              <w:jc w:val="center"/>
              <w:ind w:left="40"/>
              <w:spacing w:after="0"/>
              <w:rPr>
                <w:sz w:val="20"/>
                <w:szCs w:val="20"/>
                <w:color w:val="auto"/>
              </w:rPr>
            </w:pPr>
            <w:r>
              <w:rPr>
                <w:rFonts w:ascii="Arial" w:cs="Arial" w:eastAsia="Arial" w:hAnsi="Arial"/>
                <w:sz w:val="13"/>
                <w:szCs w:val="13"/>
                <w:b w:val="1"/>
                <w:bCs w:val="1"/>
                <w:color w:val="auto"/>
                <w:w w:val="90"/>
              </w:rPr>
              <w:t>Investment</w:t>
            </w:r>
          </w:p>
        </w:tc>
        <w:tc>
          <w:tcPr>
            <w:tcW w:w="1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1"/>
              </w:rPr>
              <w:t>Amortized</w:t>
            </w: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0"/>
                <w:szCs w:val="20"/>
                <w:b w:val="1"/>
                <w:bCs w:val="1"/>
                <w:color w:val="auto"/>
                <w:w w:val="84"/>
                <w:vertAlign w:val="superscript"/>
              </w:rPr>
              <w:t>(2)</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3"/>
                <w:szCs w:val="13"/>
                <w:b w:val="1"/>
                <w:bCs w:val="1"/>
                <w:color w:val="auto"/>
              </w:rPr>
              <w:t>Portfolio Company/Principal Business</w:t>
            </w:r>
          </w:p>
        </w:tc>
        <w:tc>
          <w:tcPr>
            <w:tcW w:w="2360" w:type="dxa"/>
            <w:vAlign w:val="bottom"/>
          </w:tcPr>
          <w:p>
            <w:pPr>
              <w:jc w:val="center"/>
              <w:ind w:left="40"/>
              <w:spacing w:after="0" w:line="162" w:lineRule="exact"/>
              <w:rPr>
                <w:sz w:val="20"/>
                <w:szCs w:val="20"/>
                <w:color w:val="auto"/>
              </w:rPr>
            </w:pPr>
            <w:r>
              <w:rPr>
                <w:rFonts w:ascii="Arial" w:cs="Arial" w:eastAsia="Arial" w:hAnsi="Arial"/>
                <w:sz w:val="12"/>
                <w:szCs w:val="12"/>
                <w:b w:val="1"/>
                <w:bCs w:val="1"/>
                <w:color w:val="auto"/>
                <w:w w:val="97"/>
              </w:rPr>
              <w:t>Interest Rate</w:t>
            </w:r>
            <w:r>
              <w:rPr>
                <w:rFonts w:ascii="Arial" w:cs="Arial" w:eastAsia="Arial" w:hAnsi="Arial"/>
                <w:sz w:val="18"/>
                <w:szCs w:val="18"/>
                <w:b w:val="1"/>
                <w:bCs w:val="1"/>
                <w:color w:val="auto"/>
                <w:w w:val="97"/>
                <w:vertAlign w:val="superscript"/>
              </w:rPr>
              <w:t>(1)</w:t>
            </w:r>
            <w:r>
              <w:rPr>
                <w:rFonts w:ascii="Arial" w:cs="Arial" w:eastAsia="Arial" w:hAnsi="Arial"/>
                <w:sz w:val="12"/>
                <w:szCs w:val="12"/>
                <w:b w:val="1"/>
                <w:bCs w:val="1"/>
                <w:color w:val="auto"/>
                <w:w w:val="97"/>
              </w:rPr>
              <w:t>/Maturity</w:t>
            </w:r>
          </w:p>
        </w:tc>
        <w:tc>
          <w:tcPr>
            <w:tcW w:w="1200" w:type="dxa"/>
            <w:vAlign w:val="bottom"/>
          </w:tcPr>
          <w:p>
            <w:pPr>
              <w:ind w:left="460"/>
              <w:spacing w:after="0"/>
              <w:rPr>
                <w:sz w:val="20"/>
                <w:szCs w:val="20"/>
                <w:color w:val="auto"/>
              </w:rPr>
            </w:pPr>
            <w:r>
              <w:rPr>
                <w:rFonts w:ascii="Arial" w:cs="Arial" w:eastAsia="Arial" w:hAnsi="Arial"/>
                <w:sz w:val="13"/>
                <w:szCs w:val="13"/>
                <w:b w:val="1"/>
                <w:bCs w:val="1"/>
                <w:color w:val="auto"/>
              </w:rPr>
              <w:t>Principal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5436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ind w:left="20"/>
        <w:spacing w:after="0" w:line="185" w:lineRule="auto"/>
        <w:rPr>
          <w:sz w:val="20"/>
          <w:szCs w:val="20"/>
          <w:color w:val="auto"/>
        </w:rPr>
      </w:pPr>
      <w:r>
        <w:rPr>
          <w:rFonts w:ascii="Arial" w:cs="Arial" w:eastAsia="Arial" w:hAnsi="Arial"/>
          <w:sz w:val="14"/>
          <w:szCs w:val="14"/>
          <w:color w:val="auto"/>
        </w:rPr>
        <w:t>Medrisk, Inc.</w:t>
      </w:r>
      <w:r>
        <w:rPr>
          <w:rFonts w:ascii="Arial" w:cs="Arial" w:eastAsia="Arial" w:hAnsi="Arial"/>
          <w:sz w:val="22"/>
          <w:szCs w:val="22"/>
          <w:color w:val="auto"/>
          <w:vertAlign w:val="superscript"/>
        </w:rPr>
        <w:t>(8), (9)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MGOC, Inc. (fka Media General, Inc.)</w:t>
      </w:r>
      <w:r>
        <w:rPr>
          <w:rFonts w:ascii="Arial" w:cs="Arial" w:eastAsia="Arial" w:hAnsi="Arial"/>
          <w:sz w:val="21"/>
          <w:szCs w:val="21"/>
          <w:color w:val="auto"/>
          <w:vertAlign w:val="superscript"/>
        </w:rPr>
        <w:t>(9)</w:t>
      </w:r>
    </w:p>
    <w:p>
      <w:pPr>
        <w:ind w:left="200"/>
        <w:spacing w:after="0" w:line="221" w:lineRule="auto"/>
        <w:rPr>
          <w:sz w:val="20"/>
          <w:szCs w:val="20"/>
          <w:color w:val="auto"/>
        </w:rPr>
      </w:pPr>
      <w:r>
        <w:rPr>
          <w:rFonts w:ascii="Arial" w:cs="Arial" w:eastAsia="Arial" w:hAnsi="Arial"/>
          <w:sz w:val="14"/>
          <w:szCs w:val="14"/>
          <w:i w:val="1"/>
          <w:iCs w:val="1"/>
          <w:color w:val="auto"/>
        </w:rPr>
        <w:t>Media: Broadcasting &amp;</w:t>
      </w:r>
    </w:p>
    <w:p>
      <w:pPr>
        <w:ind w:left="200"/>
        <w:spacing w:after="0" w:line="233" w:lineRule="auto"/>
        <w:rPr>
          <w:sz w:val="20"/>
          <w:szCs w:val="20"/>
          <w:color w:val="auto"/>
        </w:rPr>
      </w:pPr>
      <w:r>
        <w:rPr>
          <w:rFonts w:ascii="Arial" w:cs="Arial" w:eastAsia="Arial" w:hAnsi="Arial"/>
          <w:sz w:val="14"/>
          <w:szCs w:val="14"/>
          <w:i w:val="1"/>
          <w:iCs w:val="1"/>
          <w:color w:val="auto"/>
        </w:rPr>
        <w:t>Subscription</w:t>
      </w:r>
    </w:p>
    <w:p>
      <w:pPr>
        <w:ind w:left="20"/>
        <w:spacing w:after="0" w:line="180" w:lineRule="auto"/>
        <w:rPr>
          <w:sz w:val="20"/>
          <w:szCs w:val="20"/>
          <w:color w:val="auto"/>
        </w:rPr>
      </w:pPr>
      <w:r>
        <w:rPr>
          <w:rFonts w:ascii="Arial" w:cs="Arial" w:eastAsia="Arial" w:hAnsi="Arial"/>
          <w:sz w:val="13"/>
          <w:szCs w:val="13"/>
          <w:color w:val="auto"/>
        </w:rPr>
        <w:t>National Home Health Care Corp.</w:t>
      </w:r>
      <w:r>
        <w:rPr>
          <w:rFonts w:ascii="Arial" w:cs="Arial" w:eastAsia="Arial" w:hAnsi="Arial"/>
          <w:sz w:val="21"/>
          <w:szCs w:val="21"/>
          <w:color w:val="auto"/>
          <w:vertAlign w:val="superscript"/>
        </w:rPr>
        <w:t>(8)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National Home Health Care Corp.</w:t>
      </w:r>
      <w:r>
        <w:rPr>
          <w:rFonts w:ascii="Arial" w:cs="Arial" w:eastAsia="Arial" w:hAnsi="Arial"/>
          <w:sz w:val="21"/>
          <w:szCs w:val="21"/>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Nellson Nutraceutical, LLC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Nellson Nutraceutical, LLC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Nielsen &amp; Bainbridge, LLC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Consumer goods: Durable</w:t>
      </w:r>
    </w:p>
    <w:p>
      <w:pPr>
        <w:spacing w:after="0" w:line="94" w:lineRule="exact"/>
        <w:rPr>
          <w:sz w:val="20"/>
          <w:szCs w:val="20"/>
          <w:color w:val="auto"/>
        </w:rPr>
      </w:pPr>
    </w:p>
    <w:p>
      <w:pPr>
        <w:ind w:left="200" w:right="160" w:hanging="179"/>
        <w:spacing w:after="0" w:line="188" w:lineRule="auto"/>
        <w:rPr>
          <w:sz w:val="20"/>
          <w:szCs w:val="20"/>
          <w:color w:val="auto"/>
        </w:rPr>
      </w:pPr>
      <w:r>
        <w:rPr>
          <w:rFonts w:ascii="Arial" w:cs="Arial" w:eastAsia="Arial" w:hAnsi="Arial"/>
          <w:sz w:val="13"/>
          <w:szCs w:val="13"/>
          <w:color w:val="auto"/>
        </w:rPr>
        <w:t>NM Z Parent Inc. (aka Zep, Inc.)</w:t>
      </w:r>
      <w:r>
        <w:rPr>
          <w:rFonts w:ascii="Arial" w:cs="Arial" w:eastAsia="Arial" w:hAnsi="Arial"/>
          <w:sz w:val="20"/>
          <w:szCs w:val="20"/>
          <w:color w:val="auto"/>
          <w:vertAlign w:val="superscript"/>
        </w:rPr>
        <w:t>(8), (9)</w:t>
      </w:r>
      <w:r>
        <w:rPr>
          <w:rFonts w:ascii="Arial" w:cs="Arial" w:eastAsia="Arial" w:hAnsi="Arial"/>
          <w:sz w:val="13"/>
          <w:szCs w:val="13"/>
          <w:color w:val="auto"/>
        </w:rPr>
        <w:t xml:space="preserve"> </w:t>
      </w:r>
      <w:r>
        <w:rPr>
          <w:rFonts w:ascii="Arial" w:cs="Arial" w:eastAsia="Arial" w:hAnsi="Arial"/>
          <w:sz w:val="13"/>
          <w:szCs w:val="13"/>
          <w:i w:val="1"/>
          <w:iCs w:val="1"/>
          <w:color w:val="auto"/>
        </w:rPr>
        <w:t>Chemicals, Plastics and Rubber</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Novitex Acquisition, LLC (fka ARSloane</w:t>
      </w:r>
    </w:p>
    <w:p>
      <w:pPr>
        <w:ind w:left="200"/>
        <w:spacing w:after="0" w:line="181" w:lineRule="auto"/>
        <w:rPr>
          <w:sz w:val="20"/>
          <w:szCs w:val="20"/>
          <w:color w:val="auto"/>
        </w:rPr>
      </w:pPr>
      <w:r>
        <w:rPr>
          <w:rFonts w:ascii="Arial" w:cs="Arial" w:eastAsia="Arial" w:hAnsi="Arial"/>
          <w:sz w:val="14"/>
          <w:szCs w:val="14"/>
          <w:color w:val="auto"/>
        </w:rPr>
        <w:t>Acquisition, LLC)</w:t>
      </w:r>
      <w:r>
        <w:rPr>
          <w:rFonts w:ascii="Arial" w:cs="Arial" w:eastAsia="Arial" w:hAnsi="Arial"/>
          <w:sz w:val="23"/>
          <w:szCs w:val="23"/>
          <w:color w:val="auto"/>
          <w:vertAlign w:val="superscript"/>
        </w:rPr>
        <w:t>(8), (9)</w:t>
      </w:r>
    </w:p>
    <w:p>
      <w:pPr>
        <w:ind w:left="200"/>
        <w:spacing w:after="0" w:line="234" w:lineRule="auto"/>
        <w:rPr>
          <w:sz w:val="20"/>
          <w:szCs w:val="20"/>
          <w:color w:val="auto"/>
        </w:rPr>
      </w:pPr>
      <w:r>
        <w:rPr>
          <w:rFonts w:ascii="Arial" w:cs="Arial" w:eastAsia="Arial" w:hAnsi="Arial"/>
          <w:sz w:val="14"/>
          <w:szCs w:val="14"/>
          <w:i w:val="1"/>
          <w:iCs w:val="1"/>
          <w:color w:val="auto"/>
        </w:rPr>
        <w:t>Services: Business</w:t>
      </w:r>
    </w:p>
    <w:p>
      <w:pPr>
        <w:ind w:left="20"/>
        <w:spacing w:after="0" w:line="180" w:lineRule="auto"/>
        <w:rPr>
          <w:sz w:val="20"/>
          <w:szCs w:val="20"/>
          <w:color w:val="auto"/>
        </w:rPr>
      </w:pPr>
      <w:r>
        <w:rPr>
          <w:rFonts w:ascii="Arial" w:cs="Arial" w:eastAsia="Arial" w:hAnsi="Arial"/>
          <w:sz w:val="13"/>
          <w:szCs w:val="13"/>
          <w:color w:val="auto"/>
        </w:rPr>
        <w:t>Onex Carestream Finance LP</w:t>
      </w:r>
      <w:r>
        <w:rPr>
          <w:rFonts w:ascii="Arial" w:cs="Arial" w:eastAsia="Arial" w:hAnsi="Arial"/>
          <w:sz w:val="21"/>
          <w:szCs w:val="21"/>
          <w:color w:val="auto"/>
          <w:vertAlign w:val="superscript"/>
        </w:rPr>
        <w:t>(8)</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Onex Carestream Finance LP</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Otter Products, LLC (OtterBox Holdings,</w:t>
      </w:r>
    </w:p>
    <w:p>
      <w:pPr>
        <w:ind w:left="200"/>
        <w:spacing w:after="0" w:line="181" w:lineRule="auto"/>
        <w:rPr>
          <w:sz w:val="20"/>
          <w:szCs w:val="20"/>
          <w:color w:val="auto"/>
        </w:rPr>
      </w:pPr>
      <w:r>
        <w:rPr>
          <w:rFonts w:ascii="Arial" w:cs="Arial" w:eastAsia="Arial" w:hAnsi="Arial"/>
          <w:sz w:val="23"/>
          <w:szCs w:val="23"/>
          <w:color w:val="auto"/>
          <w:vertAlign w:val="subscript"/>
        </w:rPr>
        <w:t>Inc.)</w:t>
      </w:r>
      <w:r>
        <w:rPr>
          <w:rFonts w:ascii="Arial" w:cs="Arial" w:eastAsia="Arial" w:hAnsi="Arial"/>
          <w:sz w:val="11"/>
          <w:szCs w:val="11"/>
          <w:color w:val="auto"/>
        </w:rPr>
        <w:t>(8), (9)</w:t>
      </w:r>
    </w:p>
    <w:p>
      <w:pPr>
        <w:ind w:left="200"/>
        <w:spacing w:after="0" w:line="234" w:lineRule="auto"/>
        <w:rPr>
          <w:sz w:val="20"/>
          <w:szCs w:val="20"/>
          <w:color w:val="auto"/>
        </w:rPr>
      </w:pPr>
      <w:r>
        <w:rPr>
          <w:rFonts w:ascii="Arial" w:cs="Arial" w:eastAsia="Arial" w:hAnsi="Arial"/>
          <w:sz w:val="14"/>
          <w:szCs w:val="14"/>
          <w:i w:val="1"/>
          <w:iCs w:val="1"/>
          <w:color w:val="auto"/>
        </w:rPr>
        <w:t>Consumer goods: Durable</w:t>
      </w:r>
    </w:p>
    <w:p>
      <w:pPr>
        <w:ind w:left="20"/>
        <w:spacing w:after="0" w:line="180" w:lineRule="auto"/>
        <w:rPr>
          <w:sz w:val="20"/>
          <w:szCs w:val="20"/>
          <w:color w:val="auto"/>
        </w:rPr>
      </w:pPr>
      <w:r>
        <w:rPr>
          <w:rFonts w:ascii="Arial" w:cs="Arial" w:eastAsia="Arial" w:hAnsi="Arial"/>
          <w:sz w:val="13"/>
          <w:szCs w:val="13"/>
          <w:color w:val="auto"/>
        </w:rPr>
        <w:t>PGX Holdings, Inc.</w:t>
      </w:r>
      <w:r>
        <w:rPr>
          <w:rFonts w:ascii="Arial" w:cs="Arial" w:eastAsia="Arial" w:hAnsi="Arial"/>
          <w:sz w:val="21"/>
          <w:szCs w:val="21"/>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Services: Consumer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Playpower,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Construction &amp; Building</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PrimeLine Utility Services LLC</w:t>
      </w:r>
    </w:p>
    <w:p>
      <w:pPr>
        <w:ind w:left="200"/>
        <w:spacing w:after="0" w:line="187" w:lineRule="auto"/>
        <w:rPr>
          <w:sz w:val="20"/>
          <w:szCs w:val="20"/>
          <w:color w:val="auto"/>
        </w:rPr>
      </w:pPr>
      <w:r>
        <w:rPr>
          <w:rFonts w:ascii="Arial" w:cs="Arial" w:eastAsia="Arial" w:hAnsi="Arial"/>
          <w:sz w:val="13"/>
          <w:szCs w:val="13"/>
          <w:color w:val="auto"/>
        </w:rPr>
        <w:t>(fka FR Utility Services LLC)</w:t>
      </w:r>
      <w:r>
        <w:rPr>
          <w:rFonts w:ascii="Arial" w:cs="Arial" w:eastAsia="Arial" w:hAnsi="Arial"/>
          <w:sz w:val="21"/>
          <w:szCs w:val="21"/>
          <w:color w:val="auto"/>
          <w:vertAlign w:val="superscript"/>
        </w:rPr>
        <w:t>(8), (9)</w:t>
      </w:r>
    </w:p>
    <w:p>
      <w:pPr>
        <w:ind w:left="200"/>
        <w:spacing w:after="0" w:line="222" w:lineRule="auto"/>
        <w:rPr>
          <w:sz w:val="20"/>
          <w:szCs w:val="20"/>
          <w:color w:val="auto"/>
        </w:rPr>
      </w:pPr>
      <w:r>
        <w:rPr>
          <w:rFonts w:ascii="Arial" w:cs="Arial" w:eastAsia="Arial" w:hAnsi="Arial"/>
          <w:sz w:val="14"/>
          <w:szCs w:val="14"/>
          <w:i w:val="1"/>
          <w:iCs w:val="1"/>
          <w:color w:val="auto"/>
        </w:rPr>
        <w:t>Energy: Electricity</w:t>
      </w:r>
    </w:p>
    <w:p>
      <w:pPr>
        <w:ind w:left="20"/>
        <w:spacing w:after="0" w:line="233" w:lineRule="auto"/>
        <w:rPr>
          <w:sz w:val="20"/>
          <w:szCs w:val="20"/>
          <w:color w:val="auto"/>
        </w:rPr>
      </w:pPr>
      <w:r>
        <w:rPr>
          <w:rFonts w:ascii="Arial" w:cs="Arial" w:eastAsia="Arial" w:hAnsi="Arial"/>
          <w:sz w:val="14"/>
          <w:szCs w:val="14"/>
          <w:color w:val="auto"/>
        </w:rPr>
        <w:t>Priority Payment Systems Holdings,</w:t>
      </w:r>
    </w:p>
    <w:p>
      <w:pPr>
        <w:ind w:left="200"/>
        <w:spacing w:after="0" w:line="180" w:lineRule="auto"/>
        <w:rPr>
          <w:sz w:val="20"/>
          <w:szCs w:val="20"/>
          <w:color w:val="auto"/>
        </w:rPr>
      </w:pPr>
      <w:r>
        <w:rPr>
          <w:rFonts w:ascii="Arial" w:cs="Arial" w:eastAsia="Arial" w:hAnsi="Arial"/>
          <w:sz w:val="21"/>
          <w:szCs w:val="21"/>
          <w:color w:val="auto"/>
          <w:vertAlign w:val="subscript"/>
        </w:rPr>
        <w:t>LLC</w:t>
      </w:r>
      <w:r>
        <w:rPr>
          <w:rFonts w:ascii="Arial" w:cs="Arial" w:eastAsia="Arial" w:hAnsi="Arial"/>
          <w:sz w:val="10"/>
          <w:szCs w:val="10"/>
          <w:color w:val="auto"/>
        </w:rPr>
        <w:t>(8), (9)</w:t>
      </w:r>
    </w:p>
    <w:p>
      <w:pPr>
        <w:ind w:left="200" w:right="100"/>
        <w:spacing w:after="0" w:line="227" w:lineRule="auto"/>
        <w:rPr>
          <w:sz w:val="20"/>
          <w:szCs w:val="20"/>
          <w:color w:val="auto"/>
        </w:rPr>
      </w:pPr>
      <w:r>
        <w:rPr>
          <w:rFonts w:ascii="Arial" w:cs="Arial" w:eastAsia="Arial" w:hAnsi="Arial"/>
          <w:sz w:val="14"/>
          <w:szCs w:val="14"/>
          <w:i w:val="1"/>
          <w:iCs w:val="1"/>
          <w:color w:val="auto"/>
        </w:rPr>
        <w:t>Banking, Finance, Insurance &amp; Real Estate</w:t>
      </w:r>
    </w:p>
    <w:p>
      <w:pPr>
        <w:ind w:left="20"/>
        <w:spacing w:after="0" w:line="180" w:lineRule="auto"/>
        <w:rPr>
          <w:sz w:val="20"/>
          <w:szCs w:val="20"/>
          <w:color w:val="auto"/>
        </w:rPr>
      </w:pPr>
      <w:r>
        <w:rPr>
          <w:rFonts w:ascii="Arial" w:cs="Arial" w:eastAsia="Arial" w:hAnsi="Arial"/>
          <w:sz w:val="13"/>
          <w:szCs w:val="13"/>
          <w:color w:val="auto"/>
        </w:rPr>
        <w:t>PSC Industrial Holdings Corp.</w:t>
      </w:r>
      <w:r>
        <w:rPr>
          <w:rFonts w:ascii="Arial" w:cs="Arial" w:eastAsia="Arial" w:hAnsi="Arial"/>
          <w:sz w:val="21"/>
          <w:szCs w:val="21"/>
          <w:color w:val="auto"/>
          <w:vertAlign w:val="superscript"/>
        </w:rPr>
        <w:t>(8), (9)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Environmental Industries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Q Holding Company (fka Lexington</w:t>
      </w:r>
    </w:p>
    <w:p>
      <w:pPr>
        <w:ind w:left="200"/>
        <w:spacing w:after="0" w:line="187" w:lineRule="auto"/>
        <w:rPr>
          <w:sz w:val="20"/>
          <w:szCs w:val="20"/>
          <w:color w:val="auto"/>
        </w:rPr>
      </w:pPr>
      <w:r>
        <w:rPr>
          <w:rFonts w:ascii="Arial" w:cs="Arial" w:eastAsia="Arial" w:hAnsi="Arial"/>
          <w:sz w:val="13"/>
          <w:szCs w:val="13"/>
          <w:color w:val="auto"/>
        </w:rPr>
        <w:t>Precision Corporation)</w:t>
      </w:r>
      <w:r>
        <w:rPr>
          <w:rFonts w:ascii="Arial" w:cs="Arial" w:eastAsia="Arial" w:hAnsi="Arial"/>
          <w:sz w:val="21"/>
          <w:szCs w:val="21"/>
          <w:color w:val="auto"/>
          <w:vertAlign w:val="superscript"/>
        </w:rPr>
        <w:t>(8), (9)</w:t>
      </w:r>
    </w:p>
    <w:p>
      <w:pPr>
        <w:ind w:left="200"/>
        <w:spacing w:after="0" w:line="222" w:lineRule="auto"/>
        <w:rPr>
          <w:sz w:val="20"/>
          <w:szCs w:val="20"/>
          <w:color w:val="auto"/>
        </w:rPr>
      </w:pPr>
      <w:r>
        <w:rPr>
          <w:rFonts w:ascii="Arial" w:cs="Arial" w:eastAsia="Arial" w:hAnsi="Arial"/>
          <w:sz w:val="14"/>
          <w:szCs w:val="14"/>
          <w:i w:val="1"/>
          <w:iCs w:val="1"/>
          <w:color w:val="auto"/>
        </w:rPr>
        <w:t>Chemicals, Plastics and Rubber</w:t>
      </w:r>
    </w:p>
    <w:p>
      <w:pPr>
        <w:ind w:left="200" w:right="240" w:hanging="179"/>
        <w:spacing w:after="0" w:line="190" w:lineRule="auto"/>
        <w:rPr>
          <w:sz w:val="20"/>
          <w:szCs w:val="20"/>
          <w:color w:val="auto"/>
        </w:rPr>
      </w:pPr>
      <w:r>
        <w:rPr>
          <w:rFonts w:ascii="Arial" w:cs="Arial" w:eastAsia="Arial" w:hAnsi="Arial"/>
          <w:sz w:val="14"/>
          <w:szCs w:val="14"/>
          <w:color w:val="auto"/>
        </w:rPr>
        <w:t>Quad-C JH Holdings Inc. (aka Joerns Healthcare)</w:t>
      </w:r>
      <w:r>
        <w:rPr>
          <w:rFonts w:ascii="Arial" w:cs="Arial" w:eastAsia="Arial" w:hAnsi="Arial"/>
          <w:sz w:val="23"/>
          <w:szCs w:val="23"/>
          <w:color w:val="auto"/>
          <w:vertAlign w:val="superscript"/>
        </w:rPr>
        <w:t>(8), (9)</w:t>
      </w:r>
    </w:p>
    <w:p>
      <w:pPr>
        <w:ind w:left="200"/>
        <w:spacing w:after="0" w:line="234" w:lineRule="auto"/>
        <w:rPr>
          <w:sz w:val="20"/>
          <w:szCs w:val="20"/>
          <w:color w:val="auto"/>
        </w:rPr>
      </w:pPr>
      <w:r>
        <w:rPr>
          <w:rFonts w:ascii="Arial" w:cs="Arial" w:eastAsia="Arial" w:hAnsi="Arial"/>
          <w:sz w:val="14"/>
          <w:szCs w:val="14"/>
          <w:i w:val="1"/>
          <w:iCs w:val="1"/>
          <w:color w:val="auto"/>
        </w:rPr>
        <w:t>Healthcare &amp; Pharmaceuticals</w:t>
      </w:r>
    </w:p>
    <w:p>
      <w:pPr>
        <w:ind w:left="20"/>
        <w:spacing w:after="0" w:line="180" w:lineRule="auto"/>
        <w:rPr>
          <w:sz w:val="20"/>
          <w:szCs w:val="20"/>
          <w:color w:val="auto"/>
        </w:rPr>
      </w:pPr>
      <w:r>
        <w:rPr>
          <w:rFonts w:ascii="Arial" w:cs="Arial" w:eastAsia="Arial" w:hAnsi="Arial"/>
          <w:sz w:val="13"/>
          <w:szCs w:val="13"/>
          <w:color w:val="auto"/>
        </w:rPr>
        <w:t>Ravn Air Group, Inc.</w:t>
      </w:r>
      <w:r>
        <w:rPr>
          <w:rFonts w:ascii="Arial" w:cs="Arial" w:eastAsia="Arial" w:hAnsi="Arial"/>
          <w:sz w:val="21"/>
          <w:szCs w:val="21"/>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Transportation: Consumer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Roscoe Medical, Inc.</w:t>
      </w:r>
      <w:r>
        <w:rPr>
          <w:rFonts w:ascii="Arial" w:cs="Arial" w:eastAsia="Arial" w:hAnsi="Arial"/>
          <w:sz w:val="23"/>
          <w:szCs w:val="23"/>
          <w:color w:val="auto"/>
          <w:vertAlign w:val="superscript"/>
        </w:rPr>
        <w:t>(8)</w:t>
      </w:r>
    </w:p>
    <w:p>
      <w:pPr>
        <w:ind w:left="20" w:right="420" w:firstLine="180"/>
        <w:spacing w:after="0" w:line="244" w:lineRule="auto"/>
        <w:rPr>
          <w:sz w:val="20"/>
          <w:szCs w:val="20"/>
          <w:color w:val="auto"/>
        </w:rPr>
      </w:pPr>
      <w:r>
        <w:rPr>
          <w:rFonts w:ascii="Arial" w:cs="Arial" w:eastAsia="Arial" w:hAnsi="Arial"/>
          <w:sz w:val="13"/>
          <w:szCs w:val="13"/>
          <w:i w:val="1"/>
          <w:iCs w:val="1"/>
          <w:color w:val="auto"/>
        </w:rPr>
        <w:t xml:space="preserve">Healthcare &amp; Pharmaceuticals </w:t>
      </w:r>
      <w:r>
        <w:rPr>
          <w:rFonts w:ascii="Arial" w:cs="Arial" w:eastAsia="Arial" w:hAnsi="Arial"/>
          <w:sz w:val="13"/>
          <w:szCs w:val="13"/>
          <w:color w:val="auto"/>
        </w:rPr>
        <w:t>Sandy Creek Energy Associates,</w:t>
      </w:r>
    </w:p>
    <w:p>
      <w:pPr>
        <w:ind w:left="200"/>
        <w:spacing w:after="0" w:line="181" w:lineRule="auto"/>
        <w:rPr>
          <w:sz w:val="20"/>
          <w:szCs w:val="20"/>
          <w:color w:val="auto"/>
        </w:rPr>
      </w:pPr>
      <w:r>
        <w:rPr>
          <w:rFonts w:ascii="Arial" w:cs="Arial" w:eastAsia="Arial" w:hAnsi="Arial"/>
          <w:sz w:val="21"/>
          <w:szCs w:val="21"/>
          <w:color w:val="auto"/>
          <w:vertAlign w:val="subscript"/>
        </w:rPr>
        <w:t>L.P.</w:t>
      </w:r>
      <w:r>
        <w:rPr>
          <w:rFonts w:ascii="Arial" w:cs="Arial" w:eastAsia="Arial" w:hAnsi="Arial"/>
          <w:sz w:val="10"/>
          <w:szCs w:val="10"/>
          <w:color w:val="auto"/>
        </w:rPr>
        <w:t>(8), (9)</w:t>
      </w:r>
    </w:p>
    <w:p>
      <w:pPr>
        <w:ind w:left="200"/>
        <w:spacing w:after="0" w:line="221" w:lineRule="auto"/>
        <w:rPr>
          <w:sz w:val="20"/>
          <w:szCs w:val="20"/>
          <w:color w:val="auto"/>
        </w:rPr>
      </w:pPr>
      <w:r>
        <w:rPr>
          <w:rFonts w:ascii="Arial" w:cs="Arial" w:eastAsia="Arial" w:hAnsi="Arial"/>
          <w:sz w:val="14"/>
          <w:szCs w:val="14"/>
          <w:i w:val="1"/>
          <w:iCs w:val="1"/>
          <w:color w:val="auto"/>
        </w:rPr>
        <w:t>Utilities: Electric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48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6.3%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2/23</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  1,985,000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1,967,461</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   1,985,000</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7"/>
              </w:rPr>
              <w:t>4.0% Cash, 1.0% Libor Floor, Due 7/20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2,417,989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2,419,940</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2,417,989</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8"/>
              </w:rPr>
              <w:t>(Second Lien) 11.8%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12/22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1,477,675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1,477,500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5.5%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12/21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2,970,280</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2,970,000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Senior Secured Loan — Term A-1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6.0%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12/21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2,350,684</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2,335,796</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2,350,449</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Senior Secured Loan — Term A-2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6.0%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12/21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2,066,562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2,052,899</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2,066,355</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6.2%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8/20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5,361,360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5,326,136</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5,199,447</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2016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5.0%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6/22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3,447,500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3,459,466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3,481,630</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Tranche B-2</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4"/>
              </w:rPr>
              <w:t>Term Loan (First Lien) 8.0% Cash, 1.3%</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7/20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1,941,336</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1,899,875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1,882,707</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9.5%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12/19</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1,932,311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1,932,311</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1,647,295</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2013) 5.0%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Due 6/19</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1,750,135</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1,753,387</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1,704,920</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6/20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2,600,266</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2,587,099</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2,507,697</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6.3%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9/20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3,620,714</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3,598,052</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3,626,381</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5.8%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Due 6/21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1,970,000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1,958,956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1,969,606</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6.5%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11/22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3,935,672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3,904,453</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3,937,247</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7.0%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1/23</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3,960,000</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3,960,000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5.8%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Floor, Due 12/20</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2,974,300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2,953,559</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2,941,583</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12/21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2,992,366</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2,962,443</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2,962,443</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 A</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5/20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3,900,079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3,883,565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3,666,075</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5.3%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7/21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2,421,875</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2,412,614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2,324,516</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(Second Lien) 11.3% Cash, Due 9/19</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6,700,000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6,666,733</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6,499,000</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1"/>
        </w:trPr>
        <w:tc>
          <w:tcPr>
            <w:tcW w:w="2480" w:type="dxa"/>
            <w:vAlign w:val="bottom"/>
          </w:tcPr>
          <w:p>
            <w:pPr>
              <w:ind w:left="80"/>
              <w:spacing w:after="0"/>
              <w:rPr>
                <w:sz w:val="20"/>
                <w:szCs w:val="20"/>
                <w:color w:val="auto"/>
              </w:rPr>
            </w:pPr>
            <w:r>
              <w:rPr>
                <w:rFonts w:ascii="Arial" w:cs="Arial" w:eastAsia="Arial" w:hAnsi="Arial"/>
                <w:sz w:val="14"/>
                <w:szCs w:val="14"/>
                <w:color w:val="auto"/>
              </w:rPr>
              <w:t>Due 11/20</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2,613,239</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2,606,016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2,204,921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-6452870</wp:posOffset>
            </wp:positionV>
            <wp:extent cx="5213985" cy="2832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-5861050</wp:posOffset>
            </wp:positionV>
            <wp:extent cx="5213985" cy="2832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-5295265</wp:posOffset>
            </wp:positionV>
            <wp:extent cx="5213985" cy="2832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-4728845</wp:posOffset>
            </wp:positionV>
            <wp:extent cx="5213985" cy="2832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-4163060</wp:posOffset>
            </wp:positionV>
            <wp:extent cx="5213985" cy="3086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-3571240</wp:posOffset>
            </wp:positionV>
            <wp:extent cx="5213985" cy="2832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-2979420</wp:posOffset>
            </wp:positionV>
            <wp:extent cx="5213985" cy="2832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-2413635</wp:posOffset>
            </wp:positionV>
            <wp:extent cx="5213985" cy="3086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-1701800</wp:posOffset>
            </wp:positionV>
            <wp:extent cx="5213985" cy="2832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-1109980</wp:posOffset>
            </wp:positionV>
            <wp:extent cx="5213985" cy="3086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-518160</wp:posOffset>
            </wp:positionV>
            <wp:extent cx="5213985" cy="2146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3985" cy="2146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20" w:space="180"/>
            <w:col w:w="749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Stafford Logistics, Inc.(dba Custom</w:t>
            </w:r>
          </w:p>
        </w:tc>
        <w:tc>
          <w:tcPr>
            <w:tcW w:w="2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Senior Secured Loan — Term Loan</w:t>
            </w: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57"/>
        </w:trPr>
        <w:tc>
          <w:tcPr>
            <w:tcW w:w="2380" w:type="dxa"/>
            <w:vAlign w:val="bottom"/>
            <w:shd w:val="clear" w:color="auto" w:fill="CCEEFF"/>
          </w:tcPr>
          <w:p>
            <w:pPr>
              <w:ind w:left="200"/>
              <w:spacing w:after="0" w:line="157" w:lineRule="exact"/>
              <w:rPr>
                <w:sz w:val="20"/>
                <w:szCs w:val="20"/>
                <w:color w:val="auto"/>
              </w:rPr>
            </w:pPr>
            <w:r>
              <w:rPr>
                <w:rFonts w:ascii="Arial" w:cs="Arial" w:eastAsia="Arial" w:hAnsi="Arial"/>
                <w:sz w:val="12"/>
                <w:szCs w:val="12"/>
                <w:color w:val="auto"/>
              </w:rPr>
              <w:t>Ecology, Inc.)</w:t>
            </w:r>
            <w:r>
              <w:rPr>
                <w:rFonts w:ascii="Arial" w:cs="Arial" w:eastAsia="Arial" w:hAnsi="Arial"/>
                <w:sz w:val="18"/>
                <w:szCs w:val="18"/>
                <w:color w:val="auto"/>
                <w:vertAlign w:val="superscript"/>
              </w:rPr>
              <w:t>(8), (9)</w:t>
            </w:r>
          </w:p>
        </w:tc>
        <w:tc>
          <w:tcPr>
            <w:tcW w:w="262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7.5% Cash, 1.0% Libor Floor,</w:t>
            </w: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7"/>
        </w:trPr>
        <w:tc>
          <w:tcPr>
            <w:tcW w:w="238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Environmental Industries</w:t>
            </w:r>
          </w:p>
        </w:tc>
        <w:tc>
          <w:tcPr>
            <w:tcW w:w="2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Due 8/21</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2,709,639</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2,694,201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2,677,395</w:t>
            </w:r>
          </w:p>
        </w:tc>
      </w:tr>
    </w:tbl>
    <w:p>
      <w:pPr>
        <w:spacing w:after="0" w:line="200" w:lineRule="exact"/>
        <w:rPr>
          <w:sz w:val="20"/>
          <w:szCs w:val="20"/>
          <w:color w:val="auto"/>
        </w:r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89" w:name="page90"/>
    <w:bookmarkEnd w:id="8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4368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155194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91" w:lineRule="auto"/>
        <w:rPr>
          <w:sz w:val="20"/>
          <w:szCs w:val="20"/>
          <w:color w:val="auto"/>
        </w:rPr>
      </w:pPr>
      <w:r>
        <w:rPr>
          <w:rFonts w:ascii="Arial" w:cs="Arial" w:eastAsia="Arial" w:hAnsi="Arial"/>
          <w:sz w:val="14"/>
          <w:szCs w:val="14"/>
          <w:color w:val="auto"/>
        </w:rPr>
        <w:t>Tank Partners Holdings, LLC</w:t>
      </w:r>
      <w:r>
        <w:rPr>
          <w:rFonts w:ascii="Arial" w:cs="Arial" w:eastAsia="Arial" w:hAnsi="Arial"/>
          <w:sz w:val="23"/>
          <w:szCs w:val="23"/>
          <w:color w:val="auto"/>
          <w:vertAlign w:val="superscript"/>
        </w:rPr>
        <w:t>(8), (14)</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Energy: Oil &amp; Gas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Terra Millennium Corporation</w:t>
      </w:r>
      <w:r>
        <w:rPr>
          <w:rFonts w:ascii="Arial" w:cs="Arial" w:eastAsia="Arial" w:hAnsi="Arial"/>
          <w:sz w:val="23"/>
          <w:szCs w:val="23"/>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TronAir Parent Inc.</w:t>
      </w:r>
      <w:r>
        <w:rPr>
          <w:rFonts w:ascii="Arial" w:cs="Arial" w:eastAsia="Arial" w:hAnsi="Arial"/>
          <w:sz w:val="23"/>
          <w:szCs w:val="23"/>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TRSO I, Inc.</w:t>
      </w:r>
      <w:r>
        <w:rPr>
          <w:rFonts w:ascii="Arial" w:cs="Arial" w:eastAsia="Arial" w:hAnsi="Arial"/>
          <w:sz w:val="23"/>
          <w:szCs w:val="23"/>
          <w:color w:val="auto"/>
          <w:vertAlign w:val="superscript"/>
        </w:rPr>
        <w:t>(8)</w:t>
      </w:r>
    </w:p>
    <w:p>
      <w:pPr>
        <w:ind w:left="180"/>
        <w:spacing w:after="0"/>
        <w:rPr>
          <w:sz w:val="20"/>
          <w:szCs w:val="20"/>
          <w:color w:val="auto"/>
        </w:rPr>
      </w:pPr>
      <w:r>
        <w:rPr>
          <w:rFonts w:ascii="Arial" w:cs="Arial" w:eastAsia="Arial" w:hAnsi="Arial"/>
          <w:sz w:val="14"/>
          <w:szCs w:val="14"/>
          <w:i w:val="1"/>
          <w:iCs w:val="1"/>
          <w:color w:val="auto"/>
        </w:rPr>
        <w:t>Energy: Oil &amp; Gas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U.S. Shipping Corp (fka U.S. Shipping</w:t>
      </w:r>
    </w:p>
    <w:p>
      <w:pPr>
        <w:ind w:left="180"/>
        <w:spacing w:after="0" w:line="181" w:lineRule="auto"/>
        <w:rPr>
          <w:sz w:val="20"/>
          <w:szCs w:val="20"/>
          <w:color w:val="auto"/>
        </w:rPr>
      </w:pPr>
      <w:r>
        <w:rPr>
          <w:rFonts w:ascii="Arial" w:cs="Arial" w:eastAsia="Arial" w:hAnsi="Arial"/>
          <w:sz w:val="14"/>
          <w:szCs w:val="14"/>
          <w:color w:val="auto"/>
        </w:rPr>
        <w:t>Partners LP)</w:t>
      </w:r>
      <w:r>
        <w:rPr>
          <w:rFonts w:ascii="Arial" w:cs="Arial" w:eastAsia="Arial" w:hAnsi="Arial"/>
          <w:sz w:val="23"/>
          <w:szCs w:val="23"/>
          <w:color w:val="auto"/>
          <w:vertAlign w:val="superscript"/>
        </w:rPr>
        <w:t>(8), (9)</w:t>
      </w:r>
    </w:p>
    <w:p>
      <w:pPr>
        <w:ind w:left="180"/>
        <w:spacing w:after="0" w:line="234" w:lineRule="auto"/>
        <w:rPr>
          <w:sz w:val="20"/>
          <w:szCs w:val="20"/>
          <w:color w:val="auto"/>
        </w:rPr>
      </w:pPr>
      <w:r>
        <w:rPr>
          <w:rFonts w:ascii="Arial" w:cs="Arial" w:eastAsia="Arial" w:hAnsi="Arial"/>
          <w:sz w:val="14"/>
          <w:szCs w:val="14"/>
          <w:i w:val="1"/>
          <w:iCs w:val="1"/>
          <w:color w:val="auto"/>
        </w:rPr>
        <w:t>Transportation: Cargo</w:t>
      </w:r>
    </w:p>
    <w:p>
      <w:pPr>
        <w:spacing w:after="0" w:line="188" w:lineRule="auto"/>
        <w:rPr>
          <w:sz w:val="20"/>
          <w:szCs w:val="20"/>
          <w:color w:val="auto"/>
        </w:rPr>
      </w:pPr>
      <w:r>
        <w:rPr>
          <w:rFonts w:ascii="Arial" w:cs="Arial" w:eastAsia="Arial" w:hAnsi="Arial"/>
          <w:sz w:val="13"/>
          <w:szCs w:val="13"/>
          <w:color w:val="auto"/>
        </w:rPr>
        <w:t>USJ-IMECO Holding Company, LLC</w:t>
      </w:r>
      <w:r>
        <w:rPr>
          <w:rFonts w:ascii="Arial" w:cs="Arial" w:eastAsia="Arial" w:hAnsi="Arial"/>
          <w:sz w:val="21"/>
          <w:szCs w:val="21"/>
          <w:color w:val="auto"/>
          <w:vertAlign w:val="superscript"/>
        </w:rPr>
        <w:t>(8),</w:t>
      </w:r>
    </w:p>
    <w:p>
      <w:pPr>
        <w:ind w:left="180"/>
        <w:spacing w:after="0"/>
        <w:rPr>
          <w:sz w:val="20"/>
          <w:szCs w:val="20"/>
          <w:color w:val="auto"/>
        </w:rPr>
      </w:pPr>
      <w:r>
        <w:rPr>
          <w:rFonts w:ascii="Arial" w:cs="Arial" w:eastAsia="Arial" w:hAnsi="Arial"/>
          <w:sz w:val="12"/>
          <w:szCs w:val="12"/>
          <w:color w:val="auto"/>
        </w:rPr>
        <w:t>(9)</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186" w:lineRule="auto"/>
        <w:rPr>
          <w:sz w:val="20"/>
          <w:szCs w:val="20"/>
          <w:color w:val="auto"/>
        </w:rPr>
      </w:pPr>
      <w:r>
        <w:rPr>
          <w:rFonts w:ascii="Arial" w:cs="Arial" w:eastAsia="Arial" w:hAnsi="Arial"/>
          <w:sz w:val="13"/>
          <w:szCs w:val="13"/>
          <w:color w:val="auto"/>
        </w:rPr>
        <w:t>Verdesian Life Sciences, LLC</w:t>
      </w:r>
      <w:r>
        <w:rPr>
          <w:rFonts w:ascii="Arial" w:cs="Arial" w:eastAsia="Arial" w:hAnsi="Arial"/>
          <w:sz w:val="21"/>
          <w:szCs w:val="21"/>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(8)</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WideOpenWest Finance, LLC</w:t>
      </w:r>
      <w:r>
        <w:rPr>
          <w:rFonts w:ascii="Arial" w:cs="Arial" w:eastAsia="Arial" w:hAnsi="Arial"/>
          <w:sz w:val="23"/>
          <w:szCs w:val="23"/>
          <w:color w:val="auto"/>
          <w:vertAlign w:val="superscript"/>
        </w:rPr>
        <w:t>(8), (9)</w:t>
      </w:r>
    </w:p>
    <w:p>
      <w:pPr>
        <w:ind w:left="180" w:right="820"/>
        <w:spacing w:after="0" w:line="227" w:lineRule="auto"/>
        <w:rPr>
          <w:sz w:val="20"/>
          <w:szCs w:val="20"/>
          <w:color w:val="auto"/>
        </w:rPr>
      </w:pPr>
      <w:r>
        <w:rPr>
          <w:rFonts w:ascii="Arial" w:cs="Arial" w:eastAsia="Arial" w:hAnsi="Arial"/>
          <w:sz w:val="14"/>
          <w:szCs w:val="14"/>
          <w:i w:val="1"/>
          <w:iCs w:val="1"/>
          <w:color w:val="auto"/>
        </w:rPr>
        <w:t>Media: Broadcasting &amp; Subscription</w:t>
      </w:r>
    </w:p>
    <w:p>
      <w:pPr>
        <w:spacing w:after="0" w:line="180" w:lineRule="auto"/>
        <w:rPr>
          <w:sz w:val="20"/>
          <w:szCs w:val="20"/>
          <w:color w:val="auto"/>
        </w:rPr>
      </w:pPr>
      <w:r>
        <w:rPr>
          <w:rFonts w:ascii="Arial" w:cs="Arial" w:eastAsia="Arial" w:hAnsi="Arial"/>
          <w:sz w:val="13"/>
          <w:szCs w:val="13"/>
          <w:color w:val="auto"/>
        </w:rPr>
        <w:t>WireCo WorldGroup Inc.</w:t>
      </w:r>
      <w:r>
        <w:rPr>
          <w:rFonts w:ascii="Arial" w:cs="Arial" w:eastAsia="Arial" w:hAnsi="Arial"/>
          <w:sz w:val="21"/>
          <w:szCs w:val="21"/>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WireCo WorldGroup Inc. (WireCo</w:t>
      </w:r>
    </w:p>
    <w:p>
      <w:pPr>
        <w:ind w:left="180"/>
        <w:spacing w:after="0" w:line="187" w:lineRule="auto"/>
        <w:rPr>
          <w:sz w:val="20"/>
          <w:szCs w:val="20"/>
          <w:color w:val="auto"/>
        </w:rPr>
      </w:pPr>
      <w:r>
        <w:rPr>
          <w:rFonts w:ascii="Arial" w:cs="Arial" w:eastAsia="Arial" w:hAnsi="Arial"/>
          <w:sz w:val="13"/>
          <w:szCs w:val="13"/>
          <w:color w:val="auto"/>
        </w:rPr>
        <w:t>WorldGroup Finance LP)</w:t>
      </w:r>
      <w:r>
        <w:rPr>
          <w:rFonts w:ascii="Arial" w:cs="Arial" w:eastAsia="Arial" w:hAnsi="Arial"/>
          <w:sz w:val="21"/>
          <w:szCs w:val="21"/>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1" w:lineRule="exact"/>
        <w:rPr>
          <w:sz w:val="20"/>
          <w:szCs w:val="20"/>
          <w:color w:val="auto"/>
        </w:rPr>
      </w:pPr>
    </w:p>
    <w:p>
      <w:pPr>
        <w:ind w:left="180" w:right="200" w:hanging="179"/>
        <w:spacing w:after="0" w:line="232" w:lineRule="auto"/>
        <w:rPr>
          <w:sz w:val="20"/>
          <w:szCs w:val="20"/>
          <w:color w:val="auto"/>
        </w:rPr>
      </w:pPr>
      <w:r>
        <w:rPr>
          <w:rFonts w:ascii="Arial" w:cs="Arial" w:eastAsia="Arial" w:hAnsi="Arial"/>
          <w:sz w:val="14"/>
          <w:szCs w:val="14"/>
          <w:b w:val="1"/>
          <w:bCs w:val="1"/>
          <w:color w:val="auto"/>
        </w:rPr>
        <w:t>Total Investment in Debt Securities (122% of net asset value at fair value)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460" w:type="dxa"/>
            <w:vAlign w:val="bottom"/>
          </w:tcPr>
          <w:p>
            <w:pPr>
              <w:ind w:left="94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9"/>
              </w:rPr>
              <w:t>Fair Value</w:t>
            </w:r>
            <w:r>
              <w:rPr>
                <w:rFonts w:ascii="Arial" w:cs="Arial" w:eastAsia="Arial" w:hAnsi="Arial"/>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162"/>
        </w:trPr>
        <w:tc>
          <w:tcPr>
            <w:tcW w:w="2460" w:type="dxa"/>
            <w:vAlign w:val="bottom"/>
            <w:tcBorders>
              <w:bottom w:val="single" w:sz="8" w:color="auto"/>
            </w:tcBorders>
          </w:tcPr>
          <w:p>
            <w:pPr>
              <w:ind w:left="56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460" w:type="dxa"/>
            <w:vAlign w:val="bottom"/>
          </w:tcPr>
          <w:p>
            <w:pPr>
              <w:ind w:left="80"/>
              <w:spacing w:after="0" w:line="123" w:lineRule="exact"/>
              <w:rPr>
                <w:sz w:val="20"/>
                <w:szCs w:val="20"/>
                <w:color w:val="auto"/>
              </w:rPr>
            </w:pPr>
            <w:r>
              <w:rPr>
                <w:rFonts w:ascii="Arial" w:cs="Arial" w:eastAsia="Arial" w:hAnsi="Arial"/>
                <w:sz w:val="14"/>
                <w:szCs w:val="14"/>
                <w:color w:val="auto"/>
              </w:rPr>
              <w:t>Senior Secured Loan — Loan 10.0%</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7"/>
              </w:rPr>
              <w:t>Cash, 4.0% PIK, 3.0% Libor Floor, Due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8/19</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10,750,808</w:t>
            </w:r>
          </w:p>
        </w:tc>
        <w:tc>
          <w:tcPr>
            <w:tcW w:w="60" w:type="dxa"/>
            <w:vAlign w:val="bottom"/>
          </w:tcPr>
          <w:p>
            <w:pPr>
              <w:spacing w:after="0"/>
              <w:rPr>
                <w:sz w:val="12"/>
                <w:szCs w:val="12"/>
                <w:color w:val="auto"/>
              </w:rPr>
            </w:pP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10,656,975</w:t>
            </w: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6,550,311</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6"/>
              </w:rPr>
              <w:t>Senior Secured Loan — First Out Term</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5"/>
              </w:rPr>
              <w:t>Loan 7.3% Cash, 1.0% Libor Floor, Due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10/22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60" w:type="dxa"/>
            <w:vAlign w:val="bottom"/>
          </w:tcPr>
          <w:p>
            <w:pPr>
              <w:spacing w:after="0"/>
              <w:rPr>
                <w:sz w:val="12"/>
                <w:szCs w:val="12"/>
                <w:color w:val="auto"/>
              </w:rPr>
            </w:pP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3,960,202</w:t>
            </w: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3,960,000</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5.8% Cash, 1.0%</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9/23</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3,960,000</w:t>
            </w:r>
          </w:p>
        </w:tc>
        <w:tc>
          <w:tcPr>
            <w:tcW w:w="60" w:type="dxa"/>
            <w:vAlign w:val="bottom"/>
          </w:tcPr>
          <w:p>
            <w:pPr>
              <w:spacing w:after="0"/>
              <w:rPr>
                <w:sz w:val="12"/>
                <w:szCs w:val="12"/>
                <w:color w:val="auto"/>
              </w:rPr>
            </w:pP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3,923,893</w:t>
            </w: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3,959,208</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7"/>
              </w:rPr>
              <w:t>(Second Lien) 14.0% Cash, 1.0% Libor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Floor, Due 12/19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5"/>
                <w:szCs w:val="15"/>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991,495</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Tranche B-2</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Term Loan 5.3% Cash, 1.0% Libor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Floor, Due 6/21</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1,392,213</w:t>
            </w:r>
          </w:p>
        </w:tc>
        <w:tc>
          <w:tcPr>
            <w:tcW w:w="60" w:type="dxa"/>
            <w:vAlign w:val="bottom"/>
          </w:tcPr>
          <w:p>
            <w:pPr>
              <w:spacing w:after="0"/>
              <w:rPr>
                <w:sz w:val="15"/>
                <w:szCs w:val="15"/>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1,391,361</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1,312,857</w:t>
            </w:r>
          </w:p>
        </w:tc>
        <w:tc>
          <w:tcPr>
            <w:tcW w:w="0" w:type="dxa"/>
            <w:vAlign w:val="bottom"/>
          </w:tcPr>
          <w:p>
            <w:pPr>
              <w:spacing w:after="0"/>
              <w:rPr>
                <w:sz w:val="1"/>
                <w:szCs w:val="1"/>
                <w:color w:val="auto"/>
              </w:rPr>
            </w:pPr>
          </w:p>
        </w:tc>
      </w:tr>
      <w:tr>
        <w:trPr>
          <w:trHeight w:val="169"/>
        </w:trPr>
        <w:tc>
          <w:tcPr>
            <w:tcW w:w="2460" w:type="dxa"/>
            <w:vAlign w:val="bottom"/>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7.0% Cash, 1.0% Libor Floor,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Due 4/20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3,679,796</w:t>
            </w:r>
          </w:p>
        </w:tc>
        <w:tc>
          <w:tcPr>
            <w:tcW w:w="60" w:type="dxa"/>
            <w:vAlign w:val="bottom"/>
          </w:tcPr>
          <w:p>
            <w:pPr>
              <w:spacing w:after="0"/>
              <w:rPr>
                <w:sz w:val="12"/>
                <w:szCs w:val="12"/>
                <w:color w:val="auto"/>
              </w:rPr>
            </w:pP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3,669,622</w:t>
            </w: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3,497,278</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5"/>
              </w:rPr>
              <w:t>Loan 6.0% Cash, 1.0% Libor Floor, Due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7/20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3,766,302</w:t>
            </w:r>
          </w:p>
        </w:tc>
        <w:tc>
          <w:tcPr>
            <w:tcW w:w="60" w:type="dxa"/>
            <w:vAlign w:val="bottom"/>
          </w:tcPr>
          <w:p>
            <w:pPr>
              <w:spacing w:after="0"/>
              <w:rPr>
                <w:sz w:val="12"/>
                <w:szCs w:val="12"/>
                <w:color w:val="auto"/>
              </w:rPr>
            </w:pP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3,733,929</w:t>
            </w: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3,641,261</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Due 11/18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916,023</w:t>
            </w:r>
          </w:p>
        </w:tc>
        <w:tc>
          <w:tcPr>
            <w:tcW w:w="60" w:type="dxa"/>
            <w:vAlign w:val="bottom"/>
          </w:tcPr>
          <w:p>
            <w:pPr>
              <w:spacing w:after="0"/>
              <w:rPr>
                <w:sz w:val="12"/>
                <w:szCs w:val="12"/>
                <w:color w:val="auto"/>
              </w:rPr>
            </w:pP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912,479</w:t>
            </w: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889,000</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Due 11/18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4,567,552</w:t>
            </w:r>
          </w:p>
        </w:tc>
        <w:tc>
          <w:tcPr>
            <w:tcW w:w="60" w:type="dxa"/>
            <w:vAlign w:val="bottom"/>
          </w:tcPr>
          <w:p>
            <w:pPr>
              <w:spacing w:after="0"/>
              <w:rPr>
                <w:sz w:val="15"/>
                <w:szCs w:val="15"/>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4,550,168</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4,432,809</w:t>
            </w:r>
          </w:p>
        </w:tc>
        <w:tc>
          <w:tcPr>
            <w:tcW w:w="0" w:type="dxa"/>
            <w:vAlign w:val="bottom"/>
          </w:tcPr>
          <w:p>
            <w:pPr>
              <w:spacing w:after="0"/>
              <w:rPr>
                <w:sz w:val="1"/>
                <w:szCs w:val="1"/>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New Term B</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5"/>
              </w:rPr>
              <w:t>Loan 4.5% Cash, 1.0% Libor Floor, Due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8/23</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2,992,500</w:t>
            </w:r>
          </w:p>
        </w:tc>
        <w:tc>
          <w:tcPr>
            <w:tcW w:w="60" w:type="dxa"/>
            <w:vAlign w:val="bottom"/>
          </w:tcPr>
          <w:p>
            <w:pPr>
              <w:spacing w:after="0"/>
              <w:rPr>
                <w:sz w:val="12"/>
                <w:szCs w:val="12"/>
                <w:color w:val="auto"/>
              </w:rPr>
            </w:pPr>
          </w:p>
        </w:tc>
        <w:tc>
          <w:tcPr>
            <w:tcW w:w="10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2,992,500</w:t>
            </w: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3,028,829</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7"/>
              </w:rPr>
              <w:t>Loan (Second Lien) 10.0% Cash, 1.0%</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Libor Floor, Due 9/24</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5"/>
                <w:szCs w:val="15"/>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2,956,358</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6.5% Cash, 1.0%</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80"/>
              <w:spacing w:after="0"/>
              <w:rPr>
                <w:sz w:val="20"/>
                <w:szCs w:val="20"/>
                <w:color w:val="auto"/>
              </w:rPr>
            </w:pPr>
            <w:r>
              <w:rPr>
                <w:rFonts w:ascii="Arial" w:cs="Arial" w:eastAsia="Arial" w:hAnsi="Arial"/>
                <w:sz w:val="14"/>
                <w:szCs w:val="14"/>
                <w:color w:val="auto"/>
              </w:rPr>
              <w:t>Libor Floor, Due 9/23</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1,745,625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1,728,771</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1,763,780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89"/>
              </w:rPr>
              <w:t>$ 251,222,570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$ 249,520,234</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$ 238,343,330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-3806825</wp:posOffset>
            </wp:positionV>
            <wp:extent cx="5213985" cy="2832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-3241040</wp:posOffset>
            </wp:positionV>
            <wp:extent cx="5213985" cy="2832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-2675255</wp:posOffset>
            </wp:positionV>
            <wp:extent cx="5213985" cy="3086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-2049145</wp:posOffset>
            </wp:positionV>
            <wp:extent cx="5213985" cy="283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-1482725</wp:posOffset>
            </wp:positionV>
            <wp:extent cx="5213985" cy="2832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-891540</wp:posOffset>
            </wp:positionV>
            <wp:extent cx="5213985" cy="283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-290830</wp:posOffset>
            </wp:positionV>
            <wp:extent cx="5213985" cy="291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-4064000</wp:posOffset>
            </wp:positionV>
            <wp:extent cx="35591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240"/>
            <w:col w:w="7479"/>
          </w:cols>
          <w:pgMar w:left="380" w:top="792" w:right="1440" w:bottom="1440" w:gutter="0" w:footer="0" w:header="0"/>
        </w:sectPr>
      </w:pPr>
    </w:p>
    <w:p>
      <w:pPr>
        <w:spacing w:after="0" w:line="325"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90" w:name="page91"/>
    <w:bookmarkEnd w:id="9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37"/>
              <w:spacing w:after="0"/>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Amortized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53"/>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194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5"/>
              </w:rPr>
              <w:t>Interest/Shares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20"/>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(5), (8)</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 Interests</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100,549</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(5), (8)</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Series A Preferred Interests</w:t>
            </w:r>
          </w:p>
        </w:tc>
        <w:tc>
          <w:tcPr>
            <w:tcW w:w="1160" w:type="dxa"/>
            <w:vAlign w:val="bottom"/>
            <w:gridSpan w:val="2"/>
          </w:tcPr>
          <w:p>
            <w:pPr>
              <w:jc w:val="right"/>
              <w:ind w:right="137"/>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250,960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1,183,746</w:t>
            </w:r>
          </w:p>
        </w:tc>
        <w:tc>
          <w:tcPr>
            <w:tcW w:w="0" w:type="dxa"/>
            <w:vAlign w:val="bottom"/>
          </w:tcPr>
          <w:p>
            <w:pPr>
              <w:spacing w:after="0"/>
              <w:rPr>
                <w:sz w:val="1"/>
                <w:szCs w:val="1"/>
                <w:color w:val="auto"/>
              </w:rPr>
            </w:pPr>
          </w:p>
        </w:tc>
      </w:tr>
      <w:tr>
        <w:trPr>
          <w:trHeight w:val="140"/>
        </w:trPr>
        <w:tc>
          <w:tcPr>
            <w:tcW w:w="280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Caribe Media Inc. (fka Caribe Information</w:t>
            </w: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200"/>
              <w:spacing w:after="0" w:line="179" w:lineRule="exact"/>
              <w:rPr>
                <w:sz w:val="20"/>
                <w:szCs w:val="20"/>
                <w:color w:val="auto"/>
              </w:rPr>
            </w:pPr>
            <w:r>
              <w:rPr>
                <w:rFonts w:ascii="Arial" w:cs="Arial" w:eastAsia="Arial" w:hAnsi="Arial"/>
                <w:sz w:val="13"/>
                <w:szCs w:val="13"/>
                <w:color w:val="auto"/>
              </w:rPr>
              <w:t>Investments Incorporated)</w:t>
            </w:r>
            <w:r>
              <w:rPr>
                <w:rFonts w:ascii="Arial" w:cs="Arial" w:eastAsia="Arial" w:hAnsi="Arial"/>
                <w:sz w:val="20"/>
                <w:szCs w:val="20"/>
                <w:color w:val="auto"/>
                <w:vertAlign w:val="superscript"/>
              </w:rPr>
              <w:t>(5), (8)</w:t>
            </w:r>
          </w:p>
        </w:tc>
        <w:tc>
          <w:tcPr>
            <w:tcW w:w="1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Media: Advertising, Printing &amp; Publishing</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359,765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532,342</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DBI Holding LLC</w:t>
            </w:r>
            <w:r>
              <w:rPr>
                <w:rFonts w:ascii="Arial" w:cs="Arial" w:eastAsia="Arial" w:hAnsi="Arial"/>
                <w:sz w:val="19"/>
                <w:szCs w:val="19"/>
                <w:color w:val="auto"/>
                <w:vertAlign w:val="superscript"/>
              </w:rPr>
              <w:t>(5), (8)</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Services: Business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Warrants</w:t>
            </w:r>
          </w:p>
        </w:tc>
        <w:tc>
          <w:tcPr>
            <w:tcW w:w="1160" w:type="dxa"/>
            <w:vAlign w:val="bottom"/>
            <w:gridSpan w:val="2"/>
          </w:tcPr>
          <w:p>
            <w:pPr>
              <w:jc w:val="right"/>
              <w:ind w:right="137"/>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(5), (8)</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Membership Units</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1,079,617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FP WRCA Coinvestment Fund VII,</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Ltd.</w:t>
            </w:r>
            <w:r>
              <w:rPr>
                <w:rFonts w:ascii="Arial" w:cs="Arial" w:eastAsia="Arial" w:hAnsi="Arial"/>
                <w:sz w:val="10"/>
                <w:szCs w:val="10"/>
                <w:color w:val="auto"/>
              </w:rPr>
              <w:t>(3), (5)</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Capital Equipment</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Shares</w:t>
            </w:r>
          </w:p>
        </w:tc>
        <w:tc>
          <w:tcPr>
            <w:tcW w:w="1160" w:type="dxa"/>
            <w:vAlign w:val="bottom"/>
            <w:gridSpan w:val="2"/>
          </w:tcPr>
          <w:p>
            <w:pPr>
              <w:jc w:val="right"/>
              <w:ind w:right="257"/>
              <w:spacing w:after="0"/>
              <w:rPr>
                <w:sz w:val="20"/>
                <w:szCs w:val="20"/>
                <w:color w:val="auto"/>
              </w:rPr>
            </w:pPr>
            <w:r>
              <w:rPr>
                <w:rFonts w:ascii="Arial" w:cs="Arial" w:eastAsia="Arial" w:hAnsi="Arial"/>
                <w:sz w:val="14"/>
                <w:szCs w:val="14"/>
                <w:color w:val="auto"/>
              </w:rPr>
              <w:t>1,500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811,268</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(5), (8)</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Hotel, Gaming &amp; Leisure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Roscoe Investors, LLC</w:t>
            </w:r>
            <w:r>
              <w:rPr>
                <w:rFonts w:ascii="Arial" w:cs="Arial" w:eastAsia="Arial" w:hAnsi="Arial"/>
                <w:sz w:val="19"/>
                <w:szCs w:val="19"/>
                <w:color w:val="auto"/>
                <w:vertAlign w:val="superscript"/>
              </w:rPr>
              <w:t>(5), (8)</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Units</w:t>
            </w:r>
          </w:p>
        </w:tc>
        <w:tc>
          <w:tcPr>
            <w:tcW w:w="1160" w:type="dxa"/>
            <w:vAlign w:val="bottom"/>
            <w:gridSpan w:val="2"/>
          </w:tcPr>
          <w:p>
            <w:pPr>
              <w:jc w:val="right"/>
              <w:ind w:right="137"/>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1,169,000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(5), (8), (11)</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(5), (8)</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Warrants</w:t>
            </w:r>
          </w:p>
        </w:tc>
        <w:tc>
          <w:tcPr>
            <w:tcW w:w="1160" w:type="dxa"/>
            <w:vAlign w:val="bottom"/>
            <w:gridSpan w:val="2"/>
          </w:tcPr>
          <w:p>
            <w:pPr>
              <w:jc w:val="right"/>
              <w:ind w:right="137"/>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185,205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(5), (8)</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1,680,161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1,253,450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New Millennium Holdco, Inc. (Millennium</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13"/>
                <w:szCs w:val="13"/>
                <w:color w:val="auto"/>
              </w:rPr>
              <w:t>Health, LLC)</w:t>
            </w:r>
            <w:r>
              <w:rPr>
                <w:rFonts w:ascii="Arial" w:cs="Arial" w:eastAsia="Arial" w:hAnsi="Arial"/>
                <w:sz w:val="20"/>
                <w:szCs w:val="20"/>
                <w:color w:val="auto"/>
                <w:vertAlign w:val="superscript"/>
              </w:rPr>
              <w:t>(5)</w:t>
            </w:r>
            <w:r>
              <w:rPr>
                <w:rFonts w:ascii="Arial" w:cs="Arial" w:eastAsia="Arial" w:hAnsi="Arial"/>
                <w:sz w:val="13"/>
                <w:szCs w:val="13"/>
                <w:color w:val="auto"/>
              </w:rPr>
              <w:t>,</w:t>
            </w:r>
            <w:r>
              <w:rPr>
                <w:rFonts w:ascii="Arial" w:cs="Arial" w:eastAsia="Arial" w:hAnsi="Arial"/>
                <w:sz w:val="20"/>
                <w:szCs w:val="20"/>
                <w:color w:val="auto"/>
                <w:vertAlign w:val="superscript"/>
              </w:rPr>
              <w:t>(8)</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tcPr>
          <w:p>
            <w:pPr>
              <w:jc w:val="right"/>
              <w:ind w:right="137"/>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1,953,299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19"/>
        </w:trPr>
        <w:tc>
          <w:tcPr>
            <w:tcW w:w="28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Investment in Equity</w:t>
            </w:r>
          </w:p>
        </w:tc>
        <w:tc>
          <w:tcPr>
            <w:tcW w:w="16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w w:val="99"/>
              </w:rPr>
              <w:t>Securities (3% of net asset value at fair</w:t>
            </w: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value)</w:t>
            </w:r>
          </w:p>
        </w:tc>
        <w:tc>
          <w:tcPr>
            <w:tcW w:w="16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10,389,007</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5,056,355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1" w:name="page92"/>
    <w:bookmarkEnd w:id="9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Fund Securities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50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(12)</w:t>
            </w:r>
          </w:p>
        </w:tc>
        <w:tc>
          <w:tcPr>
            <w:tcW w:w="1300" w:type="dxa"/>
            <w:vAlign w:val="bottom"/>
          </w:tcPr>
          <w:p>
            <w:pPr>
              <w:ind w:left="460"/>
              <w:spacing w:after="0"/>
              <w:rPr>
                <w:sz w:val="20"/>
                <w:szCs w:val="20"/>
                <w:color w:val="auto"/>
              </w:rPr>
            </w:pPr>
            <w:r>
              <w:rPr>
                <w:rFonts w:ascii="Arial" w:cs="Arial" w:eastAsia="Arial" w:hAnsi="Arial"/>
                <w:sz w:val="14"/>
                <w:szCs w:val="14"/>
                <w:b w:val="1"/>
                <w:bCs w:val="1"/>
                <w:color w:val="auto"/>
              </w:rPr>
              <w:t>Percentage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88"/>
              </w:rPr>
              <w:t>Fair Value</w:t>
            </w:r>
            <w:r>
              <w:rPr>
                <w:rFonts w:ascii="Arial" w:cs="Arial" w:eastAsia="Arial" w:hAnsi="Arial"/>
                <w:sz w:val="23"/>
                <w:szCs w:val="23"/>
                <w:b w:val="1"/>
                <w:bCs w:val="1"/>
                <w:color w:val="auto"/>
                <w:w w:val="88"/>
                <w:vertAlign w:val="superscript"/>
              </w:rPr>
              <w:t>(2)</w:t>
            </w:r>
          </w:p>
        </w:tc>
        <w:tc>
          <w:tcPr>
            <w:tcW w:w="0" w:type="dxa"/>
            <w:vAlign w:val="bottom"/>
          </w:tcPr>
          <w:p>
            <w:pPr>
              <w:spacing w:after="0"/>
              <w:rPr>
                <w:sz w:val="1"/>
                <w:szCs w:val="1"/>
                <w:color w:val="auto"/>
              </w:rPr>
            </w:pPr>
          </w:p>
        </w:tc>
      </w:tr>
      <w:tr>
        <w:trPr>
          <w:trHeight w:val="171"/>
        </w:trPr>
        <w:tc>
          <w:tcPr>
            <w:tcW w:w="2360" w:type="dxa"/>
            <w:vAlign w:val="bottom"/>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300" w:type="dxa"/>
            <w:vAlign w:val="bottom"/>
          </w:tcPr>
          <w:p>
            <w:pPr>
              <w:ind w:left="460"/>
              <w:spacing w:after="0"/>
              <w:rPr>
                <w:sz w:val="20"/>
                <w:szCs w:val="20"/>
                <w:color w:val="auto"/>
              </w:rPr>
            </w:pPr>
            <w:r>
              <w:rPr>
                <w:rFonts w:ascii="Arial" w:cs="Arial" w:eastAsia="Arial" w:hAnsi="Arial"/>
                <w:sz w:val="14"/>
                <w:szCs w:val="14"/>
                <w:b w:val="1"/>
                <w:bCs w:val="1"/>
                <w:color w:val="auto"/>
              </w:rPr>
              <w:t>Ownership</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7494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 Grove CLO, Ltd.</w:t>
      </w:r>
      <w:r>
        <w:rPr>
          <w:rFonts w:ascii="Arial" w:cs="Arial" w:eastAsia="Arial" w:hAnsi="Arial"/>
          <w:sz w:val="30"/>
          <w:szCs w:val="30"/>
          <w:color w:val="auto"/>
          <w:vertAlign w:val="superscript"/>
        </w:rPr>
        <w:t>(3), (13)</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Katonah III, Ltd.</w:t>
      </w:r>
      <w:r>
        <w:rPr>
          <w:rFonts w:ascii="Arial" w:cs="Arial" w:eastAsia="Arial" w:hAnsi="Arial"/>
          <w:sz w:val="30"/>
          <w:szCs w:val="30"/>
          <w:color w:val="auto"/>
          <w:vertAlign w:val="superscript"/>
        </w:rPr>
        <w:t>(3), (13)</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7"/>
          <w:szCs w:val="17"/>
          <w:color w:val="auto"/>
        </w:rPr>
        <w:t>Katonah 2007-I CLO Ltd.</w:t>
      </w:r>
      <w:r>
        <w:rPr>
          <w:rFonts w:ascii="Arial" w:cs="Arial" w:eastAsia="Arial" w:hAnsi="Arial"/>
          <w:sz w:val="28"/>
          <w:szCs w:val="28"/>
          <w:color w:val="auto"/>
          <w:vertAlign w:val="superscript"/>
        </w:rPr>
        <w:t>(3), (6)</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Trimaran CLO VII, Ltd.</w:t>
      </w:r>
      <w:r>
        <w:rPr>
          <w:rFonts w:ascii="Arial" w:cs="Arial" w:eastAsia="Arial" w:hAnsi="Arial"/>
          <w:sz w:val="26"/>
          <w:szCs w:val="26"/>
          <w:color w:val="auto"/>
          <w:vertAlign w:val="superscript"/>
        </w:rPr>
        <w:t>(3), (6), (13)</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Catamaran CLO 2012-1 Ltd.</w:t>
      </w:r>
      <w:r>
        <w:rPr>
          <w:rFonts w:ascii="Arial" w:cs="Arial" w:eastAsia="Arial" w:hAnsi="Arial"/>
          <w:sz w:val="26"/>
          <w:szCs w:val="26"/>
          <w:color w:val="auto"/>
          <w:vertAlign w:val="superscript"/>
        </w:rPr>
        <w:t>(3), (6)</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Catamaran CLO 2013- 1 Ltd.</w:t>
      </w:r>
      <w:r>
        <w:rPr>
          <w:rFonts w:ascii="Arial" w:cs="Arial" w:eastAsia="Arial" w:hAnsi="Arial"/>
          <w:sz w:val="24"/>
          <w:szCs w:val="24"/>
          <w:color w:val="auto"/>
          <w:vertAlign w:val="superscript"/>
        </w:rPr>
        <w:t>(3), (6)</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Catamaran CLO 2014-1 Ltd.</w:t>
      </w:r>
      <w:r>
        <w:rPr>
          <w:rFonts w:ascii="Arial" w:cs="Arial" w:eastAsia="Arial" w:hAnsi="Arial"/>
          <w:sz w:val="26"/>
          <w:szCs w:val="26"/>
          <w:color w:val="auto"/>
          <w:vertAlign w:val="superscript"/>
        </w:rPr>
        <w:t>(3), (6)</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Catamaran CLO 2014-2 Ltd.</w:t>
      </w:r>
      <w:r>
        <w:rPr>
          <w:rFonts w:ascii="Arial" w:cs="Arial" w:eastAsia="Arial" w:hAnsi="Arial"/>
          <w:sz w:val="26"/>
          <w:szCs w:val="26"/>
          <w:color w:val="auto"/>
          <w:vertAlign w:val="superscript"/>
        </w:rPr>
        <w:t>(3), (6)</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Dryden 30 Senior Loan Fund</w:t>
      </w:r>
      <w:r>
        <w:rPr>
          <w:rFonts w:ascii="Arial" w:cs="Arial" w:eastAsia="Arial" w:hAnsi="Arial"/>
          <w:sz w:val="30"/>
          <w:szCs w:val="30"/>
          <w:color w:val="auto"/>
          <w:vertAlign w:val="superscript"/>
        </w:rPr>
        <w:t>(3)</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Catamaran CLO 2015-1 Ltd.</w:t>
      </w:r>
      <w:r>
        <w:rPr>
          <w:rFonts w:ascii="Arial" w:cs="Arial" w:eastAsia="Arial" w:hAnsi="Arial"/>
          <w:sz w:val="26"/>
          <w:szCs w:val="26"/>
          <w:color w:val="auto"/>
          <w:vertAlign w:val="superscript"/>
        </w:rPr>
        <w:t>(3), (6)</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Catamaran CLO 2016-1 Ltd.</w:t>
      </w:r>
      <w:r>
        <w:rPr>
          <w:rFonts w:ascii="Arial" w:cs="Arial" w:eastAsia="Arial" w:hAnsi="Arial"/>
          <w:sz w:val="26"/>
          <w:szCs w:val="26"/>
          <w:color w:val="auto"/>
          <w:vertAlign w:val="superscript"/>
        </w:rPr>
        <w:t>(3), (6)</w:t>
      </w:r>
    </w:p>
    <w:p>
      <w:pPr>
        <w:ind w:left="200" w:right="540" w:hanging="179"/>
        <w:spacing w:after="0" w:line="358" w:lineRule="auto"/>
        <w:rPr>
          <w:sz w:val="20"/>
          <w:szCs w:val="20"/>
          <w:color w:val="auto"/>
        </w:rPr>
      </w:pPr>
      <w:r>
        <w:rPr>
          <w:rFonts w:ascii="Arial" w:cs="Arial" w:eastAsia="Arial" w:hAnsi="Arial"/>
          <w:sz w:val="15"/>
          <w:szCs w:val="15"/>
          <w:b w:val="1"/>
          <w:bCs w:val="1"/>
          <w:color w:val="auto"/>
        </w:rPr>
        <w:t>Total Investment in CLO Subordinated Securities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Rated-Note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17494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Portfolio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7"/>
              </w:rPr>
              <w:t>effective interest 0.1%, 1/21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2,485,886</w:t>
            </w:r>
          </w:p>
        </w:tc>
        <w:tc>
          <w:tcPr>
            <w:tcW w:w="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Preferred Shares,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8"/>
              </w:rPr>
              <w:t>interest 0.1%, 5/15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1,287,155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Preferred Shares,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30.8%, 4/22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28,022,646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20,453,099</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Income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47.9%, 6/21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1,643,920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1,195,152</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3.1%, 12/23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5,919,933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2,819,412</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14.9%, 1/25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5,237,222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4,918,807</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10.0%, 4/26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7,818,484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4,546,682</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interest 10.9%, 10/26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6,967,560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5,092,087</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interest 36.2%, 11/25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1,343,467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1,895,566</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8"/>
              </w:rPr>
              <w:t>interest 9.5%, 4/27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4,543,317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3,223,255</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13.9%, 1/29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10,140,000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8,350,290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75,409,590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52,864,350</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6"/>
        </w:trPr>
        <w:tc>
          <w:tcPr>
            <w:tcW w:w="22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Investment</w:t>
            </w:r>
          </w:p>
        </w:tc>
        <w:tc>
          <w:tcPr>
            <w:tcW w:w="8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24"/>
                <w:szCs w:val="24"/>
                <w:color w:val="auto"/>
              </w:rPr>
            </w:pPr>
          </w:p>
        </w:tc>
        <w:tc>
          <w:tcPr>
            <w:tcW w:w="9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Ownership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-4270375</wp:posOffset>
            </wp:positionV>
            <wp:extent cx="5213985" cy="4114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3985" cy="4114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-3583940</wp:posOffset>
            </wp:positionV>
            <wp:extent cx="5213985" cy="2743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-3035300</wp:posOffset>
            </wp:positionV>
            <wp:extent cx="5213985" cy="274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-2486660</wp:posOffset>
            </wp:positionV>
            <wp:extent cx="5213985" cy="274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-1800225</wp:posOffset>
            </wp:positionV>
            <wp:extent cx="5213985" cy="4114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3985" cy="4114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-1114425</wp:posOffset>
            </wp:positionV>
            <wp:extent cx="5213985" cy="5918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13985" cy="591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-265430</wp:posOffset>
            </wp:positionV>
            <wp:extent cx="34131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80" w:space="260"/>
            <w:col w:w="725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7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Float – 04/2026 – E –</w:t>
            </w:r>
          </w:p>
        </w:tc>
        <w:tc>
          <w:tcPr>
            <w:tcW w:w="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CRMN 2014 – 1A</w:t>
            </w:r>
            <w:r>
              <w:rPr>
                <w:rFonts w:ascii="Arial" w:cs="Arial" w:eastAsia="Arial" w:hAnsi="Arial"/>
                <w:sz w:val="30"/>
                <w:szCs w:val="30"/>
                <w:color w:val="auto"/>
                <w:vertAlign w:val="superscript"/>
              </w:rPr>
              <w:t>(3), (6)</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14889FAC7, 6.6%, 4/26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maturity</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1,441,727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1,310,000</w:t>
            </w:r>
          </w:p>
        </w:tc>
        <w:tc>
          <w:tcPr>
            <w:tcW w:w="0" w:type="dxa"/>
            <w:vAlign w:val="bottom"/>
          </w:tcPr>
          <w:p>
            <w:pPr>
              <w:spacing w:after="0"/>
              <w:rPr>
                <w:sz w:val="1"/>
                <w:szCs w:val="1"/>
                <w:color w:val="auto"/>
              </w:rPr>
            </w:pPr>
          </w:p>
        </w:tc>
      </w:tr>
      <w:tr>
        <w:trPr>
          <w:trHeight w:val="191"/>
        </w:trPr>
        <w:tc>
          <w:tcPr>
            <w:tcW w:w="27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8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Rated-Note</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1,441,727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1,310,000</w:t>
            </w: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Investment in CLO Fund</w:t>
            </w:r>
          </w:p>
        </w:tc>
        <w:tc>
          <w:tcPr>
            <w:tcW w:w="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7"/>
              </w:rPr>
              <w:t>Securities (28% of net asset value</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at fair value)</w:t>
            </w:r>
          </w:p>
        </w:tc>
        <w:tc>
          <w:tcPr>
            <w:tcW w:w="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76,851,317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54,174,350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-736600</wp:posOffset>
            </wp:positionV>
            <wp:extent cx="5213985" cy="291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 Manager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17494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left="20"/>
        <w:spacing w:after="0" w:line="205" w:lineRule="auto"/>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(8), (10)</w:t>
      </w:r>
    </w:p>
    <w:p>
      <w:pPr>
        <w:spacing w:after="0" w:line="1" w:lineRule="exact"/>
        <w:rPr>
          <w:sz w:val="20"/>
          <w:szCs w:val="20"/>
          <w:color w:val="auto"/>
        </w:rPr>
      </w:pPr>
    </w:p>
    <w:p>
      <w:pPr>
        <w:jc w:val="both"/>
        <w:ind w:left="200" w:hanging="179"/>
        <w:spacing w:after="0" w:line="254" w:lineRule="auto"/>
        <w:rPr>
          <w:sz w:val="20"/>
          <w:szCs w:val="20"/>
          <w:color w:val="auto"/>
        </w:rPr>
      </w:pPr>
      <w:r>
        <w:rPr>
          <w:rFonts w:ascii="Arial" w:cs="Arial" w:eastAsia="Arial" w:hAnsi="Arial"/>
          <w:sz w:val="18"/>
          <w:szCs w:val="18"/>
          <w:b w:val="1"/>
          <w:bCs w:val="1"/>
          <w:color w:val="auto"/>
        </w:rPr>
        <w:t>Total Investment in Asset Manager Affiliates (21% of net asset value at fair value)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4"/>
                <w:szCs w:val="14"/>
                <w:color w:val="auto"/>
              </w:rPr>
            </w:pPr>
          </w:p>
        </w:tc>
        <w:tc>
          <w:tcPr>
            <w:tcW w:w="9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8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280" w:type="dxa"/>
            <w:vAlign w:val="bottom"/>
          </w:tcPr>
          <w:p>
            <w:pPr>
              <w:jc w:val="center"/>
              <w:spacing w:after="0"/>
              <w:rPr>
                <w:sz w:val="20"/>
                <w:szCs w:val="20"/>
                <w:color w:val="auto"/>
              </w:rPr>
            </w:pPr>
            <w:r>
              <w:rPr>
                <w:rFonts w:ascii="Arial" w:cs="Arial" w:eastAsia="Arial" w:hAnsi="Arial"/>
                <w:sz w:val="18"/>
                <w:szCs w:val="18"/>
                <w:color w:val="auto"/>
                <w:w w:val="89"/>
              </w:rPr>
              <w:t>Asset Management Company</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100%</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55,341,230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40,198,000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55,341,230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40,198,000</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-616585</wp:posOffset>
            </wp:positionV>
            <wp:extent cx="5213985" cy="6172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13985" cy="6172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140"/>
            <w:col w:w="7259"/>
          </w:cols>
          <w:pgMar w:left="360" w:top="792" w:right="1440" w:bottom="1440" w:gutter="0" w:footer="0" w:header="0"/>
          <w:type w:val="continuous"/>
        </w:sect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39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2" w:name="page93"/>
    <w:bookmarkEnd w:id="9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Time Deposits and Money Market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Time Deposit and Money Market Accounts</w:t>
            </w:r>
          </w:p>
        </w:tc>
        <w:tc>
          <w:tcPr>
            <w:tcW w:w="100" w:type="dxa"/>
            <w:vAlign w:val="bottom"/>
          </w:tcPr>
          <w:p>
            <w:pPr>
              <w:spacing w:after="0"/>
              <w:rPr>
                <w:sz w:val="14"/>
                <w:szCs w:val="14"/>
                <w:color w:val="auto"/>
              </w:rPr>
            </w:pPr>
          </w:p>
        </w:tc>
        <w:tc>
          <w:tcPr>
            <w:tcW w:w="19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Par/Amortized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Yield</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980" w:type="dxa"/>
            <w:vAlign w:val="bottom"/>
            <w:tcBorders>
              <w:top w:val="single" w:sz="8" w:color="auto"/>
            </w:tcBorders>
            <w:gridSpan w:val="3"/>
            <w:shd w:val="clear" w:color="auto" w:fill="CCEEFF"/>
          </w:tcPr>
          <w:p>
            <w:pPr>
              <w:ind w:left="20"/>
              <w:spacing w:after="0" w:line="199" w:lineRule="exact"/>
              <w:rPr>
                <w:sz w:val="20"/>
                <w:szCs w:val="20"/>
                <w:color w:val="auto"/>
              </w:rPr>
            </w:pPr>
            <w:r>
              <w:rPr>
                <w:rFonts w:ascii="Arial" w:cs="Arial" w:eastAsia="Arial" w:hAnsi="Arial"/>
                <w:sz w:val="18"/>
                <w:szCs w:val="18"/>
                <w:color w:val="auto"/>
              </w:rPr>
              <w:t>JP Morgan Business Money Market</w:t>
            </w:r>
          </w:p>
        </w:tc>
        <w:tc>
          <w:tcPr>
            <w:tcW w:w="100" w:type="dxa"/>
            <w:vAlign w:val="bottom"/>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96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Account</w:t>
            </w:r>
            <w:r>
              <w:rPr>
                <w:rFonts w:ascii="Arial" w:cs="Arial" w:eastAsia="Arial" w:hAnsi="Arial"/>
                <w:sz w:val="30"/>
                <w:szCs w:val="30"/>
                <w:color w:val="auto"/>
                <w:vertAlign w:val="superscript"/>
              </w:rPr>
              <w:t>(7), (8)</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Money Market Account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6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57"/>
        </w:trPr>
        <w:tc>
          <w:tcPr>
            <w:tcW w:w="29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(8)</w:t>
            </w:r>
          </w:p>
        </w:tc>
        <w:tc>
          <w:tcPr>
            <w:tcW w:w="100" w:type="dxa"/>
            <w:vAlign w:val="bottom"/>
          </w:tcPr>
          <w:p>
            <w:pPr>
              <w:spacing w:after="0"/>
              <w:rPr>
                <w:sz w:val="22"/>
                <w:szCs w:val="22"/>
                <w:color w:val="auto"/>
              </w:rPr>
            </w:pPr>
          </w:p>
        </w:tc>
        <w:tc>
          <w:tcPr>
            <w:tcW w:w="1940" w:type="dxa"/>
            <w:vAlign w:val="bottom"/>
          </w:tcPr>
          <w:p>
            <w:pPr>
              <w:ind w:left="80"/>
              <w:spacing w:after="0"/>
              <w:rPr>
                <w:sz w:val="20"/>
                <w:szCs w:val="20"/>
                <w:color w:val="auto"/>
              </w:rPr>
            </w:pPr>
            <w:r>
              <w:rPr>
                <w:rFonts w:ascii="Arial" w:cs="Arial" w:eastAsia="Arial" w:hAnsi="Arial"/>
                <w:sz w:val="18"/>
                <w:szCs w:val="18"/>
                <w:color w:val="auto"/>
                <w:w w:val="99"/>
              </w:rPr>
              <w:t>Money Market Account</w:t>
            </w:r>
          </w:p>
        </w:tc>
        <w:tc>
          <w:tcPr>
            <w:tcW w:w="880" w:type="dxa"/>
            <w:vAlign w:val="bottom"/>
            <w:gridSpan w:val="2"/>
          </w:tcPr>
          <w:p>
            <w:pPr>
              <w:jc w:val="right"/>
              <w:ind w:right="10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28,685,001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28,685,001</w:t>
            </w:r>
          </w:p>
        </w:tc>
        <w:tc>
          <w:tcPr>
            <w:tcW w:w="0" w:type="dxa"/>
            <w:vAlign w:val="bottom"/>
          </w:tcPr>
          <w:p>
            <w:pPr>
              <w:spacing w:after="0"/>
              <w:rPr>
                <w:sz w:val="1"/>
                <w:szCs w:val="1"/>
                <w:color w:val="auto"/>
              </w:rPr>
            </w:pPr>
          </w:p>
        </w:tc>
      </w:tr>
      <w:tr>
        <w:trPr>
          <w:trHeight w:val="191"/>
        </w:trPr>
        <w:tc>
          <w:tcPr>
            <w:tcW w:w="2980" w:type="dxa"/>
            <w:vAlign w:val="bottom"/>
            <w:gridSpan w:val="3"/>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2"/>
              </w:rPr>
              <w:t>Total Investment in Time Deposit and</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Money Market Accounts (15% of</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asset value at fair value)</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28,699,269</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28,699,269</w:t>
            </w:r>
          </w:p>
        </w:tc>
        <w:tc>
          <w:tcPr>
            <w:tcW w:w="0" w:type="dxa"/>
            <w:vAlign w:val="bottom"/>
          </w:tcPr>
          <w:p>
            <w:pPr>
              <w:spacing w:after="0"/>
              <w:rPr>
                <w:sz w:val="1"/>
                <w:szCs w:val="1"/>
                <w:color w:val="auto"/>
              </w:rPr>
            </w:pPr>
          </w:p>
        </w:tc>
      </w:tr>
      <w:tr>
        <w:trPr>
          <w:trHeight w:val="232"/>
        </w:trPr>
        <w:tc>
          <w:tcPr>
            <w:tcW w:w="2980" w:type="dxa"/>
            <w:vAlign w:val="bottom"/>
            <w:tcBorders>
              <w:top w:val="single" w:sz="8" w:color="CCEEFF"/>
            </w:tcBorders>
            <w:gridSpan w:val="3"/>
          </w:tcPr>
          <w:p>
            <w:pPr>
              <w:ind w:left="20"/>
              <w:spacing w:after="0" w:line="232" w:lineRule="exact"/>
              <w:rPr>
                <w:sz w:val="20"/>
                <w:szCs w:val="20"/>
                <w:color w:val="auto"/>
              </w:rPr>
            </w:pPr>
            <w:r>
              <w:rPr>
                <w:rFonts w:ascii="Arial" w:cs="Arial" w:eastAsia="Arial" w:hAnsi="Arial"/>
                <w:sz w:val="16"/>
                <w:szCs w:val="16"/>
                <w:b w:val="1"/>
                <w:bCs w:val="1"/>
                <w:color w:val="auto"/>
              </w:rPr>
              <w:t>Total Investments</w:t>
            </w:r>
            <w:r>
              <w:rPr>
                <w:rFonts w:ascii="Arial" w:cs="Arial" w:eastAsia="Arial" w:hAnsi="Arial"/>
                <w:sz w:val="26"/>
                <w:szCs w:val="26"/>
                <w:b w:val="1"/>
                <w:bCs w:val="1"/>
                <w:color w:val="auto"/>
                <w:vertAlign w:val="superscript"/>
              </w:rPr>
              <w:t>(4)</w:t>
            </w:r>
            <w:r>
              <w:rPr>
                <w:rFonts w:ascii="Arial" w:cs="Arial" w:eastAsia="Arial" w:hAnsi="Arial"/>
                <w:sz w:val="16"/>
                <w:szCs w:val="16"/>
                <w:b w:val="1"/>
                <w:bCs w:val="1"/>
                <w:color w:val="auto"/>
              </w:rPr>
              <w:t xml:space="preserve"> (188% of net</w:t>
            </w:r>
          </w:p>
        </w:tc>
        <w:tc>
          <w:tcPr>
            <w:tcW w:w="100" w:type="dxa"/>
            <w:vAlign w:val="bottom"/>
            <w:tcBorders>
              <w:top w:val="single" w:sz="8" w:color="CCEEFF"/>
            </w:tcBorders>
          </w:tcPr>
          <w:p>
            <w:pPr>
              <w:spacing w:after="0"/>
              <w:rPr>
                <w:sz w:val="20"/>
                <w:szCs w:val="20"/>
                <w:color w:val="auto"/>
              </w:rPr>
            </w:pPr>
          </w:p>
        </w:tc>
        <w:tc>
          <w:tcPr>
            <w:tcW w:w="19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 value at fair value)</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420,801,057</w:t>
            </w: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366,471,304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-522605</wp:posOffset>
            </wp:positionV>
            <wp:extent cx="5213985" cy="3429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13985" cy="342900"/>
                    </a:xfrm>
                    <a:prstGeom prst="rect">
                      <a:avLst/>
                    </a:prstGeom>
                    <a:noFill/>
                  </pic:spPr>
                </pic:pic>
              </a:graphicData>
            </a:graphic>
          </wp:anchor>
        </w:drawing>
      </w:r>
    </w:p>
    <w:p>
      <w:pPr>
        <w:spacing w:after="0" w:line="236" w:lineRule="exact"/>
        <w:rPr>
          <w:sz w:val="20"/>
          <w:szCs w:val="20"/>
          <w:color w:val="auto"/>
        </w:rPr>
      </w:pPr>
    </w:p>
    <w:p>
      <w:pPr>
        <w:ind w:left="300" w:right="719" w:hanging="272"/>
        <w:spacing w:after="0" w:line="255"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2016. As noted in the table above, 93% (based on par) of debt securities contain LIBOR floors which range between 0.75% and 3.0%.</w:t>
      </w:r>
    </w:p>
    <w:p>
      <w:pPr>
        <w:spacing w:after="0" w:line="85" w:lineRule="exact"/>
        <w:rPr>
          <w:rFonts w:ascii="Arial" w:cs="Arial" w:eastAsia="Arial" w:hAnsi="Arial"/>
          <w:sz w:val="18"/>
          <w:szCs w:val="18"/>
          <w:color w:val="auto"/>
        </w:rPr>
      </w:pPr>
    </w:p>
    <w:p>
      <w:pPr>
        <w:ind w:left="300" w:hanging="272"/>
        <w:spacing w:after="0"/>
        <w:tabs>
          <w:tab w:leader="none" w:pos="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Reflects the fair market value of all investments as of December 31, 2016, as determined by the Company’s Board of Directors.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Non-U.S. company or principal place of business outside the U.S.</w:t>
      </w:r>
    </w:p>
    <w:p>
      <w:pPr>
        <w:spacing w:after="0" w:line="117" w:lineRule="exact"/>
        <w:rPr>
          <w:rFonts w:ascii="Arial" w:cs="Arial" w:eastAsia="Arial" w:hAnsi="Arial"/>
          <w:sz w:val="18"/>
          <w:szCs w:val="18"/>
          <w:color w:val="auto"/>
        </w:rPr>
      </w:pPr>
    </w:p>
    <w:p>
      <w:pPr>
        <w:ind w:left="300" w:right="1039" w:hanging="272"/>
        <w:spacing w:after="0" w:line="286" w:lineRule="auto"/>
        <w:tabs>
          <w:tab w:leader="none" w:pos="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aggregate cost of investments for federal income tax purposes is approximately $429 million. The aggregate gross unrealized appreciation is approximately $2.1 million, the aggregate gross unrealized depreciation is approximately $65.0 million, and the net unrealized depreciation is approximately $62.9 million.</w:t>
      </w:r>
    </w:p>
    <w:p>
      <w:pPr>
        <w:spacing w:after="0" w:line="57" w:lineRule="exact"/>
        <w:rPr>
          <w:rFonts w:ascii="Arial" w:cs="Arial" w:eastAsia="Arial" w:hAnsi="Arial"/>
          <w:sz w:val="17"/>
          <w:szCs w:val="17"/>
          <w:color w:val="auto"/>
        </w:rPr>
      </w:pPr>
    </w:p>
    <w:p>
      <w:pPr>
        <w:ind w:left="300" w:hanging="27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affiliate CLO Fund managed by an Asset Manager Affiliate (as such term is defined in the notes to the financial statements).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Money market account holding restricted cash and security deposits for employee benefit plans.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rFonts w:ascii="Arial" w:cs="Arial" w:eastAsia="Arial" w:hAnsi="Arial"/>
          <w:sz w:val="18"/>
          <w:szCs w:val="18"/>
          <w:color w:val="auto"/>
        </w:rPr>
      </w:pPr>
    </w:p>
    <w:p>
      <w:pPr>
        <w:ind w:left="300" w:right="659" w:hanging="272"/>
        <w:spacing w:after="0" w:line="277"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of December 31, 2016, this investment is owned by KCAP Senior Funding I, LLC and was pledged to secure KCAP Senior Funding I, LLC’s obligation.</w:t>
      </w:r>
    </w:p>
    <w:p>
      <w:pPr>
        <w:spacing w:after="0" w:line="62" w:lineRule="exact"/>
        <w:rPr>
          <w:rFonts w:ascii="Arial" w:cs="Arial" w:eastAsia="Arial" w:hAnsi="Arial"/>
          <w:sz w:val="18"/>
          <w:szCs w:val="18"/>
          <w:color w:val="auto"/>
        </w:rPr>
      </w:pPr>
    </w:p>
    <w:p>
      <w:pPr>
        <w:ind w:left="340" w:right="559" w:hanging="312"/>
        <w:spacing w:after="0" w:line="279"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(11)Non-voting.</w:t>
      </w:r>
    </w:p>
    <w:p>
      <w:pPr>
        <w:spacing w:after="0" w:line="117" w:lineRule="exact"/>
        <w:rPr>
          <w:sz w:val="20"/>
          <w:szCs w:val="20"/>
          <w:color w:val="auto"/>
        </w:rPr>
      </w:pPr>
    </w:p>
    <w:p>
      <w:pPr>
        <w:ind w:left="340" w:right="539" w:hanging="310"/>
        <w:spacing w:after="0" w:line="279" w:lineRule="auto"/>
        <w:rPr>
          <w:sz w:val="20"/>
          <w:szCs w:val="20"/>
          <w:color w:val="auto"/>
        </w:rPr>
      </w:pPr>
      <w:r>
        <w:rPr>
          <w:rFonts w:ascii="Arial" w:cs="Arial" w:eastAsia="Arial" w:hAnsi="Arial"/>
          <w:sz w:val="17"/>
          <w:szCs w:val="17"/>
          <w:color w:val="auto"/>
        </w:rPr>
        <w:t>(12)CLO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63" w:lineRule="exact"/>
        <w:rPr>
          <w:sz w:val="20"/>
          <w:szCs w:val="20"/>
          <w:color w:val="auto"/>
        </w:rPr>
      </w:pPr>
    </w:p>
    <w:p>
      <w:pPr>
        <w:ind w:left="340" w:hanging="312"/>
        <w:spacing w:after="0"/>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Notice of redemption has been received for this transaction.</w:t>
      </w:r>
    </w:p>
    <w:p>
      <w:pPr>
        <w:spacing w:after="0" w:line="128" w:lineRule="exact"/>
        <w:rPr>
          <w:rFonts w:ascii="Arial" w:cs="Arial" w:eastAsia="Arial" w:hAnsi="Arial"/>
          <w:sz w:val="17"/>
          <w:szCs w:val="17"/>
          <w:color w:val="auto"/>
        </w:rPr>
      </w:pPr>
    </w:p>
    <w:p>
      <w:pPr>
        <w:ind w:left="340" w:right="1119" w:hanging="31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Loan or security was on partial non-accrual status, whereby we have recognized income on a portion of contractual PIK amounts due.</w:t>
      </w:r>
    </w:p>
    <w:p>
      <w:pPr>
        <w:spacing w:after="0" w:line="200" w:lineRule="exact"/>
        <w:rPr>
          <w:sz w:val="20"/>
          <w:szCs w:val="20"/>
          <w:color w:val="auto"/>
        </w:rPr>
      </w:pPr>
    </w:p>
    <w:p>
      <w:pPr>
        <w:spacing w:after="0" w:line="27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3" w:name="page94"/>
    <w:bookmarkEnd w:id="9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40" w:type="dxa"/>
            <w:vAlign w:val="bottom"/>
          </w:tcPr>
          <w:p>
            <w:pPr>
              <w:spacing w:after="0"/>
              <w:rPr>
                <w:sz w:val="14"/>
                <w:szCs w:val="14"/>
                <w:color w:val="auto"/>
              </w:rPr>
            </w:pPr>
          </w:p>
        </w:tc>
        <w:tc>
          <w:tcPr>
            <w:tcW w:w="2320" w:type="dxa"/>
            <w:vAlign w:val="bottom"/>
          </w:tcPr>
          <w:p>
            <w:pPr>
              <w:jc w:val="center"/>
              <w:ind w:left="100"/>
              <w:spacing w:after="0"/>
              <w:rPr>
                <w:sz w:val="20"/>
                <w:szCs w:val="20"/>
                <w:color w:val="auto"/>
              </w:rPr>
            </w:pPr>
            <w:r>
              <w:rPr>
                <w:rFonts w:ascii="Arial" w:cs="Arial" w:eastAsia="Arial" w:hAnsi="Arial"/>
                <w:sz w:val="13"/>
                <w:szCs w:val="13"/>
                <w:b w:val="1"/>
                <w:bCs w:val="1"/>
                <w:color w:val="auto"/>
                <w:w w:val="87"/>
              </w:rPr>
              <w:t>Investment</w:t>
            </w:r>
          </w:p>
        </w:tc>
        <w:tc>
          <w:tcPr>
            <w:tcW w:w="1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Amortized</w:t>
            </w:r>
          </w:p>
        </w:tc>
        <w:tc>
          <w:tcPr>
            <w:tcW w:w="900" w:type="dxa"/>
            <w:vAlign w:val="bottom"/>
            <w:vMerge w:val="restart"/>
          </w:tcPr>
          <w:p>
            <w:pPr>
              <w:ind w:left="220"/>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0"/>
                <w:szCs w:val="20"/>
                <w:b w:val="1"/>
                <w:bCs w:val="1"/>
                <w:color w:val="auto"/>
                <w:w w:val="84"/>
                <w:vertAlign w:val="superscript"/>
              </w:rPr>
              <w:t>(2)</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3"/>
                <w:szCs w:val="13"/>
                <w:b w:val="1"/>
                <w:bCs w:val="1"/>
                <w:color w:val="auto"/>
              </w:rPr>
              <w:t>Portfolio Company/Principal Business</w:t>
            </w:r>
          </w:p>
        </w:tc>
        <w:tc>
          <w:tcPr>
            <w:tcW w:w="2320" w:type="dxa"/>
            <w:vAlign w:val="bottom"/>
          </w:tcPr>
          <w:p>
            <w:pPr>
              <w:jc w:val="center"/>
              <w:ind w:left="100"/>
              <w:spacing w:after="0" w:line="162" w:lineRule="exact"/>
              <w:rPr>
                <w:sz w:val="20"/>
                <w:szCs w:val="20"/>
                <w:color w:val="auto"/>
              </w:rPr>
            </w:pPr>
            <w:r>
              <w:rPr>
                <w:rFonts w:ascii="Arial" w:cs="Arial" w:eastAsia="Arial" w:hAnsi="Arial"/>
                <w:sz w:val="12"/>
                <w:szCs w:val="12"/>
                <w:b w:val="1"/>
                <w:bCs w:val="1"/>
                <w:color w:val="auto"/>
                <w:w w:val="98"/>
              </w:rPr>
              <w:t>Interest Rate</w:t>
            </w:r>
            <w:r>
              <w:rPr>
                <w:rFonts w:ascii="Arial" w:cs="Arial" w:eastAsia="Arial" w:hAnsi="Arial"/>
                <w:sz w:val="18"/>
                <w:szCs w:val="18"/>
                <w:b w:val="1"/>
                <w:bCs w:val="1"/>
                <w:color w:val="auto"/>
                <w:w w:val="98"/>
                <w:vertAlign w:val="superscript"/>
              </w:rPr>
              <w:t>(1)</w:t>
            </w:r>
            <w:r>
              <w:rPr>
                <w:rFonts w:ascii="Arial" w:cs="Arial" w:eastAsia="Arial" w:hAnsi="Arial"/>
                <w:sz w:val="12"/>
                <w:szCs w:val="12"/>
                <w:b w:val="1"/>
                <w:bCs w:val="1"/>
                <w:color w:val="auto"/>
                <w:w w:val="98"/>
              </w:rPr>
              <w:t>/Maturity</w:t>
            </w:r>
          </w:p>
        </w:tc>
        <w:tc>
          <w:tcPr>
            <w:tcW w:w="1140" w:type="dxa"/>
            <w:vAlign w:val="bottom"/>
          </w:tcPr>
          <w:p>
            <w:pPr>
              <w:ind w:left="400"/>
              <w:spacing w:after="0"/>
              <w:rPr>
                <w:sz w:val="20"/>
                <w:szCs w:val="20"/>
                <w:color w:val="auto"/>
              </w:rPr>
            </w:pPr>
            <w:r>
              <w:rPr>
                <w:rFonts w:ascii="Arial" w:cs="Arial" w:eastAsia="Arial" w:hAnsi="Arial"/>
                <w:sz w:val="13"/>
                <w:szCs w:val="13"/>
                <w:b w:val="1"/>
                <w:bCs w:val="1"/>
                <w:color w:val="auto"/>
              </w:rPr>
              <w:t>Principal</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6465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ind w:left="20"/>
        <w:spacing w:after="0" w:line="185" w:lineRule="auto"/>
        <w:rPr>
          <w:sz w:val="20"/>
          <w:szCs w:val="20"/>
          <w:color w:val="auto"/>
        </w:rPr>
      </w:pPr>
      <w:r>
        <w:rPr>
          <w:rFonts w:ascii="Arial" w:cs="Arial" w:eastAsia="Arial" w:hAnsi="Arial"/>
          <w:sz w:val="14"/>
          <w:szCs w:val="14"/>
          <w:color w:val="auto"/>
        </w:rPr>
        <w:t>1A Smart Start LLC</w:t>
      </w:r>
      <w:r>
        <w:rPr>
          <w:rFonts w:ascii="Arial" w:cs="Arial" w:eastAsia="Arial" w:hAnsi="Arial"/>
          <w:sz w:val="22"/>
          <w:szCs w:val="22"/>
          <w:color w:val="auto"/>
          <w:vertAlign w:val="superscript"/>
        </w:rPr>
        <w:t>(9), (10)</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Consumer goods: Non-durable</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4L Technologies Inc. (fka Clover Holdings,</w:t>
      </w:r>
    </w:p>
    <w:p>
      <w:pPr>
        <w:ind w:left="200"/>
        <w:spacing w:after="0" w:line="181" w:lineRule="auto"/>
        <w:rPr>
          <w:sz w:val="20"/>
          <w:szCs w:val="20"/>
          <w:color w:val="auto"/>
        </w:rPr>
      </w:pPr>
      <w:r>
        <w:rPr>
          <w:rFonts w:ascii="Arial" w:cs="Arial" w:eastAsia="Arial" w:hAnsi="Arial"/>
          <w:sz w:val="23"/>
          <w:szCs w:val="23"/>
          <w:color w:val="auto"/>
          <w:vertAlign w:val="subscript"/>
        </w:rPr>
        <w:t>Inc.)</w:t>
      </w:r>
      <w:r>
        <w:rPr>
          <w:rFonts w:ascii="Arial" w:cs="Arial" w:eastAsia="Arial" w:hAnsi="Arial"/>
          <w:sz w:val="11"/>
          <w:szCs w:val="11"/>
          <w:color w:val="auto"/>
        </w:rPr>
        <w:t>(9), (10)</w:t>
      </w:r>
    </w:p>
    <w:p>
      <w:pPr>
        <w:ind w:left="200"/>
        <w:spacing w:after="0" w:line="234" w:lineRule="auto"/>
        <w:rPr>
          <w:sz w:val="20"/>
          <w:szCs w:val="20"/>
          <w:color w:val="auto"/>
        </w:rPr>
      </w:pPr>
      <w:r>
        <w:rPr>
          <w:rFonts w:ascii="Arial" w:cs="Arial" w:eastAsia="Arial" w:hAnsi="Arial"/>
          <w:sz w:val="14"/>
          <w:szCs w:val="14"/>
          <w:i w:val="1"/>
          <w:iCs w:val="1"/>
          <w:color w:val="auto"/>
        </w:rPr>
        <w:t>Consumer goods: Non-durable</w:t>
      </w:r>
    </w:p>
    <w:p>
      <w:pPr>
        <w:ind w:left="20"/>
        <w:spacing w:after="0" w:line="188" w:lineRule="auto"/>
        <w:rPr>
          <w:sz w:val="20"/>
          <w:szCs w:val="20"/>
          <w:color w:val="auto"/>
        </w:rPr>
      </w:pPr>
      <w:r>
        <w:rPr>
          <w:rFonts w:ascii="Arial" w:cs="Arial" w:eastAsia="Arial" w:hAnsi="Arial"/>
          <w:sz w:val="13"/>
          <w:szCs w:val="13"/>
          <w:color w:val="auto"/>
        </w:rPr>
        <w:t>Advanced Lighting Technologies, Inc.</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2"/>
          <w:szCs w:val="12"/>
          <w:color w:val="auto"/>
        </w:rPr>
        <w:t>(10)</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Consumer goods: Durable</w:t>
      </w:r>
    </w:p>
    <w:p>
      <w:pPr>
        <w:ind w:left="20"/>
        <w:spacing w:after="0" w:line="186" w:lineRule="auto"/>
        <w:rPr>
          <w:sz w:val="20"/>
          <w:szCs w:val="20"/>
          <w:color w:val="auto"/>
        </w:rPr>
      </w:pPr>
      <w:r>
        <w:rPr>
          <w:rFonts w:ascii="Arial" w:cs="Arial" w:eastAsia="Arial" w:hAnsi="Arial"/>
          <w:sz w:val="13"/>
          <w:szCs w:val="13"/>
          <w:color w:val="auto"/>
        </w:rPr>
        <w:t>Advantage Sales &amp; Marketing Inc.</w:t>
      </w:r>
      <w:r>
        <w:rPr>
          <w:rFonts w:ascii="Arial" w:cs="Arial" w:eastAsia="Arial" w:hAnsi="Arial"/>
          <w:sz w:val="21"/>
          <w:szCs w:val="21"/>
          <w:color w:val="auto"/>
          <w:vertAlign w:val="superscript"/>
        </w:rPr>
        <w:t>(9)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Services: Business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Alere Inc. (fka IM US Holdings, LLC)</w:t>
      </w:r>
      <w:r>
        <w:rPr>
          <w:rFonts w:ascii="Arial" w:cs="Arial" w:eastAsia="Arial" w:hAnsi="Arial"/>
          <w:sz w:val="21"/>
          <w:szCs w:val="21"/>
          <w:color w:val="auto"/>
          <w:vertAlign w:val="superscript"/>
        </w:rPr>
        <w:t>(10)</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American Seafoods Group LLC</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Anaren, Inc.</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Aerospace and Defense</w:t>
      </w:r>
    </w:p>
    <w:p>
      <w:pPr>
        <w:spacing w:after="0" w:line="242" w:lineRule="exact"/>
        <w:rPr>
          <w:sz w:val="20"/>
          <w:szCs w:val="20"/>
          <w:color w:val="auto"/>
        </w:rPr>
      </w:pPr>
    </w:p>
    <w:p>
      <w:pPr>
        <w:jc w:val="right"/>
        <w:ind w:left="20" w:right="540"/>
        <w:spacing w:after="0" w:line="228" w:lineRule="auto"/>
        <w:rPr>
          <w:sz w:val="20"/>
          <w:szCs w:val="20"/>
          <w:color w:val="auto"/>
        </w:rPr>
      </w:pPr>
      <w:r>
        <w:rPr>
          <w:rFonts w:ascii="Arial" w:cs="Arial" w:eastAsia="Arial" w:hAnsi="Arial"/>
          <w:sz w:val="13"/>
          <w:szCs w:val="13"/>
          <w:color w:val="auto"/>
        </w:rPr>
        <w:t>Aristotle Corporation, The</w:t>
      </w:r>
      <w:r>
        <w:rPr>
          <w:rFonts w:ascii="Arial" w:cs="Arial" w:eastAsia="Arial" w:hAnsi="Arial"/>
          <w:sz w:val="20"/>
          <w:szCs w:val="20"/>
          <w:color w:val="auto"/>
          <w:vertAlign w:val="superscript"/>
        </w:rPr>
        <w:t>(9), (10)</w:t>
      </w:r>
      <w:r>
        <w:rPr>
          <w:rFonts w:ascii="Arial" w:cs="Arial" w:eastAsia="Arial" w:hAnsi="Arial"/>
          <w:sz w:val="13"/>
          <w:szCs w:val="13"/>
          <w:color w:val="auto"/>
        </w:rPr>
        <w:t xml:space="preserve"> </w:t>
      </w:r>
      <w:r>
        <w:rPr>
          <w:rFonts w:ascii="Arial" w:cs="Arial" w:eastAsia="Arial" w:hAnsi="Arial"/>
          <w:sz w:val="13"/>
          <w:szCs w:val="13"/>
          <w:i w:val="1"/>
          <w:iCs w:val="1"/>
          <w:color w:val="auto"/>
        </w:rPr>
        <w:t>Consumer goods: Non-durable</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Asurion, LLC (fka Asurion</w:t>
      </w:r>
    </w:p>
    <w:p>
      <w:pPr>
        <w:ind w:left="200"/>
        <w:spacing w:after="0" w:line="187" w:lineRule="auto"/>
        <w:rPr>
          <w:sz w:val="20"/>
          <w:szCs w:val="20"/>
          <w:color w:val="auto"/>
        </w:rPr>
      </w:pPr>
      <w:r>
        <w:rPr>
          <w:rFonts w:ascii="Arial" w:cs="Arial" w:eastAsia="Arial" w:hAnsi="Arial"/>
          <w:sz w:val="13"/>
          <w:szCs w:val="13"/>
          <w:color w:val="auto"/>
        </w:rPr>
        <w:t>Corporation)</w:t>
      </w:r>
      <w:r>
        <w:rPr>
          <w:rFonts w:ascii="Arial" w:cs="Arial" w:eastAsia="Arial" w:hAnsi="Arial"/>
          <w:sz w:val="21"/>
          <w:szCs w:val="21"/>
          <w:color w:val="auto"/>
          <w:vertAlign w:val="superscript"/>
        </w:rPr>
        <w:t>(9), (10)</w:t>
      </w:r>
    </w:p>
    <w:p>
      <w:pPr>
        <w:ind w:left="200" w:right="200"/>
        <w:spacing w:after="0" w:line="221" w:lineRule="auto"/>
        <w:rPr>
          <w:sz w:val="20"/>
          <w:szCs w:val="20"/>
          <w:color w:val="auto"/>
        </w:rPr>
      </w:pPr>
      <w:r>
        <w:rPr>
          <w:rFonts w:ascii="Arial" w:cs="Arial" w:eastAsia="Arial" w:hAnsi="Arial"/>
          <w:sz w:val="14"/>
          <w:szCs w:val="14"/>
          <w:i w:val="1"/>
          <w:iCs w:val="1"/>
          <w:color w:val="auto"/>
        </w:rPr>
        <w:t>Banking, Finance, Insurance &amp; Real Estate</w:t>
      </w:r>
    </w:p>
    <w:p>
      <w:pPr>
        <w:ind w:left="20"/>
        <w:spacing w:after="0" w:line="234" w:lineRule="auto"/>
        <w:rPr>
          <w:sz w:val="20"/>
          <w:szCs w:val="20"/>
          <w:color w:val="auto"/>
        </w:rPr>
      </w:pPr>
      <w:r>
        <w:rPr>
          <w:rFonts w:ascii="Arial" w:cs="Arial" w:eastAsia="Arial" w:hAnsi="Arial"/>
          <w:sz w:val="14"/>
          <w:szCs w:val="14"/>
          <w:color w:val="auto"/>
        </w:rPr>
        <w:t>Asurion, LLC (fka Asurion</w:t>
      </w:r>
    </w:p>
    <w:p>
      <w:pPr>
        <w:ind w:left="200"/>
        <w:spacing w:after="0" w:line="180" w:lineRule="auto"/>
        <w:rPr>
          <w:sz w:val="20"/>
          <w:szCs w:val="20"/>
          <w:color w:val="auto"/>
        </w:rPr>
      </w:pPr>
      <w:r>
        <w:rPr>
          <w:rFonts w:ascii="Arial" w:cs="Arial" w:eastAsia="Arial" w:hAnsi="Arial"/>
          <w:sz w:val="13"/>
          <w:szCs w:val="13"/>
          <w:color w:val="auto"/>
        </w:rPr>
        <w:t>Corporation)</w:t>
      </w:r>
      <w:r>
        <w:rPr>
          <w:rFonts w:ascii="Arial" w:cs="Arial" w:eastAsia="Arial" w:hAnsi="Arial"/>
          <w:sz w:val="21"/>
          <w:szCs w:val="21"/>
          <w:color w:val="auto"/>
          <w:vertAlign w:val="superscript"/>
        </w:rPr>
        <w:t>(9), (10)</w:t>
      </w:r>
    </w:p>
    <w:p>
      <w:pPr>
        <w:ind w:left="200" w:right="200"/>
        <w:spacing w:after="0" w:line="227" w:lineRule="auto"/>
        <w:rPr>
          <w:sz w:val="20"/>
          <w:szCs w:val="20"/>
          <w:color w:val="auto"/>
        </w:rPr>
      </w:pPr>
      <w:r>
        <w:rPr>
          <w:rFonts w:ascii="Arial" w:cs="Arial" w:eastAsia="Arial" w:hAnsi="Arial"/>
          <w:sz w:val="14"/>
          <w:szCs w:val="14"/>
          <w:i w:val="1"/>
          <w:iCs w:val="1"/>
          <w:color w:val="auto"/>
        </w:rPr>
        <w:t>Banking, Finance, Insurance &amp; Real Estate</w:t>
      </w:r>
    </w:p>
    <w:p>
      <w:pPr>
        <w:ind w:left="20"/>
        <w:spacing w:after="0" w:line="180" w:lineRule="auto"/>
        <w:rPr>
          <w:sz w:val="20"/>
          <w:szCs w:val="20"/>
          <w:color w:val="auto"/>
        </w:rPr>
      </w:pPr>
      <w:r>
        <w:rPr>
          <w:rFonts w:ascii="Arial" w:cs="Arial" w:eastAsia="Arial" w:hAnsi="Arial"/>
          <w:sz w:val="13"/>
          <w:szCs w:val="13"/>
          <w:color w:val="auto"/>
        </w:rPr>
        <w:t>Avalign Technologies, Inc.</w:t>
      </w:r>
      <w:r>
        <w:rPr>
          <w:rFonts w:ascii="Arial" w:cs="Arial" w:eastAsia="Arial" w:hAnsi="Arial"/>
          <w:sz w:val="21"/>
          <w:szCs w:val="21"/>
          <w:color w:val="auto"/>
          <w:vertAlign w:val="superscript"/>
        </w:rPr>
        <w:t>(9)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42" w:lineRule="exact"/>
        <w:rPr>
          <w:sz w:val="20"/>
          <w:szCs w:val="20"/>
          <w:color w:val="auto"/>
        </w:rPr>
      </w:pPr>
    </w:p>
    <w:p>
      <w:pPr>
        <w:jc w:val="right"/>
        <w:ind w:left="20" w:right="520"/>
        <w:spacing w:after="0" w:line="248" w:lineRule="auto"/>
        <w:rPr>
          <w:sz w:val="20"/>
          <w:szCs w:val="20"/>
          <w:color w:val="auto"/>
        </w:rPr>
      </w:pPr>
      <w:r>
        <w:rPr>
          <w:rFonts w:ascii="Arial" w:cs="Arial" w:eastAsia="Arial" w:hAnsi="Arial"/>
          <w:sz w:val="12"/>
          <w:szCs w:val="12"/>
          <w:color w:val="auto"/>
        </w:rPr>
        <w:t>Avalign Technologies, Inc.</w:t>
      </w:r>
      <w:r>
        <w:rPr>
          <w:rFonts w:ascii="Arial" w:cs="Arial" w:eastAsia="Arial" w:hAnsi="Arial"/>
          <w:sz w:val="19"/>
          <w:szCs w:val="19"/>
          <w:color w:val="auto"/>
          <w:vertAlign w:val="superscript"/>
        </w:rPr>
        <w:t>(9), (10)</w:t>
      </w:r>
      <w:r>
        <w:rPr>
          <w:rFonts w:ascii="Arial" w:cs="Arial" w:eastAsia="Arial" w:hAnsi="Arial"/>
          <w:sz w:val="12"/>
          <w:szCs w:val="12"/>
          <w:color w:val="auto"/>
        </w:rPr>
        <w:t xml:space="preserve"> </w:t>
      </w:r>
      <w:r>
        <w:rPr>
          <w:rFonts w:ascii="Arial" w:cs="Arial" w:eastAsia="Arial" w:hAnsi="Arial"/>
          <w:sz w:val="12"/>
          <w:szCs w:val="12"/>
          <w:i w:val="1"/>
          <w:iCs w:val="1"/>
          <w:color w:val="auto"/>
        </w:rPr>
        <w:t>Healthcare &amp; Pharmaceuticals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Bankruptcy Management Solutions, Inc.</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Services: Business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BarBri, Inc. (Gemini Holdings,</w:t>
      </w:r>
    </w:p>
    <w:p>
      <w:pPr>
        <w:ind w:left="200"/>
        <w:spacing w:after="0" w:line="187"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(9), (10)</w:t>
      </w:r>
    </w:p>
    <w:p>
      <w:pPr>
        <w:ind w:left="200"/>
        <w:spacing w:after="0" w:line="222" w:lineRule="auto"/>
        <w:rPr>
          <w:sz w:val="20"/>
          <w:szCs w:val="20"/>
          <w:color w:val="auto"/>
        </w:rPr>
      </w:pPr>
      <w:r>
        <w:rPr>
          <w:rFonts w:ascii="Arial" w:cs="Arial" w:eastAsia="Arial" w:hAnsi="Arial"/>
          <w:sz w:val="14"/>
          <w:szCs w:val="14"/>
          <w:i w:val="1"/>
          <w:iCs w:val="1"/>
          <w:color w:val="auto"/>
        </w:rPr>
        <w:t>Services: Consumer</w:t>
      </w:r>
    </w:p>
    <w:p>
      <w:pPr>
        <w:ind w:left="200" w:right="800" w:hanging="186"/>
        <w:spacing w:after="0" w:line="185" w:lineRule="auto"/>
        <w:tabs>
          <w:tab w:leader="none" w:pos="344" w:val="left"/>
        </w:tabs>
        <w:numPr>
          <w:ilvl w:val="0"/>
          <w:numId w:val="49"/>
        </w:numPr>
        <w:rPr>
          <w:rFonts w:ascii="Arial" w:cs="Arial" w:eastAsia="Arial" w:hAnsi="Arial"/>
          <w:sz w:val="13"/>
          <w:szCs w:val="13"/>
          <w:color w:val="auto"/>
        </w:rPr>
      </w:pPr>
      <w:r>
        <w:rPr>
          <w:rFonts w:ascii="Arial" w:cs="Arial" w:eastAsia="Arial" w:hAnsi="Arial"/>
          <w:sz w:val="13"/>
          <w:szCs w:val="13"/>
          <w:color w:val="auto"/>
        </w:rPr>
        <w:t xml:space="preserve">Industries US Holdings, </w:t>
      </w:r>
      <w:r>
        <w:rPr>
          <w:rFonts w:ascii="Arial" w:cs="Arial" w:eastAsia="Arial" w:hAnsi="Arial"/>
          <w:sz w:val="25"/>
          <w:szCs w:val="25"/>
          <w:color w:val="auto"/>
          <w:vertAlign w:val="subscript"/>
        </w:rPr>
        <w:t>Inc.</w:t>
      </w:r>
      <w:r>
        <w:rPr>
          <w:rFonts w:ascii="Arial" w:cs="Arial" w:eastAsia="Arial" w:hAnsi="Arial"/>
          <w:sz w:val="10"/>
          <w:szCs w:val="10"/>
          <w:color w:val="auto"/>
        </w:rPr>
        <w:t>(9), (10)</w:t>
      </w:r>
    </w:p>
    <w:p>
      <w:pPr>
        <w:ind w:left="200"/>
        <w:spacing w:after="0"/>
        <w:rPr>
          <w:rFonts w:ascii="Arial" w:cs="Arial" w:eastAsia="Arial" w:hAnsi="Arial"/>
          <w:sz w:val="13"/>
          <w:szCs w:val="13"/>
          <w:color w:val="auto"/>
        </w:rPr>
      </w:pPr>
      <w:r>
        <w:rPr>
          <w:rFonts w:ascii="Arial" w:cs="Arial" w:eastAsia="Arial" w:hAnsi="Arial"/>
          <w:sz w:val="14"/>
          <w:szCs w:val="14"/>
          <w:i w:val="1"/>
          <w:iCs w:val="1"/>
          <w:color w:val="auto"/>
        </w:rPr>
        <w:t>Automotive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Bellisio Foods, Inc.</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28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2/22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3,000,000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2,971,523</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2,903,100</w:t>
            </w: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5/20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2,765,000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2,744,921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2,596,059</w:t>
            </w:r>
          </w:p>
        </w:tc>
      </w:tr>
      <w:tr>
        <w:trPr>
          <w:trHeight w:val="169"/>
        </w:trPr>
        <w:tc>
          <w:tcPr>
            <w:tcW w:w="2280" w:type="dxa"/>
            <w:vAlign w:val="bottom"/>
          </w:tcPr>
          <w:p>
            <w:pPr>
              <w:ind w:left="100"/>
              <w:spacing w:after="0"/>
              <w:rPr>
                <w:sz w:val="20"/>
                <w:szCs w:val="20"/>
                <w:color w:val="auto"/>
              </w:rPr>
            </w:pPr>
            <w:r>
              <w:rPr>
                <w:rFonts w:ascii="Arial" w:cs="Arial" w:eastAsia="Arial" w:hAnsi="Arial"/>
                <w:sz w:val="14"/>
                <w:szCs w:val="14"/>
                <w:color w:val="auto"/>
              </w:rPr>
              <w:t>First Lien Bond — 10.5% –</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06/2019 – 00753CAE2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10.5% Cash, Due 6/19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2,216,700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7/22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1,002,069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915,700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B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6/22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2,553,466</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2,555,910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2,536,179</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8/21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3,990,000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3,971,219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3,937,332</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2/21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1,891,210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1,877,288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1,839,202</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6/21</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3,980,000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3,961,696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3,870,152</w:t>
            </w: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rPr>
              <w:t>Senior Secured Loan —</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5"/>
              </w:rPr>
              <w:t>Incremental Tranche B-1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5/19</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917,632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918,953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862,290</w:t>
            </w: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rPr>
              <w:t>Senior Secured Loan —</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5"/>
              </w:rPr>
              <w:t>Incremental Tranche B-4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8/22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896,048</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891,815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821,676</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9.3%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7/22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990,643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952,400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2,925,000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2,911,472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2,831,108</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 B</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6/18</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682,722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682,722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651,590</w:t>
            </w: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2,731,875</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2,723,758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2,542,829</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2,977,500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2,927,766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2,833,985</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9"/>
              </w:rPr>
              <w:t>Senior Secured Loan — U.S.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B</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2280" w:type="dxa"/>
            <w:vAlign w:val="bottom"/>
          </w:tcPr>
          <w:p>
            <w:pPr>
              <w:ind w:left="100"/>
              <w:spacing w:after="0"/>
              <w:rPr>
                <w:sz w:val="20"/>
                <w:szCs w:val="20"/>
                <w:color w:val="auto"/>
              </w:rPr>
            </w:pPr>
            <w:r>
              <w:rPr>
                <w:rFonts w:ascii="Arial" w:cs="Arial" w:eastAsia="Arial" w:hAnsi="Arial"/>
                <w:sz w:val="14"/>
                <w:szCs w:val="14"/>
                <w:color w:val="auto"/>
              </w:rPr>
              <w:t>Due 8/19</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1,936,011</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1,929,952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1,886,836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-5886450</wp:posOffset>
            </wp:positionV>
            <wp:extent cx="5213985" cy="3771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-5200650</wp:posOffset>
            </wp:positionV>
            <wp:extent cx="5213985" cy="3175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-4505960</wp:posOffset>
            </wp:positionV>
            <wp:extent cx="5213985" cy="3771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-3751580</wp:posOffset>
            </wp:positionV>
            <wp:extent cx="5213985" cy="3771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-3091180</wp:posOffset>
            </wp:positionV>
            <wp:extent cx="5213985" cy="4032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-2284730</wp:posOffset>
            </wp:positionV>
            <wp:extent cx="5213985" cy="3771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-1530350</wp:posOffset>
            </wp:positionV>
            <wp:extent cx="5213985" cy="3771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-843915</wp:posOffset>
            </wp:positionV>
            <wp:extent cx="5213985" cy="3771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3985" cy="3771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20" w:space="240"/>
            <w:col w:w="733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980" w:type="dxa"/>
            <w:vAlign w:val="bottom"/>
            <w:shd w:val="clear" w:color="auto" w:fill="CCEEFF"/>
          </w:tcPr>
          <w:p>
            <w:pPr>
              <w:ind w:left="20"/>
              <w:spacing w:after="0" w:line="169" w:lineRule="exact"/>
              <w:rPr>
                <w:sz w:val="20"/>
                <w:szCs w:val="20"/>
                <w:color w:val="auto"/>
              </w:rPr>
            </w:pPr>
            <w:r>
              <w:rPr>
                <w:rFonts w:ascii="Arial" w:cs="Arial" w:eastAsia="Arial" w:hAnsi="Arial"/>
                <w:sz w:val="12"/>
                <w:szCs w:val="12"/>
                <w:color w:val="auto"/>
              </w:rPr>
              <w:t>Bestop, Inc.</w:t>
            </w:r>
            <w:r>
              <w:rPr>
                <w:rFonts w:ascii="Arial" w:cs="Arial" w:eastAsia="Arial" w:hAnsi="Arial"/>
                <w:sz w:val="19"/>
                <w:szCs w:val="19"/>
                <w:color w:val="auto"/>
                <w:vertAlign w:val="superscript"/>
              </w:rPr>
              <w:t>(9), (10)</w:t>
            </w:r>
          </w:p>
        </w:tc>
        <w:tc>
          <w:tcPr>
            <w:tcW w:w="3260" w:type="dxa"/>
            <w:vAlign w:val="bottom"/>
            <w:shd w:val="clear" w:color="auto" w:fill="CCEEFF"/>
          </w:tcPr>
          <w:p>
            <w:pPr>
              <w:ind w:left="880"/>
              <w:spacing w:after="0"/>
              <w:rPr>
                <w:sz w:val="20"/>
                <w:szCs w:val="20"/>
                <w:color w:val="auto"/>
              </w:rPr>
            </w:pPr>
            <w:r>
              <w:rPr>
                <w:rFonts w:ascii="Arial" w:cs="Arial" w:eastAsia="Arial" w:hAnsi="Arial"/>
                <w:sz w:val="14"/>
                <w:szCs w:val="14"/>
                <w:color w:val="auto"/>
              </w:rPr>
              <w:t>Senior Secured Loan — Revolving</w:t>
            </w:r>
          </w:p>
        </w:tc>
        <w:tc>
          <w:tcPr>
            <w:tcW w:w="10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49"/>
        </w:trPr>
        <w:tc>
          <w:tcPr>
            <w:tcW w:w="1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Automotive</w:t>
            </w:r>
          </w:p>
        </w:tc>
        <w:tc>
          <w:tcPr>
            <w:tcW w:w="3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16"/>
        </w:trPr>
        <w:tc>
          <w:tcPr>
            <w:tcW w:w="1980" w:type="dxa"/>
            <w:vAlign w:val="bottom"/>
            <w:shd w:val="clear" w:color="auto" w:fill="CCEEFF"/>
          </w:tcPr>
          <w:p>
            <w:pPr>
              <w:spacing w:after="0"/>
              <w:rPr>
                <w:sz w:val="10"/>
                <w:szCs w:val="10"/>
                <w:color w:val="auto"/>
              </w:rPr>
            </w:pPr>
          </w:p>
        </w:tc>
        <w:tc>
          <w:tcPr>
            <w:tcW w:w="3260" w:type="dxa"/>
            <w:vAlign w:val="bottom"/>
            <w:shd w:val="clear" w:color="auto" w:fill="CCEEFF"/>
          </w:tcPr>
          <w:p>
            <w:pPr>
              <w:ind w:left="880"/>
              <w:spacing w:after="0" w:line="116" w:lineRule="exact"/>
              <w:rPr>
                <w:sz w:val="20"/>
                <w:szCs w:val="20"/>
                <w:color w:val="auto"/>
              </w:rPr>
            </w:pPr>
            <w:r>
              <w:rPr>
                <w:rFonts w:ascii="Arial" w:cs="Arial" w:eastAsia="Arial" w:hAnsi="Arial"/>
                <w:sz w:val="13"/>
                <w:szCs w:val="13"/>
                <w:color w:val="auto"/>
              </w:rPr>
              <w:t>6.3% Cash, 1.0% Libor Floor,</w:t>
            </w:r>
          </w:p>
        </w:tc>
        <w:tc>
          <w:tcPr>
            <w:tcW w:w="10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67"/>
        </w:trPr>
        <w:tc>
          <w:tcPr>
            <w:tcW w:w="1980" w:type="dxa"/>
            <w:vAlign w:val="bottom"/>
            <w:shd w:val="clear" w:color="auto" w:fill="CCEEFF"/>
          </w:tcPr>
          <w:p>
            <w:pPr>
              <w:spacing w:after="0"/>
              <w:rPr>
                <w:sz w:val="14"/>
                <w:szCs w:val="14"/>
                <w:color w:val="auto"/>
              </w:rPr>
            </w:pPr>
          </w:p>
        </w:tc>
        <w:tc>
          <w:tcPr>
            <w:tcW w:w="3260" w:type="dxa"/>
            <w:vAlign w:val="bottom"/>
            <w:shd w:val="clear" w:color="auto" w:fill="CCEEFF"/>
          </w:tcPr>
          <w:p>
            <w:pPr>
              <w:ind w:left="880"/>
              <w:spacing w:after="0"/>
              <w:rPr>
                <w:sz w:val="20"/>
                <w:szCs w:val="20"/>
                <w:color w:val="auto"/>
              </w:rPr>
            </w:pPr>
            <w:r>
              <w:rPr>
                <w:rFonts w:ascii="Arial" w:cs="Arial" w:eastAsia="Arial" w:hAnsi="Arial"/>
                <w:sz w:val="14"/>
                <w:szCs w:val="14"/>
                <w:color w:val="auto"/>
              </w:rPr>
              <w:t>Due 7/20</w:t>
            </w:r>
          </w:p>
        </w:tc>
        <w:tc>
          <w:tcPr>
            <w:tcW w:w="10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40,000</w:t>
            </w:r>
          </w:p>
        </w:tc>
        <w:tc>
          <w:tcPr>
            <w:tcW w:w="10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34,509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36,984</w:t>
            </w:r>
          </w:p>
        </w:tc>
      </w:tr>
    </w:tbl>
    <w:p>
      <w:pPr>
        <w:spacing w:after="0" w:line="200" w:lineRule="exact"/>
        <w:rPr>
          <w:sz w:val="20"/>
          <w:szCs w:val="20"/>
          <w:color w:val="auto"/>
        </w:r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4" w:name="page95"/>
    <w:bookmarkEnd w:id="9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0939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6465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4"/>
          <w:szCs w:val="14"/>
          <w:color w:val="auto"/>
        </w:rPr>
        <w:t>Bestop,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Carolina Beverage Group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CCS Intermediate Holdings, LLC</w:t>
      </w:r>
      <w:r>
        <w:rPr>
          <w:rFonts w:ascii="Arial" w:cs="Arial" w:eastAsia="Arial" w:hAnsi="Arial"/>
          <w:sz w:val="21"/>
          <w:szCs w:val="21"/>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32" w:lineRule="exact"/>
        <w:rPr>
          <w:sz w:val="20"/>
          <w:szCs w:val="20"/>
          <w:color w:val="auto"/>
        </w:rPr>
      </w:pPr>
    </w:p>
    <w:p>
      <w:pPr>
        <w:ind w:left="180" w:right="40" w:hanging="179"/>
        <w:spacing w:after="0" w:line="197" w:lineRule="auto"/>
        <w:rPr>
          <w:sz w:val="20"/>
          <w:szCs w:val="20"/>
          <w:color w:val="auto"/>
        </w:rPr>
      </w:pPr>
      <w:r>
        <w:rPr>
          <w:rFonts w:ascii="Arial" w:cs="Arial" w:eastAsia="Arial" w:hAnsi="Arial"/>
          <w:sz w:val="14"/>
          <w:szCs w:val="14"/>
          <w:color w:val="auto"/>
        </w:rPr>
        <w:t>Cengage Learning Acquisitions, Inc. (fka TL Acquisitions, Inc.)</w:t>
      </w:r>
      <w:r>
        <w:rPr>
          <w:rFonts w:ascii="Arial" w:cs="Arial" w:eastAsia="Arial" w:hAnsi="Arial"/>
          <w:sz w:val="23"/>
          <w:szCs w:val="23"/>
          <w:color w:val="auto"/>
          <w:vertAlign w:val="superscript"/>
        </w:rPr>
        <w:t>(9), (10)</w:t>
      </w:r>
    </w:p>
    <w:p>
      <w:pPr>
        <w:ind w:left="180" w:right="440"/>
        <w:spacing w:after="0" w:line="221" w:lineRule="auto"/>
        <w:rPr>
          <w:sz w:val="20"/>
          <w:szCs w:val="20"/>
          <w:color w:val="auto"/>
        </w:rPr>
      </w:pPr>
      <w:r>
        <w:rPr>
          <w:rFonts w:ascii="Arial" w:cs="Arial" w:eastAsia="Arial" w:hAnsi="Arial"/>
          <w:sz w:val="14"/>
          <w:szCs w:val="14"/>
          <w:i w:val="1"/>
          <w:iCs w:val="1"/>
          <w:color w:val="auto"/>
        </w:rPr>
        <w:t>Media: Advertising, Printing &amp; Publishing</w:t>
      </w:r>
    </w:p>
    <w:p>
      <w:pPr>
        <w:spacing w:after="0" w:line="1" w:lineRule="exact"/>
        <w:rPr>
          <w:sz w:val="20"/>
          <w:szCs w:val="20"/>
          <w:color w:val="auto"/>
        </w:rPr>
      </w:pPr>
    </w:p>
    <w:p>
      <w:pPr>
        <w:ind w:left="180" w:right="20" w:hanging="179"/>
        <w:spacing w:after="0" w:line="190" w:lineRule="auto"/>
        <w:rPr>
          <w:sz w:val="20"/>
          <w:szCs w:val="20"/>
          <w:color w:val="auto"/>
        </w:rPr>
      </w:pPr>
      <w:r>
        <w:rPr>
          <w:rFonts w:ascii="Arial" w:cs="Arial" w:eastAsia="Arial" w:hAnsi="Arial"/>
          <w:sz w:val="14"/>
          <w:szCs w:val="14"/>
          <w:color w:val="auto"/>
        </w:rPr>
        <w:t>Charter Communications Operating, LLC (aka CCO Safari LLC)</w:t>
      </w:r>
      <w:r>
        <w:rPr>
          <w:rFonts w:ascii="Arial" w:cs="Arial" w:eastAsia="Arial" w:hAnsi="Arial"/>
          <w:sz w:val="23"/>
          <w:szCs w:val="23"/>
          <w:color w:val="auto"/>
          <w:vertAlign w:val="superscript"/>
        </w:rPr>
        <w:t>(10)</w:t>
      </w:r>
    </w:p>
    <w:p>
      <w:pPr>
        <w:ind w:left="180"/>
        <w:spacing w:after="0" w:line="222" w:lineRule="auto"/>
        <w:rPr>
          <w:sz w:val="20"/>
          <w:szCs w:val="20"/>
          <w:color w:val="auto"/>
        </w:rPr>
      </w:pPr>
      <w:r>
        <w:rPr>
          <w:rFonts w:ascii="Arial" w:cs="Arial" w:eastAsia="Arial" w:hAnsi="Arial"/>
          <w:sz w:val="14"/>
          <w:szCs w:val="14"/>
          <w:i w:val="1"/>
          <w:iCs w:val="1"/>
          <w:color w:val="auto"/>
        </w:rPr>
        <w:t>Media: Broadcasting &amp;</w:t>
      </w:r>
    </w:p>
    <w:p>
      <w:pPr>
        <w:ind w:left="180"/>
        <w:spacing w:after="0" w:line="222" w:lineRule="auto"/>
        <w:rPr>
          <w:sz w:val="20"/>
          <w:szCs w:val="20"/>
          <w:color w:val="auto"/>
        </w:rPr>
      </w:pPr>
      <w:r>
        <w:rPr>
          <w:rFonts w:ascii="Arial" w:cs="Arial" w:eastAsia="Arial" w:hAnsi="Arial"/>
          <w:sz w:val="14"/>
          <w:szCs w:val="14"/>
          <w:i w:val="1"/>
          <w:iCs w:val="1"/>
          <w:color w:val="auto"/>
        </w:rPr>
        <w:t>Subscription</w:t>
      </w:r>
    </w:p>
    <w:p>
      <w:pPr>
        <w:ind w:left="180" w:right="220" w:hanging="179"/>
        <w:spacing w:after="0" w:line="190" w:lineRule="auto"/>
        <w:rPr>
          <w:sz w:val="20"/>
          <w:szCs w:val="20"/>
          <w:color w:val="auto"/>
        </w:rPr>
      </w:pPr>
      <w:r>
        <w:rPr>
          <w:rFonts w:ascii="Arial" w:cs="Arial" w:eastAsia="Arial" w:hAnsi="Arial"/>
          <w:sz w:val="14"/>
          <w:szCs w:val="14"/>
          <w:color w:val="auto"/>
        </w:rPr>
        <w:t>Checkout Holding Corp. (fka Catalina Marketing)</w:t>
      </w:r>
      <w:r>
        <w:rPr>
          <w:rFonts w:ascii="Arial" w:cs="Arial" w:eastAsia="Arial" w:hAnsi="Arial"/>
          <w:sz w:val="23"/>
          <w:szCs w:val="23"/>
          <w:color w:val="auto"/>
          <w:vertAlign w:val="superscript"/>
        </w:rPr>
        <w:t>(9), (10)</w:t>
      </w:r>
    </w:p>
    <w:p>
      <w:pPr>
        <w:spacing w:after="0" w:line="1" w:lineRule="exact"/>
        <w:rPr>
          <w:sz w:val="20"/>
          <w:szCs w:val="20"/>
          <w:color w:val="auto"/>
        </w:rPr>
      </w:pPr>
    </w:p>
    <w:p>
      <w:pPr>
        <w:ind w:left="180" w:right="440"/>
        <w:spacing w:after="0" w:line="237" w:lineRule="auto"/>
        <w:rPr>
          <w:sz w:val="20"/>
          <w:szCs w:val="20"/>
          <w:color w:val="auto"/>
        </w:rPr>
      </w:pPr>
      <w:r>
        <w:rPr>
          <w:rFonts w:ascii="Arial" w:cs="Arial" w:eastAsia="Arial" w:hAnsi="Arial"/>
          <w:sz w:val="14"/>
          <w:szCs w:val="14"/>
          <w:i w:val="1"/>
          <w:iCs w:val="1"/>
          <w:color w:val="auto"/>
        </w:rPr>
        <w:t>Media: Advertising, Printing &amp; Publishing</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CHS/Community Health Systems, Inc.</w:t>
      </w:r>
      <w:r>
        <w:rPr>
          <w:rFonts w:ascii="Arial" w:cs="Arial" w:eastAsia="Arial" w:hAnsi="Arial"/>
          <w:sz w:val="19"/>
          <w:szCs w:val="19"/>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Consolidated Communications, Inc.</w:t>
      </w:r>
      <w:r>
        <w:rPr>
          <w:rFonts w:ascii="Arial" w:cs="Arial" w:eastAsia="Arial" w:hAnsi="Arial"/>
          <w:sz w:val="21"/>
          <w:szCs w:val="21"/>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CRGT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Crowley Holdings Preferred,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Crowne Group, LLC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CSM Bakery Solutions Limited (fka CSM</w:t>
      </w:r>
    </w:p>
    <w:p>
      <w:pPr>
        <w:ind w:left="180"/>
        <w:spacing w:after="0" w:line="181" w:lineRule="auto"/>
        <w:rPr>
          <w:sz w:val="20"/>
          <w:szCs w:val="20"/>
          <w:color w:val="auto"/>
        </w:rPr>
      </w:pPr>
      <w:r>
        <w:rPr>
          <w:rFonts w:ascii="Arial" w:cs="Arial" w:eastAsia="Arial" w:hAnsi="Arial"/>
          <w:sz w:val="14"/>
          <w:szCs w:val="14"/>
          <w:color w:val="auto"/>
        </w:rPr>
        <w:t>Bakery Supplies Limited)</w:t>
      </w:r>
      <w:r>
        <w:rPr>
          <w:rFonts w:ascii="Arial" w:cs="Arial" w:eastAsia="Arial" w:hAnsi="Arial"/>
          <w:sz w:val="23"/>
          <w:szCs w:val="23"/>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CT Technologies Intermediate Holdings,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 (Smart Holdings Corp.) (aka</w:t>
      </w:r>
    </w:p>
    <w:p>
      <w:pPr>
        <w:ind w:left="180"/>
        <w:spacing w:after="0" w:line="180" w:lineRule="auto"/>
        <w:rPr>
          <w:sz w:val="20"/>
          <w:szCs w:val="20"/>
          <w:color w:val="auto"/>
        </w:rPr>
      </w:pPr>
      <w:r>
        <w:rPr>
          <w:rFonts w:ascii="Arial" w:cs="Arial" w:eastAsia="Arial" w:hAnsi="Arial"/>
          <w:sz w:val="13"/>
          <w:szCs w:val="13"/>
          <w:color w:val="auto"/>
        </w:rPr>
        <w:t>HealthPort)</w:t>
      </w:r>
      <w:r>
        <w:rPr>
          <w:rFonts w:ascii="Arial" w:cs="Arial" w:eastAsia="Arial" w:hAnsi="Arial"/>
          <w:sz w:val="21"/>
          <w:szCs w:val="21"/>
          <w:color w:val="auto"/>
          <w:vertAlign w:val="superscript"/>
        </w:rPr>
        <w:t>(9), (10)</w:t>
      </w:r>
    </w:p>
    <w:p>
      <w:pPr>
        <w:ind w:left="180"/>
        <w:spacing w:after="0" w:line="233" w:lineRule="auto"/>
        <w:rPr>
          <w:sz w:val="20"/>
          <w:szCs w:val="20"/>
          <w:color w:val="auto"/>
        </w:rPr>
      </w:pPr>
      <w:r>
        <w:rPr>
          <w:rFonts w:ascii="Arial" w:cs="Arial" w:eastAsia="Arial" w:hAnsi="Arial"/>
          <w:sz w:val="14"/>
          <w:szCs w:val="14"/>
          <w:i w:val="1"/>
          <w:iCs w:val="1"/>
          <w:color w:val="auto"/>
        </w:rPr>
        <w:t>Healthcare &amp; Pharmaceuticals</w:t>
      </w:r>
    </w:p>
    <w:p>
      <w:pPr>
        <w:spacing w:after="0" w:line="180" w:lineRule="auto"/>
        <w:rPr>
          <w:sz w:val="20"/>
          <w:szCs w:val="20"/>
          <w:color w:val="auto"/>
        </w:rPr>
      </w:pPr>
      <w:r>
        <w:rPr>
          <w:rFonts w:ascii="Arial" w:cs="Arial" w:eastAsia="Arial" w:hAnsi="Arial"/>
          <w:sz w:val="13"/>
          <w:szCs w:val="13"/>
          <w:color w:val="auto"/>
        </w:rPr>
        <w:t>DBI Holding LLC</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192" w:lineRule="exact"/>
        <w:rPr>
          <w:sz w:val="20"/>
          <w:szCs w:val="20"/>
          <w:color w:val="auto"/>
        </w:rPr>
      </w:pPr>
    </w:p>
    <w:p>
      <w:pPr>
        <w:jc w:val="right"/>
        <w:ind w:right="1220"/>
        <w:spacing w:after="0"/>
        <w:rPr>
          <w:sz w:val="20"/>
          <w:szCs w:val="20"/>
          <w:color w:val="auto"/>
        </w:rPr>
      </w:pPr>
      <w:r>
        <w:rPr>
          <w:rFonts w:ascii="Arial" w:cs="Arial" w:eastAsia="Arial" w:hAnsi="Arial"/>
          <w:sz w:val="13"/>
          <w:szCs w:val="13"/>
          <w:color w:val="auto"/>
        </w:rPr>
        <w:t>DBI Holding LLC</w:t>
      </w:r>
      <w:r>
        <w:rPr>
          <w:rFonts w:ascii="Arial" w:cs="Arial" w:eastAsia="Arial" w:hAnsi="Arial"/>
          <w:sz w:val="21"/>
          <w:szCs w:val="21"/>
          <w:color w:val="auto"/>
          <w:vertAlign w:val="superscript"/>
        </w:rPr>
        <w:t>(9)</w:t>
      </w:r>
    </w:p>
    <w:p>
      <w:pPr>
        <w:jc w:val="right"/>
        <w:ind w:right="1180"/>
        <w:spacing w:after="0"/>
        <w:rPr>
          <w:sz w:val="20"/>
          <w:szCs w:val="20"/>
          <w:color w:val="auto"/>
        </w:rPr>
      </w:pPr>
      <w:r>
        <w:rPr>
          <w:rFonts w:ascii="Arial" w:cs="Arial" w:eastAsia="Arial" w:hAnsi="Arial"/>
          <w:sz w:val="14"/>
          <w:szCs w:val="14"/>
          <w:i w:val="1"/>
          <w:iCs w:val="1"/>
          <w:color w:val="auto"/>
        </w:rPr>
        <w:t>Services: Business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DJO Finance LLC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Drew Marine Group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ELO Touch Solutions,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280" w:type="dxa"/>
            <w:vAlign w:val="bottom"/>
          </w:tcPr>
          <w:p>
            <w:pPr>
              <w:ind w:left="84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tcPr>
          <w:p>
            <w:pPr>
              <w:ind w:left="46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tcPr>
          <w:p>
            <w:pPr>
              <w:ind w:left="100"/>
              <w:spacing w:after="0" w:line="123"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1,580,000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1,557,976</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1,460,868</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Bond — 10.625% –</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08/2018 – 143818AA0 144A</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10.6% Cash, Due 8/18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1,510,560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1,503,752</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7/21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2,962,500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2,950,638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2,549,824</w:t>
            </w:r>
          </w:p>
        </w:tc>
        <w:tc>
          <w:tcPr>
            <w:tcW w:w="0" w:type="dxa"/>
            <w:vAlign w:val="bottom"/>
          </w:tcPr>
          <w:p>
            <w:pPr>
              <w:spacing w:after="0"/>
              <w:rPr>
                <w:sz w:val="1"/>
                <w:szCs w:val="1"/>
                <w:color w:val="auto"/>
              </w:rPr>
            </w:pPr>
          </w:p>
        </w:tc>
      </w:tr>
      <w:tr>
        <w:trPr>
          <w:trHeight w:val="304"/>
        </w:trPr>
        <w:tc>
          <w:tcPr>
            <w:tcW w:w="2280" w:type="dxa"/>
            <w:vAlign w:val="bottom"/>
          </w:tcPr>
          <w:p>
            <w:pPr>
              <w:ind w:left="100"/>
              <w:spacing w:after="0"/>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3/20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2,979,950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2,974,534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2,912,901</w:t>
            </w:r>
          </w:p>
        </w:tc>
        <w:tc>
          <w:tcPr>
            <w:tcW w:w="0" w:type="dxa"/>
            <w:vAlign w:val="bottom"/>
          </w:tcPr>
          <w:p>
            <w:pPr>
              <w:spacing w:after="0"/>
              <w:rPr>
                <w:sz w:val="1"/>
                <w:szCs w:val="1"/>
                <w:color w:val="auto"/>
              </w:rPr>
            </w:pPr>
          </w:p>
        </w:tc>
      </w:tr>
      <w:tr>
        <w:trPr>
          <w:trHeight w:val="304"/>
        </w:trPr>
        <w:tc>
          <w:tcPr>
            <w:tcW w:w="2280" w:type="dxa"/>
            <w:vAlign w:val="bottom"/>
          </w:tcPr>
          <w:p>
            <w:pPr>
              <w:ind w:left="100"/>
              <w:spacing w:after="0"/>
              <w:rPr>
                <w:sz w:val="20"/>
                <w:szCs w:val="20"/>
                <w:color w:val="auto"/>
              </w:rPr>
            </w:pPr>
            <w:r>
              <w:rPr>
                <w:rFonts w:ascii="Arial" w:cs="Arial" w:eastAsia="Arial" w:hAnsi="Arial"/>
                <w:sz w:val="14"/>
                <w:szCs w:val="14"/>
                <w:color w:val="auto"/>
                <w:w w:val="94"/>
              </w:rPr>
              <w:t>Senior Secured Loan — Term I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3.5% Cash, 0.8%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1,001,223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1,000,420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 B</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4/21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981,284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792,925</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5"/>
              </w:rPr>
              <w:t>Senior Secured Loan — Incremental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2021 Term H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1,994,987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1,992,571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1,967,915</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2,962,217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2,971,404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2,947,421</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3,912,342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3,861,177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3,750,762</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Preferred Stock — 12.000% –</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12/2049 – Series A Income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Preferred Securities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10.0% Cash, 2.0% PIK, Due 12/49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10,411,673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10,411,673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11,036,373</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9/20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3,902,980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3,664,810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8.8%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7/21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3,013,843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2,827,500</w:t>
            </w:r>
          </w:p>
        </w:tc>
        <w:tc>
          <w:tcPr>
            <w:tcW w:w="0" w:type="dxa"/>
            <w:vAlign w:val="bottom"/>
          </w:tcPr>
          <w:p>
            <w:pPr>
              <w:spacing w:after="0"/>
              <w:rPr>
                <w:sz w:val="1"/>
                <w:szCs w:val="1"/>
                <w:color w:val="auto"/>
              </w:rPr>
            </w:pPr>
          </w:p>
        </w:tc>
      </w:tr>
      <w:tr>
        <w:trPr>
          <w:trHeight w:val="304"/>
        </w:trPr>
        <w:tc>
          <w:tcPr>
            <w:tcW w:w="2280" w:type="dxa"/>
            <w:vAlign w:val="bottom"/>
          </w:tcPr>
          <w:p>
            <w:pPr>
              <w:ind w:left="100"/>
              <w:spacing w:after="0"/>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2,970,075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2,942,705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2,877,260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Unsecured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Bond — 09/2019 –</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PIK Note 0.0% Cash, 16.0% PIK,</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9/19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4,043,719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3,859,845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4,043,722</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Subordinated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Bond — 09/2019</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4"/>
                <w:szCs w:val="14"/>
                <w:color w:val="auto"/>
              </w:rPr>
              <w:t>– Senior Subordinated Note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12.0% Cash, 4.0% PIK, Due 9/19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4,481,135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4,466,793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4,615,571</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6/20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1,490,906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1,464,375</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8.0%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5/21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2,495,491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2,495,000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8.0% Cash, 1.5%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6/18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1,552,326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1,507,787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1,546,893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-6689725</wp:posOffset>
            </wp:positionV>
            <wp:extent cx="5213985" cy="283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-6123305</wp:posOffset>
            </wp:positionV>
            <wp:extent cx="5213985" cy="3771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-5342890</wp:posOffset>
            </wp:positionV>
            <wp:extent cx="5213985" cy="4032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-4468495</wp:posOffset>
            </wp:positionV>
            <wp:extent cx="5213985" cy="3771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-3713480</wp:posOffset>
            </wp:positionV>
            <wp:extent cx="5213985" cy="283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-3053080</wp:posOffset>
            </wp:positionV>
            <wp:extent cx="5213985" cy="3771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-2298700</wp:posOffset>
            </wp:positionV>
            <wp:extent cx="5213985" cy="4032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-1518285</wp:posOffset>
            </wp:positionV>
            <wp:extent cx="5213985" cy="3771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-763270</wp:posOffset>
            </wp:positionV>
            <wp:extent cx="5213985" cy="3771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-6946900</wp:posOffset>
            </wp:positionV>
            <wp:extent cx="34645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105410</wp:posOffset>
            </wp:positionV>
            <wp:extent cx="6114415" cy="596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2420" w:space="320"/>
            <w:col w:w="7339"/>
          </w:cols>
          <w:pgMar w:left="380" w:top="792" w:right="1440" w:bottom="1440" w:gutter="0" w:footer="0" w:header="0"/>
        </w:sectPr>
      </w:pPr>
    </w:p>
    <w:bookmarkStart w:id="95" w:name="page96"/>
    <w:bookmarkEnd w:id="9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40" w:type="dxa"/>
            <w:vAlign w:val="bottom"/>
          </w:tcPr>
          <w:p>
            <w:pPr>
              <w:spacing w:after="0"/>
              <w:rPr>
                <w:sz w:val="14"/>
                <w:szCs w:val="14"/>
                <w:color w:val="auto"/>
              </w:rPr>
            </w:pPr>
          </w:p>
        </w:tc>
        <w:tc>
          <w:tcPr>
            <w:tcW w:w="2320" w:type="dxa"/>
            <w:vAlign w:val="bottom"/>
          </w:tcPr>
          <w:p>
            <w:pPr>
              <w:jc w:val="center"/>
              <w:ind w:left="100"/>
              <w:spacing w:after="0"/>
              <w:rPr>
                <w:sz w:val="20"/>
                <w:szCs w:val="20"/>
                <w:color w:val="auto"/>
              </w:rPr>
            </w:pPr>
            <w:r>
              <w:rPr>
                <w:rFonts w:ascii="Arial" w:cs="Arial" w:eastAsia="Arial" w:hAnsi="Arial"/>
                <w:sz w:val="13"/>
                <w:szCs w:val="13"/>
                <w:b w:val="1"/>
                <w:bCs w:val="1"/>
                <w:color w:val="auto"/>
                <w:w w:val="87"/>
              </w:rPr>
              <w:t>Investment</w:t>
            </w:r>
          </w:p>
        </w:tc>
        <w:tc>
          <w:tcPr>
            <w:tcW w:w="1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Amortized</w:t>
            </w:r>
          </w:p>
        </w:tc>
        <w:tc>
          <w:tcPr>
            <w:tcW w:w="900" w:type="dxa"/>
            <w:vAlign w:val="bottom"/>
            <w:vMerge w:val="restart"/>
          </w:tcPr>
          <w:p>
            <w:pPr>
              <w:ind w:left="220"/>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0"/>
                <w:szCs w:val="20"/>
                <w:b w:val="1"/>
                <w:bCs w:val="1"/>
                <w:color w:val="auto"/>
                <w:w w:val="84"/>
                <w:vertAlign w:val="superscript"/>
              </w:rPr>
              <w:t>(2)</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3"/>
                <w:szCs w:val="13"/>
                <w:b w:val="1"/>
                <w:bCs w:val="1"/>
                <w:color w:val="auto"/>
              </w:rPr>
              <w:t>Portfolio Company/Principal Business</w:t>
            </w:r>
          </w:p>
        </w:tc>
        <w:tc>
          <w:tcPr>
            <w:tcW w:w="2320" w:type="dxa"/>
            <w:vAlign w:val="bottom"/>
          </w:tcPr>
          <w:p>
            <w:pPr>
              <w:jc w:val="center"/>
              <w:ind w:left="100"/>
              <w:spacing w:after="0" w:line="162" w:lineRule="exact"/>
              <w:rPr>
                <w:sz w:val="20"/>
                <w:szCs w:val="20"/>
                <w:color w:val="auto"/>
              </w:rPr>
            </w:pPr>
            <w:r>
              <w:rPr>
                <w:rFonts w:ascii="Arial" w:cs="Arial" w:eastAsia="Arial" w:hAnsi="Arial"/>
                <w:sz w:val="12"/>
                <w:szCs w:val="12"/>
                <w:b w:val="1"/>
                <w:bCs w:val="1"/>
                <w:color w:val="auto"/>
                <w:w w:val="98"/>
              </w:rPr>
              <w:t>Interest Rate</w:t>
            </w:r>
            <w:r>
              <w:rPr>
                <w:rFonts w:ascii="Arial" w:cs="Arial" w:eastAsia="Arial" w:hAnsi="Arial"/>
                <w:sz w:val="18"/>
                <w:szCs w:val="18"/>
                <w:b w:val="1"/>
                <w:bCs w:val="1"/>
                <w:color w:val="auto"/>
                <w:w w:val="98"/>
                <w:vertAlign w:val="superscript"/>
              </w:rPr>
              <w:t>(1)</w:t>
            </w:r>
            <w:r>
              <w:rPr>
                <w:rFonts w:ascii="Arial" w:cs="Arial" w:eastAsia="Arial" w:hAnsi="Arial"/>
                <w:sz w:val="12"/>
                <w:szCs w:val="12"/>
                <w:b w:val="1"/>
                <w:bCs w:val="1"/>
                <w:color w:val="auto"/>
                <w:w w:val="98"/>
              </w:rPr>
              <w:t>/Maturity</w:t>
            </w:r>
          </w:p>
        </w:tc>
        <w:tc>
          <w:tcPr>
            <w:tcW w:w="1140" w:type="dxa"/>
            <w:vAlign w:val="bottom"/>
          </w:tcPr>
          <w:p>
            <w:pPr>
              <w:ind w:left="400"/>
              <w:spacing w:after="0"/>
              <w:rPr>
                <w:sz w:val="20"/>
                <w:szCs w:val="20"/>
                <w:color w:val="auto"/>
              </w:rPr>
            </w:pPr>
            <w:r>
              <w:rPr>
                <w:rFonts w:ascii="Arial" w:cs="Arial" w:eastAsia="Arial" w:hAnsi="Arial"/>
                <w:sz w:val="13"/>
                <w:szCs w:val="13"/>
                <w:b w:val="1"/>
                <w:bCs w:val="1"/>
                <w:color w:val="auto"/>
              </w:rPr>
              <w:t>Principal</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6465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ind w:left="20"/>
        <w:spacing w:after="0"/>
        <w:rPr>
          <w:sz w:val="20"/>
          <w:szCs w:val="20"/>
          <w:color w:val="auto"/>
        </w:rPr>
      </w:pPr>
      <w:r>
        <w:rPr>
          <w:rFonts w:ascii="Arial" w:cs="Arial" w:eastAsia="Arial" w:hAnsi="Arial"/>
          <w:sz w:val="14"/>
          <w:szCs w:val="14"/>
          <w:color w:val="auto"/>
        </w:rPr>
        <w:t>EWT Holdings III Corp. (fka WTG</w:t>
      </w:r>
    </w:p>
    <w:p>
      <w:pPr>
        <w:ind w:left="200"/>
        <w:spacing w:after="0" w:line="182" w:lineRule="auto"/>
        <w:rPr>
          <w:sz w:val="20"/>
          <w:szCs w:val="20"/>
          <w:color w:val="auto"/>
        </w:rPr>
      </w:pPr>
      <w:r>
        <w:rPr>
          <w:rFonts w:ascii="Arial" w:cs="Arial" w:eastAsia="Arial" w:hAnsi="Arial"/>
          <w:sz w:val="13"/>
          <w:szCs w:val="13"/>
          <w:color w:val="auto"/>
        </w:rPr>
        <w:t>Holdings III Corp.)</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Environmental Industries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Fender Musical Instruments Corporation</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2"/>
          <w:szCs w:val="12"/>
          <w:color w:val="auto"/>
        </w:rPr>
        <w:t>(10)</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Consumer goods: Durable</w:t>
      </w:r>
    </w:p>
    <w:p>
      <w:pPr>
        <w:ind w:left="20"/>
        <w:spacing w:after="0" w:line="186" w:lineRule="auto"/>
        <w:rPr>
          <w:sz w:val="20"/>
          <w:szCs w:val="20"/>
          <w:color w:val="auto"/>
        </w:rPr>
      </w:pPr>
      <w:r>
        <w:rPr>
          <w:rFonts w:ascii="Arial" w:cs="Arial" w:eastAsia="Arial" w:hAnsi="Arial"/>
          <w:sz w:val="13"/>
          <w:szCs w:val="13"/>
          <w:color w:val="auto"/>
        </w:rPr>
        <w:t>FHC Health Systems, Inc.</w:t>
      </w:r>
      <w:r>
        <w:rPr>
          <w:rFonts w:ascii="Arial" w:cs="Arial" w:eastAsia="Arial" w:hAnsi="Arial"/>
          <w:sz w:val="21"/>
          <w:szCs w:val="21"/>
          <w:color w:val="auto"/>
          <w:vertAlign w:val="superscript"/>
        </w:rPr>
        <w:t>(9), (10)</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First American Payment Systems, L.P.</w:t>
      </w:r>
      <w:r>
        <w:rPr>
          <w:rFonts w:ascii="Arial" w:cs="Arial" w:eastAsia="Arial" w:hAnsi="Arial"/>
          <w:sz w:val="21"/>
          <w:szCs w:val="21"/>
          <w:color w:val="auto"/>
          <w:vertAlign w:val="superscript"/>
        </w:rPr>
        <w:t>(9)</w:t>
      </w:r>
    </w:p>
    <w:p>
      <w:pPr>
        <w:ind w:left="200"/>
        <w:spacing w:after="0" w:line="221" w:lineRule="auto"/>
        <w:rPr>
          <w:sz w:val="20"/>
          <w:szCs w:val="20"/>
          <w:color w:val="auto"/>
        </w:rPr>
      </w:pPr>
      <w:r>
        <w:rPr>
          <w:rFonts w:ascii="Arial" w:cs="Arial" w:eastAsia="Arial" w:hAnsi="Arial"/>
          <w:sz w:val="14"/>
          <w:szCs w:val="14"/>
          <w:i w:val="1"/>
          <w:iCs w:val="1"/>
          <w:color w:val="auto"/>
        </w:rPr>
        <w:t>Banking, Finance, Insurance &amp; Real</w:t>
      </w:r>
    </w:p>
    <w:p>
      <w:pPr>
        <w:ind w:left="200"/>
        <w:spacing w:after="0"/>
        <w:rPr>
          <w:sz w:val="20"/>
          <w:szCs w:val="20"/>
          <w:color w:val="auto"/>
        </w:rPr>
      </w:pPr>
      <w:r>
        <w:rPr>
          <w:rFonts w:ascii="Arial" w:cs="Arial" w:eastAsia="Arial" w:hAnsi="Arial"/>
          <w:sz w:val="14"/>
          <w:szCs w:val="14"/>
          <w:i w:val="1"/>
          <w:iCs w:val="1"/>
          <w:color w:val="auto"/>
        </w:rPr>
        <w:t>Estate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Getty Images, Inc.</w:t>
      </w:r>
      <w:r>
        <w:rPr>
          <w:rFonts w:ascii="Arial" w:cs="Arial" w:eastAsia="Arial" w:hAnsi="Arial"/>
          <w:sz w:val="23"/>
          <w:szCs w:val="23"/>
          <w:color w:val="auto"/>
          <w:vertAlign w:val="superscript"/>
        </w:rPr>
        <w:t>(9), (10)</w:t>
      </w:r>
    </w:p>
    <w:p>
      <w:pPr>
        <w:ind w:left="200" w:right="560"/>
        <w:spacing w:after="0" w:line="237" w:lineRule="auto"/>
        <w:rPr>
          <w:sz w:val="20"/>
          <w:szCs w:val="20"/>
          <w:color w:val="auto"/>
        </w:rPr>
      </w:pPr>
      <w:r>
        <w:rPr>
          <w:rFonts w:ascii="Arial" w:cs="Arial" w:eastAsia="Arial" w:hAnsi="Arial"/>
          <w:sz w:val="14"/>
          <w:szCs w:val="14"/>
          <w:i w:val="1"/>
          <w:iCs w:val="1"/>
          <w:color w:val="auto"/>
        </w:rPr>
        <w:t>Media: Advertising, Printing &amp; Publishing</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GI Advo Opco, LLC</w:t>
      </w:r>
      <w:r>
        <w:rPr>
          <w:rFonts w:ascii="Arial" w:cs="Arial" w:eastAsia="Arial" w:hAnsi="Arial"/>
          <w:sz w:val="23"/>
          <w:szCs w:val="23"/>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GI Advo Opco, LLC</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GK Holdings, Inc. (aka Global Knowledge)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(9)</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Services: Business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GK Holdings, Inc. (aka Global Knowledge)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(9), (10)</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Services: Business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Global Tel*Link Corporation</w:t>
      </w:r>
      <w:r>
        <w:rPr>
          <w:rFonts w:ascii="Arial" w:cs="Arial" w:eastAsia="Arial" w:hAnsi="Arial"/>
          <w:sz w:val="23"/>
          <w:szCs w:val="23"/>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Telecommunications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Gold Standard Baking, Inc.</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Grande Communications Networks LLC</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2"/>
          <w:szCs w:val="12"/>
          <w:color w:val="auto"/>
        </w:rPr>
        <w:t>(10)</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Telecommunications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Grifols Worldwide Operations Limited</w:t>
      </w:r>
      <w:r>
        <w:rPr>
          <w:rFonts w:ascii="Arial" w:cs="Arial" w:eastAsia="Arial" w:hAnsi="Arial"/>
          <w:sz w:val="21"/>
          <w:szCs w:val="21"/>
          <w:color w:val="auto"/>
          <w:vertAlign w:val="superscript"/>
        </w:rPr>
        <w:t>(10)</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Gymboree Corporation., The</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Retail</w:t>
      </w:r>
    </w:p>
    <w:p>
      <w:pPr>
        <w:spacing w:after="0" w:line="84" w:lineRule="exact"/>
        <w:rPr>
          <w:sz w:val="20"/>
          <w:szCs w:val="20"/>
          <w:color w:val="auto"/>
        </w:rPr>
      </w:pPr>
    </w:p>
    <w:p>
      <w:pPr>
        <w:ind w:left="200" w:hanging="179"/>
        <w:spacing w:after="0" w:line="197" w:lineRule="auto"/>
        <w:rPr>
          <w:sz w:val="20"/>
          <w:szCs w:val="20"/>
          <w:color w:val="auto"/>
        </w:rPr>
      </w:pPr>
      <w:r>
        <w:rPr>
          <w:rFonts w:ascii="Arial" w:cs="Arial" w:eastAsia="Arial" w:hAnsi="Arial"/>
          <w:sz w:val="14"/>
          <w:szCs w:val="14"/>
          <w:color w:val="auto"/>
        </w:rPr>
        <w:t>Hargray Communications Group, Inc. (HCP Acquisition LLC)</w:t>
      </w:r>
      <w:r>
        <w:rPr>
          <w:rFonts w:ascii="Arial" w:cs="Arial" w:eastAsia="Arial" w:hAnsi="Arial"/>
          <w:sz w:val="23"/>
          <w:szCs w:val="23"/>
          <w:color w:val="auto"/>
          <w:vertAlign w:val="superscript"/>
        </w:rPr>
        <w:t>(9), (10)</w:t>
      </w:r>
    </w:p>
    <w:p>
      <w:pPr>
        <w:ind w:left="200"/>
        <w:spacing w:after="0" w:line="222" w:lineRule="auto"/>
        <w:rPr>
          <w:sz w:val="20"/>
          <w:szCs w:val="20"/>
          <w:color w:val="auto"/>
        </w:rPr>
      </w:pPr>
      <w:r>
        <w:rPr>
          <w:rFonts w:ascii="Arial" w:cs="Arial" w:eastAsia="Arial" w:hAnsi="Arial"/>
          <w:sz w:val="14"/>
          <w:szCs w:val="14"/>
          <w:i w:val="1"/>
          <w:iCs w:val="1"/>
          <w:color w:val="auto"/>
        </w:rPr>
        <w:t>Media: Broadcasting &amp;</w:t>
      </w:r>
    </w:p>
    <w:p>
      <w:pPr>
        <w:ind w:left="200"/>
        <w:spacing w:after="0" w:line="221" w:lineRule="auto"/>
        <w:rPr>
          <w:sz w:val="20"/>
          <w:szCs w:val="20"/>
          <w:color w:val="auto"/>
        </w:rPr>
      </w:pPr>
      <w:r>
        <w:rPr>
          <w:rFonts w:ascii="Arial" w:cs="Arial" w:eastAsia="Arial" w:hAnsi="Arial"/>
          <w:sz w:val="14"/>
          <w:szCs w:val="14"/>
          <w:i w:val="1"/>
          <w:iCs w:val="1"/>
          <w:color w:val="auto"/>
        </w:rPr>
        <w:t>Subscription</w:t>
      </w:r>
    </w:p>
    <w:p>
      <w:pPr>
        <w:ind w:left="20"/>
        <w:spacing w:after="0"/>
        <w:rPr>
          <w:sz w:val="20"/>
          <w:szCs w:val="20"/>
          <w:color w:val="auto"/>
        </w:rPr>
      </w:pPr>
      <w:r>
        <w:rPr>
          <w:rFonts w:ascii="Arial" w:cs="Arial" w:eastAsia="Arial" w:hAnsi="Arial"/>
          <w:sz w:val="13"/>
          <w:szCs w:val="13"/>
          <w:color w:val="auto"/>
        </w:rPr>
        <w:t>Harland Clarke Holdings Corp. (fka Clarke</w:t>
      </w:r>
    </w:p>
    <w:p>
      <w:pPr>
        <w:ind w:left="200"/>
        <w:spacing w:after="0" w:line="186" w:lineRule="auto"/>
        <w:rPr>
          <w:sz w:val="20"/>
          <w:szCs w:val="20"/>
          <w:color w:val="auto"/>
        </w:rPr>
      </w:pPr>
      <w:r>
        <w:rPr>
          <w:rFonts w:ascii="Arial" w:cs="Arial" w:eastAsia="Arial" w:hAnsi="Arial"/>
          <w:sz w:val="13"/>
          <w:szCs w:val="13"/>
          <w:color w:val="auto"/>
        </w:rPr>
        <w:t>American Corp.)</w:t>
      </w:r>
      <w:r>
        <w:rPr>
          <w:rFonts w:ascii="Arial" w:cs="Arial" w:eastAsia="Arial" w:hAnsi="Arial"/>
          <w:sz w:val="21"/>
          <w:szCs w:val="21"/>
          <w:color w:val="auto"/>
          <w:vertAlign w:val="superscript"/>
        </w:rPr>
        <w:t>(9), (10)</w:t>
      </w:r>
    </w:p>
    <w:p>
      <w:pPr>
        <w:spacing w:after="0" w:line="1" w:lineRule="exact"/>
        <w:rPr>
          <w:sz w:val="20"/>
          <w:szCs w:val="20"/>
          <w:color w:val="auto"/>
        </w:rPr>
      </w:pPr>
    </w:p>
    <w:p>
      <w:pPr>
        <w:ind w:left="200" w:right="560"/>
        <w:spacing w:after="0" w:line="221" w:lineRule="auto"/>
        <w:rPr>
          <w:sz w:val="20"/>
          <w:szCs w:val="20"/>
          <w:color w:val="auto"/>
        </w:rPr>
      </w:pPr>
      <w:r>
        <w:rPr>
          <w:rFonts w:ascii="Arial" w:cs="Arial" w:eastAsia="Arial" w:hAnsi="Arial"/>
          <w:sz w:val="14"/>
          <w:szCs w:val="14"/>
          <w:i w:val="1"/>
          <w:iCs w:val="1"/>
          <w:color w:val="auto"/>
        </w:rPr>
        <w:t>Media: Advertising, Printing &amp; Publishing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28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8.5%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1/22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4,000,000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3,984,890</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3,658,400</w:t>
            </w:r>
          </w:p>
        </w:tc>
      </w:tr>
      <w:tr>
        <w:trPr>
          <w:trHeight w:val="169"/>
        </w:trPr>
        <w:tc>
          <w:tcPr>
            <w:tcW w:w="2280" w:type="dxa"/>
            <w:vAlign w:val="bottom"/>
          </w:tcPr>
          <w:p>
            <w:pPr>
              <w:ind w:left="100"/>
              <w:spacing w:after="0"/>
              <w:rPr>
                <w:sz w:val="20"/>
                <w:szCs w:val="20"/>
                <w:color w:val="auto"/>
              </w:rPr>
            </w:pPr>
            <w:r>
              <w:rPr>
                <w:rFonts w:ascii="Arial" w:cs="Arial" w:eastAsia="Arial" w:hAnsi="Arial"/>
                <w:sz w:val="14"/>
                <w:szCs w:val="14"/>
                <w:color w:val="auto"/>
                <w:w w:val="97"/>
              </w:rPr>
              <w:t>Senior Secured Loan — Initial Loan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4/19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1,434,249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1,443,868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1,421,699</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3,877,839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3,844,406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3,703,336</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10.8%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4/19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2,796,448</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2,768,177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2,639,288</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4.8%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10/19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2,162,867</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2,172,647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1,373,421</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247,534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247,500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2,750,000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2,722,890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2,722,500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Junior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 (Second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10.5%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1,473,884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1,382,550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2,475,000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2,453,994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2,345,805</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9.0%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11/20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3,946,567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2,760,000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4/21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2,487,500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2,476,361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2,408,149</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5/20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3,900,092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3,906,280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3,841,591</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U.S. Tranche B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3.4% Cash, Due 2/21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997,462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995,001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989,732</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 B</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8.5% Cash, 1.5%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1/18</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2,917,500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2,893,169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2,917,500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13.8% Cash, Due 7/18</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6,924,146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7,000,000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1.5%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2/18</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1,421,105</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1,410,511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734,001</w:t>
            </w: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6/19</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2,895,294</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2,878,392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2,893,267</w:t>
            </w: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3"/>
              </w:rPr>
              <w:t>Senior Secured Loan — Tranche B-3</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7.0% Cash, 1.5%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2280" w:type="dxa"/>
            <w:vAlign w:val="bottom"/>
          </w:tcPr>
          <w:p>
            <w:pPr>
              <w:ind w:left="100"/>
              <w:spacing w:after="0"/>
              <w:rPr>
                <w:sz w:val="20"/>
                <w:szCs w:val="20"/>
                <w:color w:val="auto"/>
              </w:rPr>
            </w:pPr>
            <w:r>
              <w:rPr>
                <w:rFonts w:ascii="Arial" w:cs="Arial" w:eastAsia="Arial" w:hAnsi="Arial"/>
                <w:sz w:val="14"/>
                <w:szCs w:val="14"/>
                <w:color w:val="auto"/>
              </w:rPr>
              <w:t>Due 5/18</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3,281,250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3,259,381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3,271,078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-6306820</wp:posOffset>
            </wp:positionV>
            <wp:extent cx="5213985" cy="3771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-5612130</wp:posOffset>
            </wp:positionV>
            <wp:extent cx="5213985" cy="3771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-4857750</wp:posOffset>
            </wp:positionV>
            <wp:extent cx="5213985" cy="3771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-4197350</wp:posOffset>
            </wp:positionV>
            <wp:extent cx="5213985" cy="283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-3536950</wp:posOffset>
            </wp:positionV>
            <wp:extent cx="5213985" cy="3771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-2781935</wp:posOffset>
            </wp:positionV>
            <wp:extent cx="5213985" cy="283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-2122170</wp:posOffset>
            </wp:positionV>
            <wp:extent cx="5213985" cy="283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-1367155</wp:posOffset>
            </wp:positionV>
            <wp:extent cx="5213985" cy="283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-801370</wp:posOffset>
            </wp:positionV>
            <wp:extent cx="5213985" cy="4032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13985" cy="4032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60" w:space="200"/>
            <w:col w:w="733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Harland Clarke Holdings Corp. (fka Clarke</w:t>
            </w:r>
          </w:p>
        </w:tc>
        <w:tc>
          <w:tcPr>
            <w:tcW w:w="2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Secured Loan — Tranche B-4</w:t>
            </w:r>
          </w:p>
        </w:tc>
        <w:tc>
          <w:tcPr>
            <w:tcW w:w="1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7"/>
        </w:trPr>
        <w:tc>
          <w:tcPr>
            <w:tcW w:w="2680" w:type="dxa"/>
            <w:vAlign w:val="bottom"/>
            <w:shd w:val="clear" w:color="auto" w:fill="CCEEFF"/>
          </w:tcPr>
          <w:p>
            <w:pPr>
              <w:ind w:left="200"/>
              <w:spacing w:after="0" w:line="157" w:lineRule="exact"/>
              <w:rPr>
                <w:sz w:val="20"/>
                <w:szCs w:val="20"/>
                <w:color w:val="auto"/>
              </w:rPr>
            </w:pPr>
            <w:r>
              <w:rPr>
                <w:rFonts w:ascii="Arial" w:cs="Arial" w:eastAsia="Arial" w:hAnsi="Arial"/>
                <w:sz w:val="12"/>
                <w:szCs w:val="12"/>
                <w:color w:val="auto"/>
              </w:rPr>
              <w:t>American Corp.)</w:t>
            </w:r>
            <w:r>
              <w:rPr>
                <w:rFonts w:ascii="Arial" w:cs="Arial" w:eastAsia="Arial" w:hAnsi="Arial"/>
                <w:sz w:val="18"/>
                <w:szCs w:val="18"/>
                <w:color w:val="auto"/>
                <w:vertAlign w:val="superscript"/>
              </w:rPr>
              <w:t>(9), (10)</w:t>
            </w:r>
          </w:p>
        </w:tc>
        <w:tc>
          <w:tcPr>
            <w:tcW w:w="254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Term Loan</w:t>
            </w:r>
          </w:p>
        </w:tc>
        <w:tc>
          <w:tcPr>
            <w:tcW w:w="10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49"/>
        </w:trPr>
        <w:tc>
          <w:tcPr>
            <w:tcW w:w="2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Media: Advertising, Printing &amp;</w:t>
            </w:r>
          </w:p>
        </w:tc>
        <w:tc>
          <w:tcPr>
            <w:tcW w:w="2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6.0% Cash, 1.0% Libor Floor,</w:t>
            </w: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Publishing</w:t>
            </w:r>
          </w:p>
        </w:tc>
        <w:tc>
          <w:tcPr>
            <w:tcW w:w="2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8/19</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1,425,000</w:t>
            </w:r>
          </w:p>
        </w:tc>
        <w:tc>
          <w:tcPr>
            <w:tcW w:w="1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1,420,339</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1,421,580</w:t>
            </w:r>
          </w:p>
        </w:tc>
      </w:tr>
    </w:tbl>
    <w:p>
      <w:pPr>
        <w:spacing w:after="0" w:line="200" w:lineRule="exact"/>
        <w:rPr>
          <w:sz w:val="20"/>
          <w:szCs w:val="20"/>
          <w:color w:val="auto"/>
        </w:r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6" w:name="page97"/>
    <w:bookmarkEnd w:id="9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093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6033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4"/>
          <w:szCs w:val="14"/>
          <w:color w:val="auto"/>
        </w:rPr>
        <w:t>Hoffmaster Group,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Forest Products &amp; Paper</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Hoffmaster Group,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Forest Products &amp; Paper</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w:t>
      </w:r>
    </w:p>
    <w:p>
      <w:pPr>
        <w:ind w:left="180"/>
        <w:spacing w:after="0" w:line="187"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(9), (10)</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Integra Telecom Holdings,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International Architectural Products, Inc.</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(7), (9)</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Metals &amp; Mining</w:t>
      </w:r>
    </w:p>
    <w:p>
      <w:pPr>
        <w:spacing w:after="0" w:line="195" w:lineRule="auto"/>
        <w:rPr>
          <w:sz w:val="20"/>
          <w:szCs w:val="20"/>
          <w:color w:val="auto"/>
        </w:rPr>
      </w:pPr>
      <w:r>
        <w:rPr>
          <w:rFonts w:ascii="Arial" w:cs="Arial" w:eastAsia="Arial" w:hAnsi="Arial"/>
          <w:sz w:val="13"/>
          <w:szCs w:val="13"/>
          <w:color w:val="auto"/>
        </w:rPr>
        <w:t>Kellermeyer Bergensons Services, LLC</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2"/>
          <w:szCs w:val="12"/>
          <w:color w:val="auto"/>
        </w:rPr>
        <w:t>(10)</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Key Safety Systems,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Kinetic Concepts,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Landslide Holdings, Inc. (Crimson</w:t>
      </w:r>
    </w:p>
    <w:p>
      <w:pPr>
        <w:ind w:left="180"/>
        <w:spacing w:after="0" w:line="187" w:lineRule="auto"/>
        <w:rPr>
          <w:sz w:val="20"/>
          <w:szCs w:val="20"/>
          <w:color w:val="auto"/>
        </w:rPr>
      </w:pPr>
      <w:r>
        <w:rPr>
          <w:rFonts w:ascii="Arial" w:cs="Arial" w:eastAsia="Arial" w:hAnsi="Arial"/>
          <w:sz w:val="13"/>
          <w:szCs w:val="13"/>
          <w:color w:val="auto"/>
        </w:rPr>
        <w:t>Acquisition Corp.)</w:t>
      </w:r>
      <w:r>
        <w:rPr>
          <w:rFonts w:ascii="Arial" w:cs="Arial" w:eastAsia="Arial" w:hAnsi="Arial"/>
          <w:sz w:val="21"/>
          <w:szCs w:val="21"/>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MB Aerospace ACP Holdings II Corp.</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2"/>
          <w:szCs w:val="12"/>
          <w:color w:val="auto"/>
        </w:rPr>
        <w:t>(10)</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Medical Specialties Distributors, LLC</w:t>
      </w:r>
      <w:r>
        <w:rPr>
          <w:rFonts w:ascii="Arial" w:cs="Arial" w:eastAsia="Arial" w:hAnsi="Arial"/>
          <w:sz w:val="22"/>
          <w:szCs w:val="22"/>
          <w:color w:val="auto"/>
          <w:vertAlign w:val="superscript"/>
        </w:rPr>
        <w:t>(9),</w:t>
      </w:r>
    </w:p>
    <w:p>
      <w:pPr>
        <w:ind w:left="180"/>
        <w:spacing w:after="0"/>
        <w:rPr>
          <w:sz w:val="20"/>
          <w:szCs w:val="20"/>
          <w:color w:val="auto"/>
        </w:rPr>
      </w:pPr>
      <w:r>
        <w:rPr>
          <w:rFonts w:ascii="Arial" w:cs="Arial" w:eastAsia="Arial" w:hAnsi="Arial"/>
          <w:sz w:val="12"/>
          <w:szCs w:val="12"/>
          <w:color w:val="auto"/>
        </w:rPr>
        <w:t>(10)</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186" w:lineRule="auto"/>
        <w:rPr>
          <w:sz w:val="20"/>
          <w:szCs w:val="20"/>
          <w:color w:val="auto"/>
        </w:rPr>
      </w:pPr>
      <w:r>
        <w:rPr>
          <w:rFonts w:ascii="Arial" w:cs="Arial" w:eastAsia="Arial" w:hAnsi="Arial"/>
          <w:sz w:val="13"/>
          <w:szCs w:val="13"/>
          <w:color w:val="auto"/>
        </w:rPr>
        <w:t>MGOC, Inc. (fka Media General, Inc.)</w:t>
      </w:r>
      <w:r>
        <w:rPr>
          <w:rFonts w:ascii="Arial" w:cs="Arial" w:eastAsia="Arial" w:hAnsi="Arial"/>
          <w:sz w:val="21"/>
          <w:szCs w:val="21"/>
          <w:color w:val="auto"/>
          <w:vertAlign w:val="superscript"/>
        </w:rPr>
        <w:t>(10)</w:t>
      </w:r>
    </w:p>
    <w:p>
      <w:pPr>
        <w:spacing w:after="0" w:line="1" w:lineRule="exact"/>
        <w:rPr>
          <w:sz w:val="20"/>
          <w:szCs w:val="20"/>
          <w:color w:val="auto"/>
        </w:rPr>
      </w:pPr>
    </w:p>
    <w:p>
      <w:pPr>
        <w:ind w:left="180" w:right="960"/>
        <w:spacing w:after="0" w:line="227" w:lineRule="auto"/>
        <w:rPr>
          <w:sz w:val="20"/>
          <w:szCs w:val="20"/>
          <w:color w:val="auto"/>
        </w:rPr>
      </w:pPr>
      <w:r>
        <w:rPr>
          <w:rFonts w:ascii="Arial" w:cs="Arial" w:eastAsia="Arial" w:hAnsi="Arial"/>
          <w:sz w:val="14"/>
          <w:szCs w:val="14"/>
          <w:i w:val="1"/>
          <w:iCs w:val="1"/>
          <w:color w:val="auto"/>
        </w:rPr>
        <w:t>Media: Broadcasting &amp; Subscription</w:t>
      </w:r>
    </w:p>
    <w:p>
      <w:pPr>
        <w:spacing w:after="0" w:line="180" w:lineRule="auto"/>
        <w:rPr>
          <w:sz w:val="20"/>
          <w:szCs w:val="20"/>
          <w:color w:val="auto"/>
        </w:rPr>
      </w:pPr>
      <w:r>
        <w:rPr>
          <w:rFonts w:ascii="Arial" w:cs="Arial" w:eastAsia="Arial" w:hAnsi="Arial"/>
          <w:sz w:val="13"/>
          <w:szCs w:val="13"/>
          <w:color w:val="auto"/>
        </w:rPr>
        <w:t>Nellson Nutraceutical, LLC</w:t>
      </w:r>
      <w:r>
        <w:rPr>
          <w:rFonts w:ascii="Arial" w:cs="Arial" w:eastAsia="Arial" w:hAnsi="Arial"/>
          <w:sz w:val="21"/>
          <w:szCs w:val="21"/>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Nellson Nutraceutical, LLC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232" w:lineRule="exact"/>
        <w:rPr>
          <w:sz w:val="20"/>
          <w:szCs w:val="20"/>
          <w:color w:val="auto"/>
        </w:rPr>
      </w:pPr>
    </w:p>
    <w:p>
      <w:pPr>
        <w:ind w:left="180" w:hanging="179"/>
        <w:spacing w:after="0" w:line="197" w:lineRule="auto"/>
        <w:rPr>
          <w:sz w:val="20"/>
          <w:szCs w:val="20"/>
          <w:color w:val="auto"/>
        </w:rPr>
      </w:pPr>
      <w:r>
        <w:rPr>
          <w:rFonts w:ascii="Arial" w:cs="Arial" w:eastAsia="Arial" w:hAnsi="Arial"/>
          <w:sz w:val="14"/>
          <w:szCs w:val="14"/>
          <w:color w:val="auto"/>
        </w:rPr>
        <w:t>New Millennium Holdco, Inc. (Millennium Health,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Nielsen &amp; Bainbrige,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Durable</w:t>
      </w:r>
    </w:p>
    <w:p>
      <w:pPr>
        <w:spacing w:after="0" w:line="242" w:lineRule="exact"/>
        <w:rPr>
          <w:sz w:val="20"/>
          <w:szCs w:val="20"/>
          <w:color w:val="auto"/>
        </w:rPr>
      </w:pPr>
    </w:p>
    <w:p>
      <w:pPr>
        <w:jc w:val="right"/>
        <w:ind w:right="800"/>
        <w:spacing w:after="0" w:line="221" w:lineRule="auto"/>
        <w:rPr>
          <w:sz w:val="20"/>
          <w:szCs w:val="20"/>
          <w:color w:val="auto"/>
        </w:rPr>
      </w:pPr>
      <w:r>
        <w:rPr>
          <w:rFonts w:ascii="Arial" w:cs="Arial" w:eastAsia="Arial" w:hAnsi="Arial"/>
          <w:sz w:val="13"/>
          <w:szCs w:val="13"/>
          <w:color w:val="auto"/>
        </w:rPr>
        <w:t>Nielsen &amp; Bainbrige, LLC</w:t>
      </w:r>
      <w:r>
        <w:rPr>
          <w:rFonts w:ascii="Arial" w:cs="Arial" w:eastAsia="Arial" w:hAnsi="Arial"/>
          <w:sz w:val="21"/>
          <w:szCs w:val="21"/>
          <w:color w:val="auto"/>
          <w:vertAlign w:val="superscript"/>
        </w:rPr>
        <w:t>(9)</w:t>
      </w:r>
      <w:r>
        <w:rPr>
          <w:rFonts w:ascii="Arial" w:cs="Arial" w:eastAsia="Arial" w:hAnsi="Arial"/>
          <w:sz w:val="13"/>
          <w:szCs w:val="13"/>
          <w:color w:val="auto"/>
        </w:rPr>
        <w:t xml:space="preserve"> </w:t>
      </w:r>
      <w:r>
        <w:rPr>
          <w:rFonts w:ascii="Arial" w:cs="Arial" w:eastAsia="Arial" w:hAnsi="Arial"/>
          <w:sz w:val="13"/>
          <w:szCs w:val="13"/>
          <w:i w:val="1"/>
          <w:iCs w:val="1"/>
          <w:color w:val="auto"/>
        </w:rPr>
        <w:t>Consumer goods: Durable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Nielsen &amp; Bainbrige, LLC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Consumer goods: Durable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340" w:type="dxa"/>
            <w:vAlign w:val="bottom"/>
          </w:tcPr>
          <w:p>
            <w:pPr>
              <w:ind w:left="86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162"/>
        </w:trPr>
        <w:tc>
          <w:tcPr>
            <w:tcW w:w="2340" w:type="dxa"/>
            <w:vAlign w:val="bottom"/>
            <w:tcBorders>
              <w:bottom w:val="single" w:sz="8" w:color="auto"/>
            </w:tcBorders>
          </w:tcPr>
          <w:p>
            <w:pPr>
              <w:ind w:left="50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340" w:type="dxa"/>
            <w:vAlign w:val="bottom"/>
          </w:tcPr>
          <w:p>
            <w:pPr>
              <w:ind w:left="80"/>
              <w:spacing w:after="0" w:line="123"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10.0%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5/21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1,977,018</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1,995,600</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5/20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3,940,000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3,911,276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3,887,480</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8/19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2,812,500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2,792,045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2,616,469</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B-1</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5.3%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80"/>
              <w:spacing w:after="0"/>
              <w:rPr>
                <w:sz w:val="20"/>
                <w:szCs w:val="20"/>
                <w:color w:val="auto"/>
              </w:rPr>
            </w:pPr>
            <w:r>
              <w:rPr>
                <w:rFonts w:ascii="Arial" w:cs="Arial" w:eastAsia="Arial" w:hAnsi="Arial"/>
                <w:sz w:val="14"/>
                <w:szCs w:val="14"/>
                <w:color w:val="auto"/>
              </w:rPr>
              <w:t>Due 8/20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2,962,386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2,952,620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2,876,477</w:t>
            </w:r>
          </w:p>
        </w:tc>
        <w:tc>
          <w:tcPr>
            <w:tcW w:w="0" w:type="dxa"/>
            <w:vAlign w:val="bottom"/>
          </w:tcPr>
          <w:p>
            <w:pPr>
              <w:spacing w:after="0"/>
              <w:rPr>
                <w:sz w:val="1"/>
                <w:szCs w:val="1"/>
                <w:color w:val="auto"/>
              </w:rPr>
            </w:pPr>
          </w:p>
        </w:tc>
      </w:tr>
      <w:tr>
        <w:trPr>
          <w:trHeight w:val="155"/>
        </w:trPr>
        <w:tc>
          <w:tcPr>
            <w:tcW w:w="234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0.0% Cash, 3.3% PIK, 2.5% Libor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Floor, Due 5/15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247,636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228,563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10/21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1,963,471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1,856,844</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4.8%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8/21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1,481,250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1,475,263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1,444,219</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Dollar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Term E-1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4.5%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5/18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2,962,216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2,957,007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2,864,700</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New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2/20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3,421,556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3,428,320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3,417,450</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80"/>
              <w:spacing w:after="0"/>
              <w:rPr>
                <w:sz w:val="20"/>
                <w:szCs w:val="20"/>
                <w:color w:val="auto"/>
              </w:rPr>
            </w:pPr>
            <w:r>
              <w:rPr>
                <w:rFonts w:ascii="Arial" w:cs="Arial" w:eastAsia="Arial" w:hAnsi="Arial"/>
                <w:sz w:val="14"/>
                <w:szCs w:val="14"/>
                <w:color w:val="auto"/>
              </w:rPr>
              <w:t>Due 12/22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990,055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990,000</w:t>
            </w:r>
          </w:p>
        </w:tc>
        <w:tc>
          <w:tcPr>
            <w:tcW w:w="0" w:type="dxa"/>
            <w:vAlign w:val="bottom"/>
          </w:tcPr>
          <w:p>
            <w:pPr>
              <w:spacing w:after="0"/>
              <w:rPr>
                <w:sz w:val="1"/>
                <w:szCs w:val="1"/>
                <w:color w:val="auto"/>
              </w:rPr>
            </w:pPr>
          </w:p>
        </w:tc>
      </w:tr>
      <w:tr>
        <w:trPr>
          <w:trHeight w:val="169"/>
        </w:trPr>
        <w:tc>
          <w:tcPr>
            <w:tcW w:w="2340" w:type="dxa"/>
            <w:vAlign w:val="bottom"/>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80"/>
              <w:spacing w:after="0"/>
              <w:rPr>
                <w:sz w:val="20"/>
                <w:szCs w:val="20"/>
                <w:color w:val="auto"/>
              </w:rPr>
            </w:pPr>
            <w:r>
              <w:rPr>
                <w:rFonts w:ascii="Arial" w:cs="Arial" w:eastAsia="Arial" w:hAnsi="Arial"/>
                <w:sz w:val="14"/>
                <w:szCs w:val="14"/>
                <w:color w:val="auto"/>
              </w:rPr>
              <w:t>Due 12/19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3,920,000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3,894,315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3,918,040</w:t>
            </w:r>
          </w:p>
        </w:tc>
        <w:tc>
          <w:tcPr>
            <w:tcW w:w="0" w:type="dxa"/>
            <w:vAlign w:val="bottom"/>
          </w:tcPr>
          <w:p>
            <w:pPr>
              <w:spacing w:after="0"/>
              <w:rPr>
                <w:sz w:val="1"/>
                <w:szCs w:val="1"/>
                <w:color w:val="auto"/>
              </w:rPr>
            </w:pPr>
          </w:p>
        </w:tc>
      </w:tr>
      <w:tr>
        <w:trPr>
          <w:trHeight w:val="155"/>
        </w:trPr>
        <w:tc>
          <w:tcPr>
            <w:tcW w:w="2340" w:type="dxa"/>
            <w:vAlign w:val="bottom"/>
          </w:tcPr>
          <w:p>
            <w:pPr>
              <w:ind w:left="80"/>
              <w:spacing w:after="0" w:line="155" w:lineRule="exact"/>
              <w:rPr>
                <w:sz w:val="20"/>
                <w:szCs w:val="20"/>
                <w:color w:val="auto"/>
              </w:rPr>
            </w:pPr>
            <w:r>
              <w:rPr>
                <w:rFonts w:ascii="Arial" w:cs="Arial" w:eastAsia="Arial" w:hAnsi="Arial"/>
                <w:sz w:val="14"/>
                <w:szCs w:val="14"/>
                <w:color w:val="auto"/>
                <w:w w:val="95"/>
              </w:rPr>
              <w:t>Senior Secured Loan — Term B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4.0%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7/20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2,717,813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2,720,620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2,690,635</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A-1</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12/21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2,374,598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2,356,528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2,295,761</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A-2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12/21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2,092,907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2,076,283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2,023,422</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w w:val="95"/>
              </w:rPr>
              <w:t>Senior Secured Loan — Closing Date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7.5%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12/20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1,016,626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1,016,626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889,548</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8/20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990,004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982,260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943,870</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10.3%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8/21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2,091,954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2,065,884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1,956,814</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80"/>
              <w:spacing w:after="0"/>
              <w:rPr>
                <w:sz w:val="20"/>
                <w:szCs w:val="20"/>
                <w:color w:val="auto"/>
              </w:rPr>
            </w:pPr>
            <w:r>
              <w:rPr>
                <w:rFonts w:ascii="Arial" w:cs="Arial" w:eastAsia="Arial" w:hAnsi="Arial"/>
                <w:sz w:val="14"/>
                <w:szCs w:val="14"/>
                <w:color w:val="auto"/>
              </w:rPr>
              <w:t>Due 8/20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3,785,896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3,755,461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3,609,473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-6509385</wp:posOffset>
            </wp:positionV>
            <wp:extent cx="5213985" cy="3771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-5754370</wp:posOffset>
            </wp:positionV>
            <wp:extent cx="5213985" cy="3771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-5094605</wp:posOffset>
            </wp:positionV>
            <wp:extent cx="5213985" cy="3086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-4408170</wp:posOffset>
            </wp:positionV>
            <wp:extent cx="5213985" cy="3771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-3653790</wp:posOffset>
            </wp:positionV>
            <wp:extent cx="5213985" cy="3771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-2898775</wp:posOffset>
            </wp:positionV>
            <wp:extent cx="5213985" cy="3175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-2272665</wp:posOffset>
            </wp:positionV>
            <wp:extent cx="5213985" cy="3771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-1518285</wp:posOffset>
            </wp:positionV>
            <wp:extent cx="5213985" cy="3771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-763270</wp:posOffset>
            </wp:positionV>
            <wp:extent cx="5213985" cy="3771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-6766560</wp:posOffset>
            </wp:positionV>
            <wp:extent cx="35077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180"/>
            <w:col w:w="7399"/>
          </w:cols>
          <w:pgMar w:left="380" w:top="792" w:right="1440" w:bottom="1440" w:gutter="0" w:footer="0" w:header="0"/>
        </w:sectPr>
      </w:pPr>
    </w:p>
    <w:p>
      <w:pPr>
        <w:spacing w:after="0" w:line="31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97" w:name="page98"/>
    <w:bookmarkEnd w:id="9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093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6465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180" w:right="160" w:hanging="179"/>
        <w:spacing w:after="0" w:line="185" w:lineRule="auto"/>
        <w:rPr>
          <w:sz w:val="20"/>
          <w:szCs w:val="20"/>
          <w:color w:val="auto"/>
        </w:rPr>
      </w:pPr>
      <w:r>
        <w:rPr>
          <w:rFonts w:ascii="Arial" w:cs="Arial" w:eastAsia="Arial" w:hAnsi="Arial"/>
          <w:sz w:val="13"/>
          <w:szCs w:val="13"/>
          <w:color w:val="auto"/>
        </w:rPr>
        <w:t>NM Z Parent Inc. (aka Zep, Inc.)</w:t>
      </w:r>
      <w:r>
        <w:rPr>
          <w:rFonts w:ascii="Arial" w:cs="Arial" w:eastAsia="Arial" w:hAnsi="Arial"/>
          <w:sz w:val="20"/>
          <w:szCs w:val="20"/>
          <w:color w:val="auto"/>
          <w:vertAlign w:val="superscript"/>
        </w:rPr>
        <w:t>(9), (10)</w:t>
      </w:r>
      <w:r>
        <w:rPr>
          <w:rFonts w:ascii="Arial" w:cs="Arial" w:eastAsia="Arial" w:hAnsi="Arial"/>
          <w:sz w:val="13"/>
          <w:szCs w:val="13"/>
          <w:color w:val="auto"/>
        </w:rPr>
        <w:t xml:space="preserve"> </w:t>
      </w:r>
      <w:r>
        <w:rPr>
          <w:rFonts w:ascii="Arial" w:cs="Arial" w:eastAsia="Arial" w:hAnsi="Arial"/>
          <w:sz w:val="13"/>
          <w:szCs w:val="13"/>
          <w:i w:val="1"/>
          <w:iCs w:val="1"/>
          <w:color w:val="auto"/>
        </w:rPr>
        <w:t>Chemicals, Plastics and Rubber</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Novitex Acquisition, LLC (fka ARSloane</w:t>
      </w:r>
    </w:p>
    <w:p>
      <w:pPr>
        <w:ind w:left="180"/>
        <w:spacing w:after="0" w:line="187" w:lineRule="auto"/>
        <w:rPr>
          <w:sz w:val="20"/>
          <w:szCs w:val="20"/>
          <w:color w:val="auto"/>
        </w:rPr>
      </w:pPr>
      <w:r>
        <w:rPr>
          <w:rFonts w:ascii="Arial" w:cs="Arial" w:eastAsia="Arial" w:hAnsi="Arial"/>
          <w:sz w:val="13"/>
          <w:szCs w:val="13"/>
          <w:color w:val="auto"/>
        </w:rPr>
        <w:t>Acquisition, LLC)</w:t>
      </w:r>
      <w:r>
        <w:rPr>
          <w:rFonts w:ascii="Arial" w:cs="Arial" w:eastAsia="Arial" w:hAnsi="Arial"/>
          <w:sz w:val="21"/>
          <w:szCs w:val="21"/>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Onex Carestream Finance LP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Onex Carestream Finance LP</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Otter Products, LLC (OtterBox Holdings,</w:t>
      </w:r>
    </w:p>
    <w:p>
      <w:pPr>
        <w:ind w:left="180"/>
        <w:spacing w:after="0" w:line="181" w:lineRule="auto"/>
        <w:rPr>
          <w:sz w:val="20"/>
          <w:szCs w:val="20"/>
          <w:color w:val="auto"/>
        </w:rPr>
      </w:pPr>
      <w:r>
        <w:rPr>
          <w:rFonts w:ascii="Arial" w:cs="Arial" w:eastAsia="Arial" w:hAnsi="Arial"/>
          <w:sz w:val="23"/>
          <w:szCs w:val="23"/>
          <w:color w:val="auto"/>
          <w:vertAlign w:val="subscript"/>
        </w:rPr>
        <w:t>Inc.)</w:t>
      </w:r>
      <w:r>
        <w:rPr>
          <w:rFonts w:ascii="Arial" w:cs="Arial" w:eastAsia="Arial" w:hAnsi="Arial"/>
          <w:sz w:val="11"/>
          <w:szCs w:val="11"/>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Consumer goods: Durable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PGX Holdings,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Services: Consumer</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Playpower,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PrimeLine Utility Services LLC (fka FR</w:t>
      </w:r>
    </w:p>
    <w:p>
      <w:pPr>
        <w:ind w:left="180"/>
        <w:spacing w:after="0" w:line="187" w:lineRule="auto"/>
        <w:rPr>
          <w:sz w:val="20"/>
          <w:szCs w:val="20"/>
          <w:color w:val="auto"/>
        </w:rPr>
      </w:pPr>
      <w:r>
        <w:rPr>
          <w:rFonts w:ascii="Arial" w:cs="Arial" w:eastAsia="Arial" w:hAnsi="Arial"/>
          <w:sz w:val="13"/>
          <w:szCs w:val="13"/>
          <w:color w:val="auto"/>
        </w:rPr>
        <w:t>Utility Services LLC)</w:t>
      </w:r>
      <w:r>
        <w:rPr>
          <w:rFonts w:ascii="Arial" w:cs="Arial" w:eastAsia="Arial" w:hAnsi="Arial"/>
          <w:sz w:val="21"/>
          <w:szCs w:val="21"/>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Energy: Electricity</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PSC Industrial Holdings Corp.</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232" w:lineRule="exact"/>
        <w:rPr>
          <w:sz w:val="20"/>
          <w:szCs w:val="20"/>
          <w:color w:val="auto"/>
        </w:rPr>
      </w:pPr>
    </w:p>
    <w:p>
      <w:pPr>
        <w:ind w:left="180" w:right="300" w:hanging="179"/>
        <w:spacing w:after="0" w:line="197" w:lineRule="auto"/>
        <w:rPr>
          <w:sz w:val="20"/>
          <w:szCs w:val="20"/>
          <w:color w:val="auto"/>
        </w:rPr>
      </w:pPr>
      <w:r>
        <w:rPr>
          <w:rFonts w:ascii="Arial" w:cs="Arial" w:eastAsia="Arial" w:hAnsi="Arial"/>
          <w:sz w:val="14"/>
          <w:szCs w:val="14"/>
          <w:color w:val="auto"/>
        </w:rPr>
        <w:t>Quad-C JH Holdings Inc. (aka Joerns Healthcare)</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Ravn Air Group,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Transportation: Consumer</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Roscoe Medical,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84" w:lineRule="exact"/>
        <w:rPr>
          <w:sz w:val="20"/>
          <w:szCs w:val="20"/>
          <w:color w:val="auto"/>
        </w:rPr>
      </w:pPr>
    </w:p>
    <w:p>
      <w:pPr>
        <w:ind w:left="180" w:right="80" w:hanging="179"/>
        <w:spacing w:after="0" w:line="197" w:lineRule="auto"/>
        <w:rPr>
          <w:sz w:val="20"/>
          <w:szCs w:val="20"/>
          <w:color w:val="auto"/>
        </w:rPr>
      </w:pPr>
      <w:r>
        <w:rPr>
          <w:rFonts w:ascii="Arial" w:cs="Arial" w:eastAsia="Arial" w:hAnsi="Arial"/>
          <w:sz w:val="14"/>
          <w:szCs w:val="14"/>
          <w:color w:val="auto"/>
        </w:rPr>
        <w:t>Rovi Solutions Corporation/Rovi Guides,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Sandy Creek Energy Associates,</w:t>
      </w:r>
    </w:p>
    <w:p>
      <w:pPr>
        <w:ind w:left="180"/>
        <w:spacing w:after="0" w:line="187" w:lineRule="auto"/>
        <w:rPr>
          <w:sz w:val="20"/>
          <w:szCs w:val="20"/>
          <w:color w:val="auto"/>
        </w:rPr>
      </w:pPr>
      <w:r>
        <w:rPr>
          <w:rFonts w:ascii="Arial" w:cs="Arial" w:eastAsia="Arial" w:hAnsi="Arial"/>
          <w:sz w:val="21"/>
          <w:szCs w:val="21"/>
          <w:color w:val="auto"/>
          <w:vertAlign w:val="subscript"/>
        </w:rPr>
        <w:t>L.P.</w:t>
      </w:r>
      <w:r>
        <w:rPr>
          <w:rFonts w:ascii="Arial" w:cs="Arial" w:eastAsia="Arial" w:hAnsi="Arial"/>
          <w:sz w:val="10"/>
          <w:szCs w:val="10"/>
          <w:color w:val="auto"/>
        </w:rPr>
        <w:t>(9), (10)</w:t>
      </w:r>
    </w:p>
    <w:p>
      <w:pPr>
        <w:ind w:left="180"/>
        <w:spacing w:after="0" w:line="222" w:lineRule="auto"/>
        <w:rPr>
          <w:sz w:val="20"/>
          <w:szCs w:val="20"/>
          <w:color w:val="auto"/>
        </w:rPr>
      </w:pPr>
      <w:r>
        <w:rPr>
          <w:rFonts w:ascii="Arial" w:cs="Arial" w:eastAsia="Arial" w:hAnsi="Arial"/>
          <w:sz w:val="14"/>
          <w:szCs w:val="14"/>
          <w:i w:val="1"/>
          <w:iCs w:val="1"/>
          <w:color w:val="auto"/>
        </w:rPr>
        <w:t>Utilities: Electric</w:t>
      </w:r>
    </w:p>
    <w:p>
      <w:pPr>
        <w:spacing w:after="0" w:line="233" w:lineRule="auto"/>
        <w:rPr>
          <w:sz w:val="20"/>
          <w:szCs w:val="20"/>
          <w:color w:val="auto"/>
        </w:rPr>
      </w:pPr>
      <w:r>
        <w:rPr>
          <w:rFonts w:ascii="Arial" w:cs="Arial" w:eastAsia="Arial" w:hAnsi="Arial"/>
          <w:sz w:val="14"/>
          <w:szCs w:val="14"/>
          <w:color w:val="auto"/>
        </w:rPr>
        <w:t>Stafford Logistics, Inc.(dba Custom</w:t>
      </w:r>
    </w:p>
    <w:p>
      <w:pPr>
        <w:ind w:left="180"/>
        <w:spacing w:after="0" w:line="180" w:lineRule="auto"/>
        <w:rPr>
          <w:sz w:val="20"/>
          <w:szCs w:val="20"/>
          <w:color w:val="auto"/>
        </w:rPr>
      </w:pPr>
      <w:r>
        <w:rPr>
          <w:rFonts w:ascii="Arial" w:cs="Arial" w:eastAsia="Arial" w:hAnsi="Arial"/>
          <w:sz w:val="13"/>
          <w:szCs w:val="13"/>
          <w:color w:val="auto"/>
        </w:rPr>
        <w:t>Ecology, Inc.)</w:t>
      </w:r>
      <w:r>
        <w:rPr>
          <w:rFonts w:ascii="Arial" w:cs="Arial" w:eastAsia="Arial" w:hAnsi="Arial"/>
          <w:sz w:val="21"/>
          <w:szCs w:val="21"/>
          <w:color w:val="auto"/>
          <w:vertAlign w:val="superscript"/>
        </w:rPr>
        <w:t>(9), (10)</w:t>
      </w:r>
    </w:p>
    <w:p>
      <w:pPr>
        <w:ind w:left="180"/>
        <w:spacing w:after="0" w:line="221" w:lineRule="auto"/>
        <w:rPr>
          <w:sz w:val="20"/>
          <w:szCs w:val="20"/>
          <w:color w:val="auto"/>
        </w:rPr>
      </w:pPr>
      <w:r>
        <w:rPr>
          <w:rFonts w:ascii="Arial" w:cs="Arial" w:eastAsia="Arial" w:hAnsi="Arial"/>
          <w:sz w:val="14"/>
          <w:szCs w:val="14"/>
          <w:i w:val="1"/>
          <w:iCs w:val="1"/>
          <w:color w:val="auto"/>
        </w:rPr>
        <w:t>Environmental Industries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Sun Products Corporation, The (fka Huish</w:t>
      </w:r>
    </w:p>
    <w:p>
      <w:pPr>
        <w:spacing w:after="0" w:line="7" w:lineRule="exact"/>
        <w:rPr>
          <w:sz w:val="20"/>
          <w:szCs w:val="20"/>
          <w:color w:val="auto"/>
        </w:rPr>
      </w:pPr>
    </w:p>
    <w:p>
      <w:pPr>
        <w:ind w:left="180" w:right="500"/>
        <w:spacing w:after="0" w:line="215" w:lineRule="auto"/>
        <w:rPr>
          <w:sz w:val="20"/>
          <w:szCs w:val="20"/>
          <w:color w:val="auto"/>
        </w:rPr>
      </w:pPr>
      <w:r>
        <w:rPr>
          <w:rFonts w:ascii="Arial" w:cs="Arial" w:eastAsia="Arial" w:hAnsi="Arial"/>
          <w:sz w:val="13"/>
          <w:szCs w:val="13"/>
          <w:color w:val="auto"/>
        </w:rPr>
        <w:t>Detergents Inc.)</w:t>
      </w:r>
      <w:r>
        <w:rPr>
          <w:rFonts w:ascii="Arial" w:cs="Arial" w:eastAsia="Arial" w:hAnsi="Arial"/>
          <w:sz w:val="21"/>
          <w:szCs w:val="21"/>
          <w:color w:val="auto"/>
          <w:vertAlign w:val="superscript"/>
        </w:rPr>
        <w:t>(9), (10)</w:t>
      </w:r>
      <w:r>
        <w:rPr>
          <w:rFonts w:ascii="Arial" w:cs="Arial" w:eastAsia="Arial" w:hAnsi="Arial"/>
          <w:sz w:val="13"/>
          <w:szCs w:val="13"/>
          <w:color w:val="auto"/>
        </w:rPr>
        <w:t xml:space="preserve"> </w:t>
      </w:r>
      <w:r>
        <w:rPr>
          <w:rFonts w:ascii="Arial" w:cs="Arial" w:eastAsia="Arial" w:hAnsi="Arial"/>
          <w:sz w:val="13"/>
          <w:szCs w:val="13"/>
          <w:i w:val="1"/>
          <w:iCs w:val="1"/>
          <w:color w:val="auto"/>
        </w:rPr>
        <w:t>Consumer goods: Non-durable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Tank Partners Holdings,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Energy: Oil &amp; Gas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TPF II Power, LLC (TPF II Covert Midco,</w:t>
      </w:r>
    </w:p>
    <w:p>
      <w:pPr>
        <w:ind w:left="180"/>
        <w:spacing w:after="0" w:line="181" w:lineRule="auto"/>
        <w:rPr>
          <w:sz w:val="20"/>
          <w:szCs w:val="20"/>
          <w:color w:val="auto"/>
        </w:rPr>
      </w:pPr>
      <w:r>
        <w:rPr>
          <w:rFonts w:ascii="Arial" w:cs="Arial" w:eastAsia="Arial" w:hAnsi="Arial"/>
          <w:sz w:val="23"/>
          <w:szCs w:val="23"/>
          <w:color w:val="auto"/>
          <w:vertAlign w:val="subscript"/>
        </w:rPr>
        <w:t>LLC)</w:t>
      </w:r>
      <w:r>
        <w:rPr>
          <w:rFonts w:ascii="Arial" w:cs="Arial" w:eastAsia="Arial" w:hAnsi="Arial"/>
          <w:sz w:val="11"/>
          <w:szCs w:val="11"/>
          <w:color w:val="auto"/>
        </w:rPr>
        <w:t>(9), (10)</w:t>
      </w:r>
    </w:p>
    <w:p>
      <w:pPr>
        <w:ind w:left="180"/>
        <w:spacing w:after="0" w:line="234" w:lineRule="auto"/>
        <w:rPr>
          <w:sz w:val="20"/>
          <w:szCs w:val="20"/>
          <w:color w:val="auto"/>
        </w:rPr>
      </w:pPr>
      <w:r>
        <w:rPr>
          <w:rFonts w:ascii="Arial" w:cs="Arial" w:eastAsia="Arial" w:hAnsi="Arial"/>
          <w:sz w:val="14"/>
          <w:szCs w:val="14"/>
          <w:i w:val="1"/>
          <w:iCs w:val="1"/>
          <w:color w:val="auto"/>
        </w:rPr>
        <w:t>Utilities: Electric</w:t>
      </w:r>
    </w:p>
    <w:p>
      <w:pPr>
        <w:spacing w:after="0" w:line="180" w:lineRule="auto"/>
        <w:rPr>
          <w:sz w:val="20"/>
          <w:szCs w:val="20"/>
          <w:color w:val="auto"/>
        </w:rPr>
      </w:pPr>
      <w:r>
        <w:rPr>
          <w:rFonts w:ascii="Arial" w:cs="Arial" w:eastAsia="Arial" w:hAnsi="Arial"/>
          <w:sz w:val="13"/>
          <w:szCs w:val="13"/>
          <w:color w:val="auto"/>
        </w:rPr>
        <w:t>Trimaran Advisors, L.L.C.</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Related Party Loan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280" w:type="dxa"/>
            <w:vAlign w:val="bottom"/>
          </w:tcPr>
          <w:p>
            <w:pPr>
              <w:ind w:left="84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tcPr>
          <w:p>
            <w:pPr>
              <w:ind w:left="46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tcPr>
          <w:p>
            <w:pPr>
              <w:ind w:left="100"/>
              <w:spacing w:after="0" w:line="123"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6/22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3,482,500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3,494,086</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3,359,916</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3"/>
              </w:rPr>
              <w:t>Senior Secured Loan — Tranche B-2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7.5%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972,650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965,333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893,865</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9.5%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1,932,311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1,932,311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1,823,329</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 2013)</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6/19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1,856,203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1,861,076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1,681,414</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 B</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6/20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2,754,168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2,736,134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2,604,892</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9/20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3,818,571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3,788,271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3,813,225</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6/21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1,976,345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1,907,614</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11/22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3,465,576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3,465,000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3,004,650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2,978,349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3,000,744</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A</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5/20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3,940,026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3,918,354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3,937,662</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2,484,375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2,472,795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2,324,381</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11.3% Cash, Due 9/19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6,654,533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6,235,020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 B</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3.8% Cash, 0.8%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7/21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2,962,406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2,930,614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2,947,890</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11/20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2,708,992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2,699,558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1,907,130</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7.5%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8/21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2,854,780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2,835,003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2,736,307</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9"/>
              </w:rPr>
              <w:t>Senior Secured Loan — Tranche B</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3/20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3,882,654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3,863,759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3,657,460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6.6% Cash, 3.5% PIK, 3.0% Libor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Floor, Due 8/19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10,759,919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10,624,515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8,177,538</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10/21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2,950,953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2,973,524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2,899,311</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Unsecured Loan —</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Revolving Credit Facility</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9.0% Cash, Due 11/17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23,000,000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-6689725</wp:posOffset>
            </wp:positionV>
            <wp:extent cx="5213985" cy="3771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-5934710</wp:posOffset>
            </wp:positionV>
            <wp:extent cx="5213985" cy="3771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-5180330</wp:posOffset>
            </wp:positionV>
            <wp:extent cx="5213985" cy="3771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-4425315</wp:posOffset>
            </wp:positionV>
            <wp:extent cx="5213985" cy="3771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-3670935</wp:posOffset>
            </wp:positionV>
            <wp:extent cx="5213985" cy="3771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-2915920</wp:posOffset>
            </wp:positionV>
            <wp:extent cx="5213985" cy="3771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-2255520</wp:posOffset>
            </wp:positionV>
            <wp:extent cx="5213985" cy="3771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-1569720</wp:posOffset>
            </wp:positionV>
            <wp:extent cx="5213985" cy="3086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-883920</wp:posOffset>
            </wp:positionV>
            <wp:extent cx="5213985" cy="283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-292100</wp:posOffset>
            </wp:positionV>
            <wp:extent cx="5213985" cy="283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-6946900</wp:posOffset>
            </wp:positionV>
            <wp:extent cx="34645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105410</wp:posOffset>
            </wp:positionV>
            <wp:extent cx="6114415" cy="596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2460" w:space="280"/>
            <w:col w:w="7339"/>
          </w:cols>
          <w:pgMar w:left="380" w:top="792" w:right="1440"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0939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64655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4"/>
          <w:szCs w:val="14"/>
          <w:color w:val="auto"/>
        </w:rPr>
        <w:t>TRSO I,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Energy: Oil &amp; Gas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(9), (10)</w:t>
      </w:r>
    </w:p>
    <w:p>
      <w:pPr>
        <w:ind w:left="180"/>
        <w:spacing w:after="0" w:line="221" w:lineRule="auto"/>
        <w:rPr>
          <w:sz w:val="20"/>
          <w:szCs w:val="20"/>
          <w:color w:val="auto"/>
        </w:rPr>
      </w:pPr>
      <w:r>
        <w:rPr>
          <w:rFonts w:ascii="Arial" w:cs="Arial" w:eastAsia="Arial" w:hAnsi="Arial"/>
          <w:sz w:val="14"/>
          <w:szCs w:val="14"/>
          <w:i w:val="1"/>
          <w:iCs w:val="1"/>
          <w:color w:val="auto"/>
        </w:rPr>
        <w:t>Media: Broadcasting &amp;</w:t>
      </w:r>
    </w:p>
    <w:p>
      <w:pPr>
        <w:ind w:left="180"/>
        <w:spacing w:after="0"/>
        <w:rPr>
          <w:sz w:val="20"/>
          <w:szCs w:val="20"/>
          <w:color w:val="auto"/>
        </w:rPr>
      </w:pPr>
      <w:r>
        <w:rPr>
          <w:rFonts w:ascii="Arial" w:cs="Arial" w:eastAsia="Arial" w:hAnsi="Arial"/>
          <w:sz w:val="14"/>
          <w:szCs w:val="14"/>
          <w:i w:val="1"/>
          <w:iCs w:val="1"/>
          <w:color w:val="auto"/>
        </w:rPr>
        <w:t>Subscription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U.S. Shipping Corp (fka U.S. Shipping</w:t>
      </w:r>
    </w:p>
    <w:p>
      <w:pPr>
        <w:ind w:left="180"/>
        <w:spacing w:after="0" w:line="187" w:lineRule="auto"/>
        <w:rPr>
          <w:sz w:val="20"/>
          <w:szCs w:val="20"/>
          <w:color w:val="auto"/>
        </w:rPr>
      </w:pPr>
      <w:r>
        <w:rPr>
          <w:rFonts w:ascii="Arial" w:cs="Arial" w:eastAsia="Arial" w:hAnsi="Arial"/>
          <w:sz w:val="13"/>
          <w:szCs w:val="13"/>
          <w:color w:val="auto"/>
        </w:rPr>
        <w:t>Partners LP)</w:t>
      </w:r>
      <w:r>
        <w:rPr>
          <w:rFonts w:ascii="Arial" w:cs="Arial" w:eastAsia="Arial" w:hAnsi="Arial"/>
          <w:sz w:val="21"/>
          <w:szCs w:val="21"/>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USJ-IMECO Holding Company, LLC</w:t>
      </w:r>
      <w:r>
        <w:rPr>
          <w:rFonts w:ascii="Arial" w:cs="Arial" w:eastAsia="Arial" w:hAnsi="Arial"/>
          <w:sz w:val="22"/>
          <w:szCs w:val="22"/>
          <w:color w:val="auto"/>
          <w:vertAlign w:val="superscript"/>
        </w:rPr>
        <w:t>(9),</w:t>
      </w:r>
    </w:p>
    <w:p>
      <w:pPr>
        <w:ind w:left="180"/>
        <w:spacing w:after="0"/>
        <w:rPr>
          <w:sz w:val="20"/>
          <w:szCs w:val="20"/>
          <w:color w:val="auto"/>
        </w:rPr>
      </w:pPr>
      <w:r>
        <w:rPr>
          <w:rFonts w:ascii="Arial" w:cs="Arial" w:eastAsia="Arial" w:hAnsi="Arial"/>
          <w:sz w:val="12"/>
          <w:szCs w:val="12"/>
          <w:color w:val="auto"/>
        </w:rPr>
        <w:t>(10)</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Transportation: Cargo</w:t>
      </w:r>
    </w:p>
    <w:p>
      <w:pPr>
        <w:ind w:left="180" w:right="180" w:hanging="179"/>
        <w:spacing w:after="0" w:line="190" w:lineRule="auto"/>
        <w:rPr>
          <w:sz w:val="20"/>
          <w:szCs w:val="20"/>
          <w:color w:val="auto"/>
        </w:rPr>
      </w:pPr>
      <w:r>
        <w:rPr>
          <w:rFonts w:ascii="Arial" w:cs="Arial" w:eastAsia="Arial" w:hAnsi="Arial"/>
          <w:sz w:val="14"/>
          <w:szCs w:val="14"/>
          <w:color w:val="auto"/>
        </w:rPr>
        <w:t>Vantiv, LLC (fka Fifth Third Processing Solutions, LLC)</w:t>
      </w:r>
      <w:r>
        <w:rPr>
          <w:rFonts w:ascii="Arial" w:cs="Arial" w:eastAsia="Arial" w:hAnsi="Arial"/>
          <w:sz w:val="23"/>
          <w:szCs w:val="23"/>
          <w:color w:val="auto"/>
          <w:vertAlign w:val="superscript"/>
        </w:rPr>
        <w:t>(10)</w:t>
      </w:r>
    </w:p>
    <w:p>
      <w:pPr>
        <w:spacing w:after="0" w:line="1" w:lineRule="exact"/>
        <w:rPr>
          <w:sz w:val="20"/>
          <w:szCs w:val="20"/>
          <w:color w:val="auto"/>
        </w:rPr>
      </w:pPr>
    </w:p>
    <w:p>
      <w:pPr>
        <w:ind w:left="180" w:right="180"/>
        <w:spacing w:after="0" w:line="227" w:lineRule="auto"/>
        <w:rPr>
          <w:sz w:val="20"/>
          <w:szCs w:val="20"/>
          <w:color w:val="auto"/>
        </w:rPr>
      </w:pPr>
      <w:r>
        <w:rPr>
          <w:rFonts w:ascii="Arial" w:cs="Arial" w:eastAsia="Arial" w:hAnsi="Arial"/>
          <w:sz w:val="14"/>
          <w:szCs w:val="14"/>
          <w:i w:val="1"/>
          <w:iCs w:val="1"/>
          <w:color w:val="auto"/>
        </w:rPr>
        <w:t>Banking, Finance, Insurance &amp; Real Estate</w:t>
      </w:r>
    </w:p>
    <w:p>
      <w:pPr>
        <w:spacing w:after="0" w:line="180" w:lineRule="auto"/>
        <w:rPr>
          <w:sz w:val="20"/>
          <w:szCs w:val="20"/>
          <w:color w:val="auto"/>
        </w:rPr>
      </w:pPr>
      <w:r>
        <w:rPr>
          <w:rFonts w:ascii="Arial" w:cs="Arial" w:eastAsia="Arial" w:hAnsi="Arial"/>
          <w:sz w:val="13"/>
          <w:szCs w:val="13"/>
          <w:color w:val="auto"/>
        </w:rPr>
        <w:t>Verdesian Life Sciences, LLC</w:t>
      </w:r>
      <w:r>
        <w:rPr>
          <w:rFonts w:ascii="Arial" w:cs="Arial" w:eastAsia="Arial" w:hAnsi="Arial"/>
          <w:sz w:val="21"/>
          <w:szCs w:val="21"/>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Vestcom International, Inc. (fka Vector</w:t>
      </w:r>
    </w:p>
    <w:p>
      <w:pPr>
        <w:ind w:left="180"/>
        <w:spacing w:after="0" w:line="187" w:lineRule="auto"/>
        <w:rPr>
          <w:sz w:val="20"/>
          <w:szCs w:val="20"/>
          <w:color w:val="auto"/>
        </w:rPr>
      </w:pPr>
      <w:r>
        <w:rPr>
          <w:rFonts w:ascii="Arial" w:cs="Arial" w:eastAsia="Arial" w:hAnsi="Arial"/>
          <w:sz w:val="13"/>
          <w:szCs w:val="13"/>
          <w:color w:val="auto"/>
        </w:rPr>
        <w:t>Investment Holdings, Inc.)</w:t>
      </w:r>
      <w:r>
        <w:rPr>
          <w:rFonts w:ascii="Arial" w:cs="Arial" w:eastAsia="Arial" w:hAnsi="Arial"/>
          <w:sz w:val="21"/>
          <w:szCs w:val="21"/>
          <w:color w:val="auto"/>
          <w:vertAlign w:val="superscript"/>
        </w:rPr>
        <w:t>(9), (10)</w:t>
      </w:r>
    </w:p>
    <w:p>
      <w:pPr>
        <w:ind w:left="180"/>
        <w:spacing w:after="0" w:line="233" w:lineRule="auto"/>
        <w:rPr>
          <w:sz w:val="20"/>
          <w:szCs w:val="20"/>
          <w:color w:val="auto"/>
        </w:rPr>
      </w:pPr>
      <w:r>
        <w:rPr>
          <w:rFonts w:ascii="Arial" w:cs="Arial" w:eastAsia="Arial" w:hAnsi="Arial"/>
          <w:sz w:val="14"/>
          <w:szCs w:val="14"/>
          <w:i w:val="1"/>
          <w:iCs w:val="1"/>
          <w:color w:val="auto"/>
        </w:rPr>
        <w:t>Retail</w:t>
      </w:r>
    </w:p>
    <w:p>
      <w:pPr>
        <w:spacing w:after="0" w:line="180" w:lineRule="auto"/>
        <w:rPr>
          <w:sz w:val="20"/>
          <w:szCs w:val="20"/>
          <w:color w:val="auto"/>
        </w:rPr>
      </w:pPr>
      <w:r>
        <w:rPr>
          <w:rFonts w:ascii="Arial" w:cs="Arial" w:eastAsia="Arial" w:hAnsi="Arial"/>
          <w:sz w:val="13"/>
          <w:szCs w:val="13"/>
          <w:color w:val="auto"/>
        </w:rPr>
        <w:t>Weiman Products, LLC</w:t>
      </w:r>
      <w:r>
        <w:rPr>
          <w:rFonts w:ascii="Arial" w:cs="Arial" w:eastAsia="Arial" w:hAnsi="Arial"/>
          <w:sz w:val="21"/>
          <w:szCs w:val="21"/>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WireCo WorldGroup Inc.</w:t>
      </w:r>
      <w:r>
        <w:rPr>
          <w:rFonts w:ascii="Arial" w:cs="Arial" w:eastAsia="Arial" w:hAnsi="Arial"/>
          <w:sz w:val="23"/>
          <w:szCs w:val="23"/>
          <w:color w:val="auto"/>
          <w:vertAlign w:val="superscript"/>
        </w:rPr>
        <w:t>(9)</w:t>
      </w:r>
    </w:p>
    <w:p>
      <w:pPr>
        <w:ind w:left="180"/>
        <w:spacing w:after="0" w:line="233" w:lineRule="auto"/>
        <w:rPr>
          <w:sz w:val="20"/>
          <w:szCs w:val="20"/>
          <w:color w:val="auto"/>
        </w:rPr>
      </w:pPr>
      <w:r>
        <w:rPr>
          <w:rFonts w:ascii="Arial" w:cs="Arial" w:eastAsia="Arial" w:hAnsi="Arial"/>
          <w:sz w:val="14"/>
          <w:szCs w:val="14"/>
          <w:i w:val="1"/>
          <w:iCs w:val="1"/>
          <w:color w:val="auto"/>
        </w:rPr>
        <w:t>Capital Equipment</w:t>
      </w:r>
    </w:p>
    <w:p>
      <w:pPr>
        <w:spacing w:after="0" w:line="180" w:lineRule="auto"/>
        <w:rPr>
          <w:sz w:val="20"/>
          <w:szCs w:val="20"/>
          <w:color w:val="auto"/>
        </w:rPr>
      </w:pPr>
      <w:r>
        <w:rPr>
          <w:rFonts w:ascii="Arial" w:cs="Arial" w:eastAsia="Arial" w:hAnsi="Arial"/>
          <w:sz w:val="13"/>
          <w:szCs w:val="13"/>
          <w:color w:val="auto"/>
        </w:rPr>
        <w:t>WireCo WorldGroup Inc.</w:t>
      </w:r>
      <w:r>
        <w:rPr>
          <w:rFonts w:ascii="Arial" w:cs="Arial" w:eastAsia="Arial" w:hAnsi="Arial"/>
          <w:sz w:val="21"/>
          <w:szCs w:val="21"/>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1" w:lineRule="exact"/>
        <w:rPr>
          <w:sz w:val="20"/>
          <w:szCs w:val="20"/>
          <w:color w:val="auto"/>
        </w:rPr>
      </w:pPr>
    </w:p>
    <w:p>
      <w:pPr>
        <w:ind w:left="180" w:hanging="179"/>
        <w:spacing w:after="0" w:line="314" w:lineRule="auto"/>
        <w:rPr>
          <w:sz w:val="20"/>
          <w:szCs w:val="20"/>
          <w:color w:val="auto"/>
        </w:rPr>
      </w:pPr>
      <w:r>
        <w:rPr>
          <w:rFonts w:ascii="Arial" w:cs="Arial" w:eastAsia="Arial" w:hAnsi="Arial"/>
          <w:sz w:val="12"/>
          <w:szCs w:val="12"/>
          <w:b w:val="1"/>
          <w:bCs w:val="1"/>
          <w:color w:val="auto"/>
        </w:rPr>
        <w:t>Total Investment in Debt Securities (132% of net asset value at fair value)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280" w:type="dxa"/>
            <w:vAlign w:val="bottom"/>
          </w:tcPr>
          <w:p>
            <w:pPr>
              <w:ind w:left="84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tcPr>
          <w:p>
            <w:pPr>
              <w:ind w:left="46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tcPr>
          <w:p>
            <w:pPr>
              <w:ind w:left="100"/>
              <w:spacing w:after="0" w:line="123"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11.0% 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12/17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992,101</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950,300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 B-1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0.8%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2/20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822,470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827,875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822,470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3"/>
              </w:rPr>
              <w:t>Senior Secured Loan — Tranche B-2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6/21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1,411,023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1,409,966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1,405,802</w:t>
            </w:r>
          </w:p>
        </w:tc>
        <w:tc>
          <w:tcPr>
            <w:tcW w:w="0" w:type="dxa"/>
            <w:vAlign w:val="bottom"/>
          </w:tcPr>
          <w:p>
            <w:pPr>
              <w:spacing w:after="0"/>
              <w:rPr>
                <w:sz w:val="1"/>
                <w:szCs w:val="1"/>
                <w:color w:val="auto"/>
              </w:rPr>
            </w:pPr>
          </w:p>
        </w:tc>
      </w:tr>
      <w:tr>
        <w:trPr>
          <w:trHeight w:val="169"/>
        </w:trPr>
        <w:tc>
          <w:tcPr>
            <w:tcW w:w="2280" w:type="dxa"/>
            <w:vAlign w:val="bottom"/>
          </w:tcPr>
          <w:p>
            <w:pPr>
              <w:ind w:left="100"/>
              <w:spacing w:after="0"/>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7.0% 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4/20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3,930,000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3,915,823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3,928,428</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rPr>
              <w:t>Senior Secured Loan — Term B</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3.8% Cash, 0.8%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6/21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1,688,507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1,692,039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1,685,333</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7/20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3,981,279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3,937,250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3,784,206</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9/21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2,989,755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3,006,198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2,860,598</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6.3% 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1,106,050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1,099,501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1,105,829</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6.3% 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11/18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5,515,079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5,482,956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5,513,976</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rPr>
              <w:t>Senior Unsecured Bond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9.0% Cash, Due 5/17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4,975,822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4,067,500</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rPr>
              <w:t>Senior Unsecured Bond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100"/>
              <w:spacing w:after="0"/>
              <w:rPr>
                <w:sz w:val="20"/>
                <w:szCs w:val="20"/>
                <w:color w:val="auto"/>
              </w:rPr>
            </w:pPr>
            <w:r>
              <w:rPr>
                <w:rFonts w:ascii="Arial" w:cs="Arial" w:eastAsia="Arial" w:hAnsi="Arial"/>
                <w:sz w:val="14"/>
                <w:szCs w:val="14"/>
                <w:color w:val="auto"/>
              </w:rPr>
              <w:t>9.0% Cash, Due 5/17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3,000,000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3,043,520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2,440,500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2"/>
              </w:rPr>
              <w:t>299,940,657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2"/>
              </w:rPr>
              <w:t>298,308,845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284,639,244</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-3738245</wp:posOffset>
            </wp:positionV>
            <wp:extent cx="5213985" cy="3771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-2983865</wp:posOffset>
            </wp:positionV>
            <wp:extent cx="5213985" cy="3771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-2289175</wp:posOffset>
            </wp:positionV>
            <wp:extent cx="5213985" cy="4032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-1508760</wp:posOffset>
            </wp:positionV>
            <wp:extent cx="5213985" cy="3086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-916940</wp:posOffset>
            </wp:positionV>
            <wp:extent cx="5213985" cy="283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-419735</wp:posOffset>
            </wp:positionV>
            <wp:extent cx="5213985" cy="420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3985" cy="4203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-3995420</wp:posOffset>
            </wp:positionV>
            <wp:extent cx="34645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105410</wp:posOffset>
            </wp:positionV>
            <wp:extent cx="6114415" cy="596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2480" w:space="260"/>
            <w:col w:w="7339"/>
          </w:cols>
          <w:pgMar w:left="380" w:top="792" w:right="1440" w:bottom="1440" w:gutter="0" w:footer="0" w:header="0"/>
        </w:sectPr>
      </w:pPr>
    </w:p>
    <w:bookmarkStart w:id="99" w:name="page100"/>
    <w:bookmarkEnd w:id="9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Company/Principal Business</w:t>
            </w:r>
          </w:p>
        </w:tc>
        <w:tc>
          <w:tcPr>
            <w:tcW w:w="160" w:type="dxa"/>
            <w:vAlign w:val="bottom"/>
          </w:tcPr>
          <w:p>
            <w:pPr>
              <w:spacing w:after="0"/>
              <w:rPr>
                <w:sz w:val="14"/>
                <w:szCs w:val="14"/>
                <w:color w:val="auto"/>
              </w:rPr>
            </w:pPr>
          </w:p>
        </w:tc>
        <w:tc>
          <w:tcPr>
            <w:tcW w:w="19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Interest/Shares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20"/>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 Interests</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Series A Preferred Interests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250,960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937,053</w:t>
            </w:r>
          </w:p>
        </w:tc>
        <w:tc>
          <w:tcPr>
            <w:tcW w:w="0" w:type="dxa"/>
            <w:vAlign w:val="bottom"/>
          </w:tcPr>
          <w:p>
            <w:pPr>
              <w:spacing w:after="0"/>
              <w:rPr>
                <w:sz w:val="1"/>
                <w:szCs w:val="1"/>
                <w:color w:val="auto"/>
              </w:rPr>
            </w:pPr>
          </w:p>
        </w:tc>
      </w:tr>
      <w:tr>
        <w:trPr>
          <w:trHeight w:val="140"/>
        </w:trPr>
        <w:tc>
          <w:tcPr>
            <w:tcW w:w="280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Caribe Media Inc. (fka Caribe Information</w:t>
            </w: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200"/>
              <w:spacing w:after="0" w:line="179" w:lineRule="exact"/>
              <w:rPr>
                <w:sz w:val="20"/>
                <w:szCs w:val="20"/>
                <w:color w:val="auto"/>
              </w:rPr>
            </w:pPr>
            <w:r>
              <w:rPr>
                <w:rFonts w:ascii="Arial" w:cs="Arial" w:eastAsia="Arial" w:hAnsi="Arial"/>
                <w:sz w:val="13"/>
                <w:szCs w:val="13"/>
                <w:color w:val="auto"/>
              </w:rPr>
              <w:t>Investments Incorporated)</w:t>
            </w:r>
            <w:r>
              <w:rPr>
                <w:rFonts w:ascii="Arial" w:cs="Arial" w:eastAsia="Arial" w:hAnsi="Arial"/>
                <w:sz w:val="20"/>
                <w:szCs w:val="20"/>
                <w:color w:val="auto"/>
                <w:vertAlign w:val="superscript"/>
              </w:rPr>
              <w:t>(5), (9)</w:t>
            </w:r>
          </w:p>
        </w:tc>
        <w:tc>
          <w:tcPr>
            <w:tcW w:w="1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Media: Advertising, Printing &amp; Publishing</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359,765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568,544</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DBI Holding LLC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Services: Business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Warrants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258,940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4,316,159</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Services: Business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Membership Units</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1,079,617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FP WRCA Coinvestment Fund VII,</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Ltd.</w:t>
            </w:r>
            <w:r>
              <w:rPr>
                <w:rFonts w:ascii="Arial" w:cs="Arial" w:eastAsia="Arial" w:hAnsi="Arial"/>
                <w:sz w:val="10"/>
                <w:szCs w:val="10"/>
                <w:color w:val="auto"/>
              </w:rPr>
              <w:t>(3), (5)</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Capital Equipment</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Shares</w:t>
            </w: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1,500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1,338,767</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Hotel, Gaming &amp; Leisure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Roscoe Investors, LLC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Units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863,000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(5), (9), (12)</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Warrants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185,205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1,074,480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New Millennium Holdco, Inc. (Millennium</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13"/>
                <w:szCs w:val="13"/>
                <w:color w:val="auto"/>
              </w:rPr>
              <w:t>Health, LLC)</w:t>
            </w:r>
            <w:r>
              <w:rPr>
                <w:rFonts w:ascii="Arial" w:cs="Arial" w:eastAsia="Arial" w:hAnsi="Arial"/>
                <w:sz w:val="20"/>
                <w:szCs w:val="20"/>
                <w:color w:val="auto"/>
                <w:vertAlign w:val="superscript"/>
              </w:rPr>
              <w:t>(5), (9)</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1,953,299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445,485</w:t>
            </w:r>
          </w:p>
        </w:tc>
        <w:tc>
          <w:tcPr>
            <w:tcW w:w="0" w:type="dxa"/>
            <w:vAlign w:val="bottom"/>
          </w:tcPr>
          <w:p>
            <w:pPr>
              <w:spacing w:after="0"/>
              <w:rPr>
                <w:sz w:val="1"/>
                <w:szCs w:val="1"/>
                <w:color w:val="auto"/>
              </w:rPr>
            </w:pPr>
          </w:p>
        </w:tc>
      </w:tr>
      <w:tr>
        <w:trPr>
          <w:trHeight w:val="119"/>
        </w:trPr>
        <w:tc>
          <w:tcPr>
            <w:tcW w:w="28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Investment in Equity Securities (4% of</w:t>
            </w:r>
          </w:p>
        </w:tc>
        <w:tc>
          <w:tcPr>
            <w:tcW w:w="16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net asset value at fair value)</w:t>
            </w:r>
          </w:p>
        </w:tc>
        <w:tc>
          <w:tcPr>
            <w:tcW w:w="16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10,467,786</w:t>
            </w: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9,548,488</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0" w:name="page101"/>
    <w:bookmarkEnd w:id="10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Fund Securities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14"/>
                <w:szCs w:val="14"/>
                <w:color w:val="auto"/>
              </w:rPr>
            </w:pPr>
          </w:p>
        </w:tc>
        <w:tc>
          <w:tcPr>
            <w:tcW w:w="22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CEEFF"/>
          </w:tcPr>
          <w:p>
            <w:pPr>
              <w:ind w:left="20"/>
              <w:spacing w:after="0" w:line="197" w:lineRule="exact"/>
              <w:rPr>
                <w:sz w:val="20"/>
                <w:szCs w:val="20"/>
                <w:color w:val="auto"/>
              </w:rPr>
            </w:pPr>
            <w:r>
              <w:rPr>
                <w:rFonts w:ascii="Arial" w:cs="Arial" w:eastAsia="Arial" w:hAnsi="Arial"/>
                <w:sz w:val="14"/>
                <w:szCs w:val="14"/>
                <w:color w:val="auto"/>
              </w:rPr>
              <w:t>Grant Grove CLO, Ltd.</w:t>
            </w:r>
            <w:r>
              <w:rPr>
                <w:rFonts w:ascii="Arial" w:cs="Arial" w:eastAsia="Arial" w:hAnsi="Arial"/>
                <w:sz w:val="22"/>
                <w:szCs w:val="22"/>
                <w:color w:val="auto"/>
                <w:vertAlign w:val="superscript"/>
              </w:rPr>
              <w:t>(3)</w:t>
            </w: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Subordinated Securities,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effective interest 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1/21 maturity</w:t>
            </w:r>
          </w:p>
        </w:tc>
        <w:tc>
          <w:tcPr>
            <w:tcW w:w="10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22.2%</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$ 2,484,943</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280,164</w:t>
            </w: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5"/>
                <w:szCs w:val="15"/>
                <w:color w:val="auto"/>
              </w:rPr>
              <w:t>Katonah III, Ltd.</w:t>
            </w:r>
            <w:r>
              <w:rPr>
                <w:rFonts w:ascii="Arial" w:cs="Arial" w:eastAsia="Arial" w:hAnsi="Arial"/>
                <w:sz w:val="23"/>
                <w:szCs w:val="23"/>
                <w:color w:val="auto"/>
                <w:vertAlign w:val="superscript"/>
              </w:rPr>
              <w:t>(3)</w:t>
            </w:r>
          </w:p>
        </w:tc>
        <w:tc>
          <w:tcPr>
            <w:tcW w:w="8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Preferred Shares, effective</w:t>
            </w:r>
          </w:p>
        </w:tc>
        <w:tc>
          <w:tcPr>
            <w:tcW w:w="1000" w:type="dxa"/>
            <w:vAlign w:val="bottom"/>
            <w:gridSpan w:val="3"/>
            <w:vMerge w:val="restart"/>
          </w:tcPr>
          <w:p>
            <w:pPr>
              <w:jc w:val="right"/>
              <w:ind w:right="108"/>
              <w:spacing w:after="0"/>
              <w:rPr>
                <w:sz w:val="20"/>
                <w:szCs w:val="20"/>
                <w:color w:val="auto"/>
              </w:rPr>
            </w:pPr>
            <w:r>
              <w:rPr>
                <w:rFonts w:ascii="Arial" w:cs="Arial" w:eastAsia="Arial" w:hAnsi="Arial"/>
                <w:sz w:val="18"/>
                <w:szCs w:val="18"/>
                <w:color w:val="auto"/>
              </w:rPr>
              <w:t>23.1%</w:t>
            </w:r>
          </w:p>
        </w:tc>
        <w:tc>
          <w:tcPr>
            <w:tcW w:w="1040" w:type="dxa"/>
            <w:vAlign w:val="bottom"/>
            <w:gridSpan w:val="5"/>
            <w:vMerge w:val="restart"/>
          </w:tcPr>
          <w:p>
            <w:pPr>
              <w:jc w:val="right"/>
              <w:ind w:right="40"/>
              <w:spacing w:after="0"/>
              <w:rPr>
                <w:sz w:val="20"/>
                <w:szCs w:val="20"/>
                <w:color w:val="auto"/>
              </w:rPr>
            </w:pPr>
            <w:r>
              <w:rPr>
                <w:rFonts w:ascii="Arial" w:cs="Arial" w:eastAsia="Arial" w:hAnsi="Arial"/>
                <w:sz w:val="18"/>
                <w:szCs w:val="18"/>
                <w:color w:val="auto"/>
              </w:rPr>
              <w:t>1,373,132</w:t>
            </w:r>
          </w:p>
        </w:tc>
        <w:tc>
          <w:tcPr>
            <w:tcW w:w="10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rPr>
              <w:t>interest N/M, 5/15 maturity</w:t>
            </w:r>
          </w:p>
        </w:tc>
        <w:tc>
          <w:tcPr>
            <w:tcW w:w="1000" w:type="dxa"/>
            <w:vAlign w:val="bottom"/>
            <w:gridSpan w:val="3"/>
            <w:vMerge w:val="continue"/>
          </w:tcPr>
          <w:p>
            <w:pPr>
              <w:spacing w:after="0"/>
              <w:rPr>
                <w:sz w:val="19"/>
                <w:szCs w:val="19"/>
                <w:color w:val="auto"/>
              </w:rPr>
            </w:pPr>
          </w:p>
        </w:tc>
        <w:tc>
          <w:tcPr>
            <w:tcW w:w="1040" w:type="dxa"/>
            <w:vAlign w:val="bottom"/>
            <w:gridSpan w:val="5"/>
            <w:vMerge w:val="continue"/>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
              <w:spacing w:after="0" w:line="202" w:lineRule="exact"/>
              <w:rPr>
                <w:sz w:val="20"/>
                <w:szCs w:val="20"/>
                <w:color w:val="auto"/>
              </w:rPr>
            </w:pPr>
            <w:r>
              <w:rPr>
                <w:rFonts w:ascii="Arial" w:cs="Arial" w:eastAsia="Arial" w:hAnsi="Arial"/>
                <w:sz w:val="15"/>
                <w:szCs w:val="15"/>
                <w:color w:val="auto"/>
              </w:rPr>
              <w:t>Katonah IX CLO Ltd</w:t>
            </w:r>
            <w:r>
              <w:rPr>
                <w:rFonts w:ascii="Arial" w:cs="Arial" w:eastAsia="Arial" w:hAnsi="Arial"/>
                <w:sz w:val="23"/>
                <w:szCs w:val="23"/>
                <w:color w:val="auto"/>
                <w:vertAlign w:val="superscript"/>
              </w:rPr>
              <w:t>(3), (6), (14)</w:t>
            </w: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Preferred Shares, effective</w:t>
            </w:r>
          </w:p>
        </w:tc>
        <w:tc>
          <w:tcPr>
            <w:tcW w:w="100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6.9%</w:t>
            </w:r>
          </w:p>
        </w:tc>
        <w:tc>
          <w:tcPr>
            <w:tcW w:w="1040" w:type="dxa"/>
            <w:vAlign w:val="bottom"/>
            <w:gridSpan w:val="5"/>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1,140,057</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interest 2.2%, 1/19 maturity</w:t>
            </w:r>
          </w:p>
        </w:tc>
        <w:tc>
          <w:tcPr>
            <w:tcW w:w="1000" w:type="dxa"/>
            <w:vAlign w:val="bottom"/>
            <w:gridSpan w:val="3"/>
            <w:vMerge w:val="continue"/>
            <w:shd w:val="clear" w:color="auto" w:fill="CCEEFF"/>
          </w:tcPr>
          <w:p>
            <w:pPr>
              <w:spacing w:after="0"/>
              <w:rPr>
                <w:sz w:val="19"/>
                <w:szCs w:val="19"/>
                <w:color w:val="auto"/>
              </w:rPr>
            </w:pPr>
          </w:p>
        </w:tc>
        <w:tc>
          <w:tcPr>
            <w:tcW w:w="1040" w:type="dxa"/>
            <w:vAlign w:val="bottom"/>
            <w:gridSpan w:val="5"/>
            <w:vMerge w:val="continue"/>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5"/>
                <w:szCs w:val="15"/>
                <w:color w:val="auto"/>
              </w:rPr>
              <w:t>Katonah X CLO Ltd</w:t>
            </w:r>
            <w:r>
              <w:rPr>
                <w:rFonts w:ascii="Arial" w:cs="Arial" w:eastAsia="Arial" w:hAnsi="Arial"/>
                <w:sz w:val="23"/>
                <w:szCs w:val="23"/>
                <w:color w:val="auto"/>
                <w:vertAlign w:val="superscript"/>
              </w:rPr>
              <w:t>(3), (6), (14)</w:t>
            </w:r>
          </w:p>
        </w:tc>
        <w:tc>
          <w:tcPr>
            <w:tcW w:w="8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rPr>
              <w:t>effective interest 12.8%,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rPr>
              <w:t>4/20 maturity</w:t>
            </w:r>
          </w:p>
        </w:tc>
        <w:tc>
          <w:tcPr>
            <w:tcW w:w="1000" w:type="dxa"/>
            <w:vAlign w:val="bottom"/>
            <w:gridSpan w:val="3"/>
          </w:tcPr>
          <w:p>
            <w:pPr>
              <w:jc w:val="right"/>
              <w:ind w:right="108"/>
              <w:spacing w:after="0"/>
              <w:rPr>
                <w:sz w:val="20"/>
                <w:szCs w:val="20"/>
                <w:color w:val="auto"/>
              </w:rPr>
            </w:pPr>
            <w:r>
              <w:rPr>
                <w:rFonts w:ascii="Arial" w:cs="Arial" w:eastAsia="Arial" w:hAnsi="Arial"/>
                <w:sz w:val="18"/>
                <w:szCs w:val="18"/>
                <w:color w:val="auto"/>
              </w:rPr>
              <w:t>33.3%</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7,637,499</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
              <w:spacing w:after="0" w:line="202" w:lineRule="exact"/>
              <w:rPr>
                <w:sz w:val="20"/>
                <w:szCs w:val="20"/>
                <w:color w:val="auto"/>
              </w:rPr>
            </w:pPr>
            <w:r>
              <w:rPr>
                <w:rFonts w:ascii="Arial" w:cs="Arial" w:eastAsia="Arial" w:hAnsi="Arial"/>
                <w:sz w:val="15"/>
                <w:szCs w:val="15"/>
                <w:color w:val="auto"/>
              </w:rPr>
              <w:t>Katonah 2007-I CLO Ltd.</w:t>
            </w:r>
            <w:r>
              <w:rPr>
                <w:rFonts w:ascii="Arial" w:cs="Arial" w:eastAsia="Arial" w:hAnsi="Arial"/>
                <w:sz w:val="23"/>
                <w:szCs w:val="23"/>
                <w:color w:val="auto"/>
                <w:vertAlign w:val="superscript"/>
              </w:rPr>
              <w:t>(3), (6)</w:t>
            </w: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Preferred Shares, effective</w:t>
            </w:r>
          </w:p>
        </w:tc>
        <w:tc>
          <w:tcPr>
            <w:tcW w:w="100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100%</w:t>
            </w:r>
          </w:p>
        </w:tc>
        <w:tc>
          <w:tcPr>
            <w:tcW w:w="1040" w:type="dxa"/>
            <w:vAlign w:val="bottom"/>
            <w:gridSpan w:val="5"/>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24,312,424</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20,295,677</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interest 27.0%, 4/22 maturity</w:t>
            </w:r>
          </w:p>
        </w:tc>
        <w:tc>
          <w:tcPr>
            <w:tcW w:w="1000" w:type="dxa"/>
            <w:vAlign w:val="bottom"/>
            <w:gridSpan w:val="3"/>
            <w:vMerge w:val="continue"/>
            <w:shd w:val="clear" w:color="auto" w:fill="CCEEFF"/>
          </w:tcPr>
          <w:p>
            <w:pPr>
              <w:spacing w:after="0"/>
              <w:rPr>
                <w:sz w:val="19"/>
                <w:szCs w:val="19"/>
                <w:color w:val="auto"/>
              </w:rPr>
            </w:pPr>
          </w:p>
        </w:tc>
        <w:tc>
          <w:tcPr>
            <w:tcW w:w="1040" w:type="dxa"/>
            <w:vAlign w:val="bottom"/>
            <w:gridSpan w:val="5"/>
            <w:vMerge w:val="continue"/>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5"/>
                <w:szCs w:val="15"/>
                <w:color w:val="auto"/>
              </w:rPr>
              <w:t>Trimaran CLO VII, Ltd.</w:t>
            </w:r>
            <w:r>
              <w:rPr>
                <w:rFonts w:ascii="Arial" w:cs="Arial" w:eastAsia="Arial" w:hAnsi="Arial"/>
                <w:sz w:val="23"/>
                <w:szCs w:val="23"/>
                <w:color w:val="auto"/>
                <w:vertAlign w:val="superscript"/>
              </w:rPr>
              <w:t>(3), (6)</w:t>
            </w:r>
          </w:p>
        </w:tc>
        <w:tc>
          <w:tcPr>
            <w:tcW w:w="8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Income Notes, effective</w:t>
            </w:r>
          </w:p>
        </w:tc>
        <w:tc>
          <w:tcPr>
            <w:tcW w:w="1000" w:type="dxa"/>
            <w:vAlign w:val="bottom"/>
            <w:gridSpan w:val="3"/>
            <w:vMerge w:val="restart"/>
          </w:tcPr>
          <w:p>
            <w:pPr>
              <w:jc w:val="right"/>
              <w:ind w:right="108"/>
              <w:spacing w:after="0"/>
              <w:rPr>
                <w:sz w:val="20"/>
                <w:szCs w:val="20"/>
                <w:color w:val="auto"/>
              </w:rPr>
            </w:pPr>
            <w:r>
              <w:rPr>
                <w:rFonts w:ascii="Arial" w:cs="Arial" w:eastAsia="Arial" w:hAnsi="Arial"/>
                <w:sz w:val="18"/>
                <w:szCs w:val="18"/>
                <w:color w:val="auto"/>
              </w:rPr>
              <w:t>10.5%</w:t>
            </w:r>
          </w:p>
        </w:tc>
        <w:tc>
          <w:tcPr>
            <w:tcW w:w="1040" w:type="dxa"/>
            <w:vAlign w:val="bottom"/>
            <w:gridSpan w:val="5"/>
            <w:vMerge w:val="restart"/>
          </w:tcPr>
          <w:p>
            <w:pPr>
              <w:jc w:val="right"/>
              <w:ind w:right="40"/>
              <w:spacing w:after="0"/>
              <w:rPr>
                <w:sz w:val="20"/>
                <w:szCs w:val="20"/>
                <w:color w:val="auto"/>
              </w:rPr>
            </w:pPr>
            <w:r>
              <w:rPr>
                <w:rFonts w:ascii="Arial" w:cs="Arial" w:eastAsia="Arial" w:hAnsi="Arial"/>
                <w:sz w:val="18"/>
                <w:szCs w:val="18"/>
                <w:color w:val="auto"/>
              </w:rPr>
              <w:t>1,375,013</w:t>
            </w:r>
          </w:p>
        </w:tc>
        <w:tc>
          <w:tcPr>
            <w:tcW w:w="10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1,647,272</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50.8%, 6/21 maturity</w:t>
            </w:r>
          </w:p>
        </w:tc>
        <w:tc>
          <w:tcPr>
            <w:tcW w:w="1000" w:type="dxa"/>
            <w:vAlign w:val="bottom"/>
            <w:gridSpan w:val="3"/>
            <w:vMerge w:val="continue"/>
          </w:tcPr>
          <w:p>
            <w:pPr>
              <w:spacing w:after="0"/>
              <w:rPr>
                <w:sz w:val="19"/>
                <w:szCs w:val="19"/>
                <w:color w:val="auto"/>
              </w:rPr>
            </w:pPr>
          </w:p>
        </w:tc>
        <w:tc>
          <w:tcPr>
            <w:tcW w:w="1040" w:type="dxa"/>
            <w:vAlign w:val="bottom"/>
            <w:gridSpan w:val="5"/>
            <w:vMerge w:val="continue"/>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
              <w:spacing w:after="0" w:line="202" w:lineRule="exact"/>
              <w:rPr>
                <w:sz w:val="20"/>
                <w:szCs w:val="20"/>
                <w:color w:val="auto"/>
              </w:rPr>
            </w:pPr>
            <w:r>
              <w:rPr>
                <w:rFonts w:ascii="Arial" w:cs="Arial" w:eastAsia="Arial" w:hAnsi="Arial"/>
                <w:sz w:val="15"/>
                <w:szCs w:val="15"/>
                <w:color w:val="auto"/>
              </w:rPr>
              <w:t>Catamaran CLO 2012-1 Ltd.</w:t>
            </w:r>
            <w:r>
              <w:rPr>
                <w:rFonts w:ascii="Arial" w:cs="Arial" w:eastAsia="Arial" w:hAnsi="Arial"/>
                <w:sz w:val="23"/>
                <w:szCs w:val="23"/>
                <w:color w:val="auto"/>
                <w:vertAlign w:val="superscript"/>
              </w:rPr>
              <w:t>(3), (6)</w:t>
            </w: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1"/>
              </w:rPr>
              <w:t>Subordinated Notes, effective</w:t>
            </w:r>
          </w:p>
        </w:tc>
        <w:tc>
          <w:tcPr>
            <w:tcW w:w="100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24.9%</w:t>
            </w:r>
          </w:p>
        </w:tc>
        <w:tc>
          <w:tcPr>
            <w:tcW w:w="1040" w:type="dxa"/>
            <w:vAlign w:val="bottom"/>
            <w:gridSpan w:val="5"/>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6,791,980</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3,312,940</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interest 2.8%, 12/23 maturity</w:t>
            </w:r>
          </w:p>
        </w:tc>
        <w:tc>
          <w:tcPr>
            <w:tcW w:w="1000" w:type="dxa"/>
            <w:vAlign w:val="bottom"/>
            <w:gridSpan w:val="3"/>
            <w:vMerge w:val="continue"/>
            <w:shd w:val="clear" w:color="auto" w:fill="CCEEFF"/>
          </w:tcPr>
          <w:p>
            <w:pPr>
              <w:spacing w:after="0"/>
              <w:rPr>
                <w:sz w:val="19"/>
                <w:szCs w:val="19"/>
                <w:color w:val="auto"/>
              </w:rPr>
            </w:pPr>
          </w:p>
        </w:tc>
        <w:tc>
          <w:tcPr>
            <w:tcW w:w="1040" w:type="dxa"/>
            <w:vAlign w:val="bottom"/>
            <w:gridSpan w:val="5"/>
            <w:vMerge w:val="continue"/>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5"/>
                <w:szCs w:val="15"/>
                <w:color w:val="auto"/>
              </w:rPr>
              <w:t>Catamaran CLO 2013-1 Ltd.</w:t>
            </w:r>
            <w:r>
              <w:rPr>
                <w:rFonts w:ascii="Arial" w:cs="Arial" w:eastAsia="Arial" w:hAnsi="Arial"/>
                <w:sz w:val="23"/>
                <w:szCs w:val="23"/>
                <w:color w:val="auto"/>
                <w:vertAlign w:val="superscript"/>
              </w:rPr>
              <w:t>(3), (6)</w:t>
            </w:r>
          </w:p>
        </w:tc>
        <w:tc>
          <w:tcPr>
            <w:tcW w:w="8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w w:val="91"/>
              </w:rPr>
              <w:t>Subordinated Notes, effective</w:t>
            </w:r>
          </w:p>
        </w:tc>
        <w:tc>
          <w:tcPr>
            <w:tcW w:w="1000" w:type="dxa"/>
            <w:vAlign w:val="bottom"/>
            <w:gridSpan w:val="3"/>
            <w:vMerge w:val="restart"/>
          </w:tcPr>
          <w:p>
            <w:pPr>
              <w:jc w:val="right"/>
              <w:ind w:right="108"/>
              <w:spacing w:after="0"/>
              <w:rPr>
                <w:sz w:val="20"/>
                <w:szCs w:val="20"/>
                <w:color w:val="auto"/>
              </w:rPr>
            </w:pPr>
            <w:r>
              <w:rPr>
                <w:rFonts w:ascii="Arial" w:cs="Arial" w:eastAsia="Arial" w:hAnsi="Arial"/>
                <w:sz w:val="18"/>
                <w:szCs w:val="18"/>
                <w:color w:val="auto"/>
              </w:rPr>
              <w:t>23.5%</w:t>
            </w:r>
          </w:p>
        </w:tc>
        <w:tc>
          <w:tcPr>
            <w:tcW w:w="1040" w:type="dxa"/>
            <w:vAlign w:val="bottom"/>
            <w:gridSpan w:val="5"/>
            <w:vMerge w:val="restart"/>
          </w:tcPr>
          <w:p>
            <w:pPr>
              <w:jc w:val="right"/>
              <w:ind w:right="40"/>
              <w:spacing w:after="0"/>
              <w:rPr>
                <w:sz w:val="20"/>
                <w:szCs w:val="20"/>
                <w:color w:val="auto"/>
              </w:rPr>
            </w:pPr>
            <w:r>
              <w:rPr>
                <w:rFonts w:ascii="Arial" w:cs="Arial" w:eastAsia="Arial" w:hAnsi="Arial"/>
                <w:sz w:val="18"/>
                <w:szCs w:val="18"/>
                <w:color w:val="auto"/>
              </w:rPr>
              <w:t>6,256,090</w:t>
            </w:r>
          </w:p>
        </w:tc>
        <w:tc>
          <w:tcPr>
            <w:tcW w:w="10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5,639,106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12.9%, 1/25 maturity</w:t>
            </w:r>
          </w:p>
        </w:tc>
        <w:tc>
          <w:tcPr>
            <w:tcW w:w="1000" w:type="dxa"/>
            <w:vAlign w:val="bottom"/>
            <w:gridSpan w:val="3"/>
            <w:vMerge w:val="continue"/>
          </w:tcPr>
          <w:p>
            <w:pPr>
              <w:spacing w:after="0"/>
              <w:rPr>
                <w:sz w:val="19"/>
                <w:szCs w:val="19"/>
                <w:color w:val="auto"/>
              </w:rPr>
            </w:pPr>
          </w:p>
        </w:tc>
        <w:tc>
          <w:tcPr>
            <w:tcW w:w="1040" w:type="dxa"/>
            <w:vAlign w:val="bottom"/>
            <w:gridSpan w:val="5"/>
            <w:vMerge w:val="continue"/>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
              <w:spacing w:after="0" w:line="202" w:lineRule="exact"/>
              <w:rPr>
                <w:sz w:val="20"/>
                <w:szCs w:val="20"/>
                <w:color w:val="auto"/>
              </w:rPr>
            </w:pPr>
            <w:r>
              <w:rPr>
                <w:rFonts w:ascii="Arial" w:cs="Arial" w:eastAsia="Arial" w:hAnsi="Arial"/>
                <w:sz w:val="15"/>
                <w:szCs w:val="15"/>
                <w:color w:val="auto"/>
              </w:rPr>
              <w:t>Catamaran CLO 2014-1 Ltd.</w:t>
            </w:r>
            <w:r>
              <w:rPr>
                <w:rFonts w:ascii="Arial" w:cs="Arial" w:eastAsia="Arial" w:hAnsi="Arial"/>
                <w:sz w:val="23"/>
                <w:szCs w:val="23"/>
                <w:color w:val="auto"/>
                <w:vertAlign w:val="superscript"/>
              </w:rPr>
              <w:t>(3), (6)</w:t>
            </w: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1"/>
              </w:rPr>
              <w:t>Subordinated Notes, effective</w:t>
            </w:r>
          </w:p>
        </w:tc>
        <w:tc>
          <w:tcPr>
            <w:tcW w:w="100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24.9%</w:t>
            </w:r>
          </w:p>
        </w:tc>
        <w:tc>
          <w:tcPr>
            <w:tcW w:w="1040" w:type="dxa"/>
            <w:vAlign w:val="bottom"/>
            <w:gridSpan w:val="5"/>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8,928,790</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5,846,325</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interest 8.4%, 4/26 maturity</w:t>
            </w:r>
          </w:p>
        </w:tc>
        <w:tc>
          <w:tcPr>
            <w:tcW w:w="1000" w:type="dxa"/>
            <w:vAlign w:val="bottom"/>
            <w:gridSpan w:val="3"/>
            <w:vMerge w:val="continue"/>
            <w:shd w:val="clear" w:color="auto" w:fill="CCEEFF"/>
          </w:tcPr>
          <w:p>
            <w:pPr>
              <w:spacing w:after="0"/>
              <w:rPr>
                <w:sz w:val="19"/>
                <w:szCs w:val="19"/>
                <w:color w:val="auto"/>
              </w:rPr>
            </w:pPr>
          </w:p>
        </w:tc>
        <w:tc>
          <w:tcPr>
            <w:tcW w:w="1040" w:type="dxa"/>
            <w:vAlign w:val="bottom"/>
            <w:gridSpan w:val="5"/>
            <w:vMerge w:val="continue"/>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5"/>
                <w:szCs w:val="15"/>
                <w:color w:val="auto"/>
              </w:rPr>
              <w:t>Dryden 30 Senior Loan Fund</w:t>
            </w:r>
            <w:r>
              <w:rPr>
                <w:rFonts w:ascii="Arial" w:cs="Arial" w:eastAsia="Arial" w:hAnsi="Arial"/>
                <w:sz w:val="23"/>
                <w:szCs w:val="23"/>
                <w:color w:val="auto"/>
                <w:vertAlign w:val="superscript"/>
              </w:rPr>
              <w:t>(3)</w:t>
            </w:r>
          </w:p>
        </w:tc>
        <w:tc>
          <w:tcPr>
            <w:tcW w:w="8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rPr>
              <w:t>interest 29.4%, 11/25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000" w:type="dxa"/>
            <w:vAlign w:val="bottom"/>
            <w:gridSpan w:val="3"/>
          </w:tcPr>
          <w:p>
            <w:pPr>
              <w:jc w:val="right"/>
              <w:ind w:right="108"/>
              <w:spacing w:after="0"/>
              <w:rPr>
                <w:sz w:val="20"/>
                <w:szCs w:val="20"/>
                <w:color w:val="auto"/>
              </w:rPr>
            </w:pPr>
            <w:r>
              <w:rPr>
                <w:rFonts w:ascii="Arial" w:cs="Arial" w:eastAsia="Arial" w:hAnsi="Arial"/>
                <w:sz w:val="18"/>
                <w:szCs w:val="18"/>
                <w:color w:val="auto"/>
              </w:rPr>
              <w:t>7.5%</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1,592,303</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1,634,647</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
              <w:spacing w:after="0" w:line="202" w:lineRule="exact"/>
              <w:rPr>
                <w:sz w:val="20"/>
                <w:szCs w:val="20"/>
                <w:color w:val="auto"/>
              </w:rPr>
            </w:pPr>
            <w:r>
              <w:rPr>
                <w:rFonts w:ascii="Arial" w:cs="Arial" w:eastAsia="Arial" w:hAnsi="Arial"/>
                <w:sz w:val="15"/>
                <w:szCs w:val="15"/>
                <w:color w:val="auto"/>
              </w:rPr>
              <w:t>Catamaran CLO 2014-2 Ltd.</w:t>
            </w:r>
            <w:r>
              <w:rPr>
                <w:rFonts w:ascii="Arial" w:cs="Arial" w:eastAsia="Arial" w:hAnsi="Arial"/>
                <w:sz w:val="23"/>
                <w:szCs w:val="23"/>
                <w:color w:val="auto"/>
                <w:vertAlign w:val="superscript"/>
              </w:rPr>
              <w:t>(3), (6)</w:t>
            </w: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1"/>
              </w:rPr>
              <w:t>Subordinated Notes, effective</w:t>
            </w:r>
          </w:p>
        </w:tc>
        <w:tc>
          <w:tcPr>
            <w:tcW w:w="100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24.9%</w:t>
            </w:r>
          </w:p>
        </w:tc>
        <w:tc>
          <w:tcPr>
            <w:tcW w:w="1040" w:type="dxa"/>
            <w:vAlign w:val="bottom"/>
            <w:gridSpan w:val="5"/>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8,024,168</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5,751,600</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interest 8.8%, 10/26 maturity</w:t>
            </w:r>
          </w:p>
        </w:tc>
        <w:tc>
          <w:tcPr>
            <w:tcW w:w="1000" w:type="dxa"/>
            <w:vAlign w:val="bottom"/>
            <w:gridSpan w:val="3"/>
            <w:vMerge w:val="continue"/>
            <w:shd w:val="clear" w:color="auto" w:fill="CCEEFF"/>
          </w:tcPr>
          <w:p>
            <w:pPr>
              <w:spacing w:after="0"/>
              <w:rPr>
                <w:sz w:val="19"/>
                <w:szCs w:val="19"/>
                <w:color w:val="auto"/>
              </w:rPr>
            </w:pPr>
          </w:p>
        </w:tc>
        <w:tc>
          <w:tcPr>
            <w:tcW w:w="1040" w:type="dxa"/>
            <w:vAlign w:val="bottom"/>
            <w:gridSpan w:val="5"/>
            <w:vMerge w:val="continue"/>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760" w:type="dxa"/>
            <w:vAlign w:val="bottom"/>
            <w:vMerge w:val="restart"/>
          </w:tcPr>
          <w:p>
            <w:pPr>
              <w:ind w:left="20"/>
              <w:spacing w:after="0"/>
              <w:rPr>
                <w:sz w:val="20"/>
                <w:szCs w:val="20"/>
                <w:color w:val="auto"/>
              </w:rPr>
            </w:pPr>
            <w:r>
              <w:rPr>
                <w:rFonts w:ascii="Arial" w:cs="Arial" w:eastAsia="Arial" w:hAnsi="Arial"/>
                <w:sz w:val="18"/>
                <w:szCs w:val="18"/>
                <w:color w:val="auto"/>
                <w:w w:val="94"/>
              </w:rPr>
              <w:t>Catamaran CLO 2015-1 Ltd.</w:t>
            </w:r>
            <w:r>
              <w:rPr>
                <w:rFonts w:ascii="Arial" w:cs="Arial" w:eastAsia="Arial" w:hAnsi="Arial"/>
                <w:sz w:val="30"/>
                <w:szCs w:val="30"/>
                <w:color w:val="auto"/>
                <w:w w:val="94"/>
                <w:vertAlign w:val="superscript"/>
              </w:rPr>
              <w:t>(3), (6)</w:t>
            </w:r>
          </w:p>
        </w:tc>
        <w:tc>
          <w:tcPr>
            <w:tcW w:w="80" w:type="dxa"/>
            <w:vAlign w:val="bottom"/>
          </w:tcPr>
          <w:p>
            <w:pPr>
              <w:spacing w:after="0"/>
              <w:rPr>
                <w:sz w:val="17"/>
                <w:szCs w:val="17"/>
                <w:color w:val="auto"/>
              </w:rPr>
            </w:pPr>
          </w:p>
        </w:tc>
        <w:tc>
          <w:tcPr>
            <w:tcW w:w="2280" w:type="dxa"/>
            <w:vAlign w:val="bottom"/>
          </w:tcPr>
          <w:p>
            <w:pPr>
              <w:ind w:left="100"/>
              <w:spacing w:after="0" w:line="201" w:lineRule="exact"/>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10.1%, 4/27 maturity</w:t>
            </w:r>
          </w:p>
        </w:tc>
        <w:tc>
          <w:tcPr>
            <w:tcW w:w="1000" w:type="dxa"/>
            <w:vAlign w:val="bottom"/>
            <w:gridSpan w:val="3"/>
          </w:tcPr>
          <w:p>
            <w:pPr>
              <w:jc w:val="right"/>
              <w:ind w:right="108"/>
              <w:spacing w:after="0"/>
              <w:rPr>
                <w:sz w:val="20"/>
                <w:szCs w:val="20"/>
                <w:color w:val="auto"/>
              </w:rPr>
            </w:pPr>
            <w:r>
              <w:rPr>
                <w:rFonts w:ascii="Arial" w:cs="Arial" w:eastAsia="Arial" w:hAnsi="Arial"/>
                <w:sz w:val="18"/>
                <w:szCs w:val="18"/>
                <w:color w:val="auto"/>
              </w:rPr>
              <w:t>24.0%</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11,869,751</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8,789,651</w:t>
            </w: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Subordinated Securities</w:t>
            </w: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81,786,150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54,702,382</w:t>
            </w:r>
          </w:p>
        </w:tc>
        <w:tc>
          <w:tcPr>
            <w:tcW w:w="0" w:type="dxa"/>
            <w:vAlign w:val="bottom"/>
          </w:tcPr>
          <w:p>
            <w:pPr>
              <w:spacing w:after="0"/>
              <w:rPr>
                <w:sz w:val="1"/>
                <w:szCs w:val="1"/>
                <w:color w:val="auto"/>
              </w:rPr>
            </w:pPr>
          </w:p>
        </w:tc>
      </w:tr>
      <w:tr>
        <w:trPr>
          <w:trHeight w:val="358"/>
        </w:trPr>
        <w:tc>
          <w:tcPr>
            <w:tcW w:w="2760" w:type="dxa"/>
            <w:vAlign w:val="bottom"/>
            <w:tcBorders>
              <w:top w:val="single" w:sz="8" w:color="CCEEFF"/>
            </w:tcBorders>
          </w:tcPr>
          <w:p>
            <w:pPr>
              <w:ind w:left="60"/>
              <w:spacing w:after="0"/>
              <w:rPr>
                <w:sz w:val="20"/>
                <w:szCs w:val="20"/>
                <w:color w:val="auto"/>
              </w:rPr>
            </w:pPr>
            <w:r>
              <w:rPr>
                <w:rFonts w:ascii="Arial" w:cs="Arial" w:eastAsia="Arial" w:hAnsi="Arial"/>
                <w:sz w:val="18"/>
                <w:szCs w:val="18"/>
                <w:b w:val="1"/>
                <w:bCs w:val="1"/>
                <w:color w:val="auto"/>
              </w:rPr>
              <w:t>CLO Rated-Note Investments</w:t>
            </w:r>
          </w:p>
        </w:tc>
        <w:tc>
          <w:tcPr>
            <w:tcW w:w="80" w:type="dxa"/>
            <w:vAlign w:val="bottom"/>
            <w:tcBorders>
              <w:top w:val="single" w:sz="8" w:color="CCEEFF"/>
            </w:tcBorders>
          </w:tcPr>
          <w:p>
            <w:pPr>
              <w:spacing w:after="0"/>
              <w:rPr>
                <w:sz w:val="24"/>
                <w:szCs w:val="24"/>
                <w:color w:val="auto"/>
              </w:rPr>
            </w:pPr>
          </w:p>
        </w:tc>
        <w:tc>
          <w:tcPr>
            <w:tcW w:w="22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24"/>
                <w:szCs w:val="24"/>
                <w:color w:val="auto"/>
              </w:rPr>
            </w:pPr>
          </w:p>
        </w:tc>
        <w:tc>
          <w:tcPr>
            <w:tcW w:w="22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Investment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24"/>
                <w:szCs w:val="24"/>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rPr>
              <w:t>Float – 04/2026 – E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4"/>
              </w:rPr>
              <w:t>Catamaran CLO 2014-1 Ltd.</w:t>
            </w:r>
            <w:r>
              <w:rPr>
                <w:rFonts w:ascii="Arial" w:cs="Arial" w:eastAsia="Arial" w:hAnsi="Arial"/>
                <w:sz w:val="30"/>
                <w:szCs w:val="30"/>
                <w:color w:val="auto"/>
                <w:w w:val="94"/>
                <w:vertAlign w:val="superscript"/>
              </w:rPr>
              <w:t>(3), (6)</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Par Value of 1,525,000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6.1% Cash, 4/26 maturity</w:t>
            </w:r>
          </w:p>
        </w:tc>
        <w:tc>
          <w:tcPr>
            <w:tcW w:w="10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4"/>
              </w:rPr>
              <w:t>15%</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1,428,797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8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Rated-Note</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1,428,797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1,170,000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8"/>
              </w:rPr>
              <w:t>Fund Securities (26% of net asset</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value at fair value)</w:t>
            </w:r>
          </w:p>
        </w:tc>
        <w:tc>
          <w:tcPr>
            <w:tcW w:w="8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3"/>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83,214,947</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55,872,382</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-1663065</wp:posOffset>
            </wp:positionV>
            <wp:extent cx="521398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-711200</wp:posOffset>
            </wp:positionV>
            <wp:extent cx="5213985" cy="291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-1397000</wp:posOffset>
            </wp:positionV>
            <wp:extent cx="521398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 Manager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17494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17494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left="20"/>
        <w:spacing w:after="0" w:line="205" w:lineRule="auto"/>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(9), (11)</w:t>
      </w:r>
    </w:p>
    <w:p>
      <w:pPr>
        <w:spacing w:after="0" w:line="1" w:lineRule="exact"/>
        <w:rPr>
          <w:sz w:val="20"/>
          <w:szCs w:val="20"/>
          <w:color w:val="auto"/>
        </w:rPr>
      </w:pPr>
    </w:p>
    <w:p>
      <w:pPr>
        <w:jc w:val="both"/>
        <w:ind w:left="200" w:hanging="179"/>
        <w:spacing w:after="0" w:line="254" w:lineRule="auto"/>
        <w:rPr>
          <w:sz w:val="20"/>
          <w:szCs w:val="20"/>
          <w:color w:val="auto"/>
        </w:rPr>
      </w:pPr>
      <w:r>
        <w:rPr>
          <w:rFonts w:ascii="Arial" w:cs="Arial" w:eastAsia="Arial" w:hAnsi="Arial"/>
          <w:sz w:val="18"/>
          <w:szCs w:val="18"/>
          <w:b w:val="1"/>
          <w:bCs w:val="1"/>
          <w:color w:val="auto"/>
        </w:rPr>
        <w:t>Total Investment in Asset Manager Affiliates (27%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4"/>
                <w:szCs w:val="14"/>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8"/>
              </w:rPr>
              <w:t>Fair Value</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280" w:type="dxa"/>
            <w:vAlign w:val="bottom"/>
          </w:tcPr>
          <w:p>
            <w:pPr>
              <w:jc w:val="center"/>
              <w:spacing w:after="0"/>
              <w:rPr>
                <w:sz w:val="20"/>
                <w:szCs w:val="20"/>
                <w:color w:val="auto"/>
              </w:rPr>
            </w:pPr>
            <w:r>
              <w:rPr>
                <w:rFonts w:ascii="Arial" w:cs="Arial" w:eastAsia="Arial" w:hAnsi="Arial"/>
                <w:sz w:val="18"/>
                <w:szCs w:val="18"/>
                <w:color w:val="auto"/>
                <w:w w:val="89"/>
              </w:rPr>
              <w:t>Asset Management Company</w:t>
            </w:r>
          </w:p>
        </w:tc>
        <w:tc>
          <w:tcPr>
            <w:tcW w:w="1020" w:type="dxa"/>
            <w:vAlign w:val="bottom"/>
            <w:gridSpan w:val="2"/>
          </w:tcPr>
          <w:p>
            <w:pPr>
              <w:jc w:val="right"/>
              <w:ind w:right="128"/>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56,591,230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57,381,000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2"/>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56,591,230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57,381,000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-591185</wp:posOffset>
            </wp:positionV>
            <wp:extent cx="5213985" cy="5918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3985" cy="591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-865505</wp:posOffset>
            </wp:positionV>
            <wp:extent cx="34131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140"/>
            <w:col w:w="7259"/>
          </w:cols>
          <w:pgMar w:left="360" w:top="792" w:right="1440" w:bottom="1440" w:gutter="0" w:footer="0" w:header="0"/>
          <w:type w:val="continuous"/>
        </w:sect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39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101" w:name="page102"/>
    <w:bookmarkEnd w:id="10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Time Deposits and Money Market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Time Deposit and Money Market Accounts</w:t>
            </w:r>
          </w:p>
        </w:tc>
        <w:tc>
          <w:tcPr>
            <w:tcW w:w="100" w:type="dxa"/>
            <w:vAlign w:val="bottom"/>
          </w:tcPr>
          <w:p>
            <w:pPr>
              <w:spacing w:after="0"/>
              <w:rPr>
                <w:sz w:val="14"/>
                <w:szCs w:val="14"/>
                <w:color w:val="auto"/>
              </w:rPr>
            </w:pPr>
          </w:p>
        </w:tc>
        <w:tc>
          <w:tcPr>
            <w:tcW w:w="19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4"/>
                <w:szCs w:val="14"/>
                <w:color w:val="auto"/>
              </w:rPr>
            </w:pPr>
          </w:p>
        </w:tc>
        <w:tc>
          <w:tcPr>
            <w:tcW w:w="9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Yield</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980" w:type="dxa"/>
            <w:vAlign w:val="bottom"/>
            <w:tcBorders>
              <w:top w:val="single" w:sz="8" w:color="auto"/>
            </w:tcBorders>
            <w:gridSpan w:val="3"/>
            <w:shd w:val="clear" w:color="auto" w:fill="CCEEFF"/>
          </w:tcPr>
          <w:p>
            <w:pPr>
              <w:ind w:left="20"/>
              <w:spacing w:after="0" w:line="199" w:lineRule="exact"/>
              <w:rPr>
                <w:sz w:val="20"/>
                <w:szCs w:val="20"/>
                <w:color w:val="auto"/>
              </w:rPr>
            </w:pPr>
            <w:r>
              <w:rPr>
                <w:rFonts w:ascii="Arial" w:cs="Arial" w:eastAsia="Arial" w:hAnsi="Arial"/>
                <w:sz w:val="18"/>
                <w:szCs w:val="18"/>
                <w:color w:val="auto"/>
              </w:rPr>
              <w:t>JP Morgan Business Money Market</w:t>
            </w:r>
          </w:p>
        </w:tc>
        <w:tc>
          <w:tcPr>
            <w:tcW w:w="100" w:type="dxa"/>
            <w:vAlign w:val="bottom"/>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96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Account</w:t>
            </w:r>
            <w:r>
              <w:rPr>
                <w:rFonts w:ascii="Arial" w:cs="Arial" w:eastAsia="Arial" w:hAnsi="Arial"/>
                <w:sz w:val="30"/>
                <w:szCs w:val="30"/>
                <w:color w:val="auto"/>
                <w:vertAlign w:val="superscript"/>
              </w:rPr>
              <w:t>(8), (9)</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Money Market Account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249,247</w:t>
            </w:r>
          </w:p>
        </w:tc>
        <w:tc>
          <w:tcPr>
            <w:tcW w:w="6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249,247</w:t>
            </w:r>
          </w:p>
        </w:tc>
        <w:tc>
          <w:tcPr>
            <w:tcW w:w="0" w:type="dxa"/>
            <w:vAlign w:val="bottom"/>
          </w:tcPr>
          <w:p>
            <w:pPr>
              <w:spacing w:after="0"/>
              <w:rPr>
                <w:sz w:val="1"/>
                <w:szCs w:val="1"/>
                <w:color w:val="auto"/>
              </w:rPr>
            </w:pPr>
          </w:p>
        </w:tc>
      </w:tr>
      <w:tr>
        <w:trPr>
          <w:trHeight w:val="205"/>
        </w:trPr>
        <w:tc>
          <w:tcPr>
            <w:tcW w:w="2980" w:type="dxa"/>
            <w:vAlign w:val="bottom"/>
            <w:gridSpan w:val="3"/>
          </w:tcPr>
          <w:p>
            <w:pPr>
              <w:ind w:left="20"/>
              <w:spacing w:after="0" w:line="206" w:lineRule="exact"/>
              <w:rPr>
                <w:sz w:val="20"/>
                <w:szCs w:val="20"/>
                <w:color w:val="auto"/>
              </w:rPr>
            </w:pPr>
            <w:r>
              <w:rPr>
                <w:rFonts w:ascii="Arial" w:cs="Arial" w:eastAsia="Arial" w:hAnsi="Arial"/>
                <w:sz w:val="18"/>
                <w:szCs w:val="18"/>
                <w:color w:val="auto"/>
              </w:rPr>
              <w:t>US Bank Money Market</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96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Account</w:t>
            </w:r>
            <w:r>
              <w:rPr>
                <w:rFonts w:ascii="Arial" w:cs="Arial" w:eastAsia="Arial" w:hAnsi="Arial"/>
                <w:sz w:val="30"/>
                <w:szCs w:val="30"/>
                <w:color w:val="auto"/>
                <w:vertAlign w:val="superscript"/>
              </w:rPr>
              <w:t>(9)</w:t>
            </w:r>
          </w:p>
        </w:tc>
        <w:tc>
          <w:tcPr>
            <w:tcW w:w="10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Arial" w:cs="Arial" w:eastAsia="Arial" w:hAnsi="Arial"/>
                <w:sz w:val="18"/>
                <w:szCs w:val="18"/>
                <w:color w:val="auto"/>
                <w:w w:val="99"/>
              </w:rPr>
              <w:t>Money Market Account</w:t>
            </w: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1,880,134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1,880,134</w:t>
            </w:r>
          </w:p>
        </w:tc>
        <w:tc>
          <w:tcPr>
            <w:tcW w:w="0" w:type="dxa"/>
            <w:vAlign w:val="bottom"/>
          </w:tcPr>
          <w:p>
            <w:pPr>
              <w:spacing w:after="0"/>
              <w:rPr>
                <w:sz w:val="1"/>
                <w:szCs w:val="1"/>
                <w:color w:val="auto"/>
              </w:rPr>
            </w:pPr>
          </w:p>
        </w:tc>
      </w:tr>
      <w:tr>
        <w:trPr>
          <w:trHeight w:val="191"/>
        </w:trPr>
        <w:tc>
          <w:tcPr>
            <w:tcW w:w="2980" w:type="dxa"/>
            <w:vAlign w:val="bottom"/>
            <w:gridSpan w:val="3"/>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2"/>
              </w:rPr>
              <w:t>Total Investment in Time Deposit and</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2"/>
              </w:rPr>
              <w:t>Money Market Accounts (1% of net</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asset value at fair value)</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2,129,381</w:t>
            </w:r>
          </w:p>
        </w:tc>
        <w:tc>
          <w:tcPr>
            <w:tcW w:w="0" w:type="dxa"/>
            <w:vAlign w:val="bottom"/>
          </w:tcPr>
          <w:p>
            <w:pPr>
              <w:spacing w:after="0"/>
              <w:rPr>
                <w:sz w:val="1"/>
                <w:szCs w:val="1"/>
                <w:color w:val="auto"/>
              </w:rPr>
            </w:pPr>
          </w:p>
        </w:tc>
      </w:tr>
      <w:tr>
        <w:trPr>
          <w:trHeight w:val="232"/>
        </w:trPr>
        <w:tc>
          <w:tcPr>
            <w:tcW w:w="2980" w:type="dxa"/>
            <w:vAlign w:val="bottom"/>
            <w:tcBorders>
              <w:top w:val="single" w:sz="8" w:color="CCEEFF"/>
            </w:tcBorders>
            <w:gridSpan w:val="3"/>
          </w:tcPr>
          <w:p>
            <w:pPr>
              <w:ind w:left="20"/>
              <w:spacing w:after="0" w:line="232" w:lineRule="exact"/>
              <w:rPr>
                <w:sz w:val="20"/>
                <w:szCs w:val="20"/>
                <w:color w:val="auto"/>
              </w:rPr>
            </w:pPr>
            <w:r>
              <w:rPr>
                <w:rFonts w:ascii="Arial" w:cs="Arial" w:eastAsia="Arial" w:hAnsi="Arial"/>
                <w:sz w:val="16"/>
                <w:szCs w:val="16"/>
                <w:b w:val="1"/>
                <w:bCs w:val="1"/>
                <w:color w:val="auto"/>
              </w:rPr>
              <w:t>Total Investments</w:t>
            </w:r>
            <w:r>
              <w:rPr>
                <w:rFonts w:ascii="Arial" w:cs="Arial" w:eastAsia="Arial" w:hAnsi="Arial"/>
                <w:sz w:val="26"/>
                <w:szCs w:val="26"/>
                <w:b w:val="1"/>
                <w:bCs w:val="1"/>
                <w:color w:val="auto"/>
                <w:vertAlign w:val="superscript"/>
              </w:rPr>
              <w:t>(4)</w:t>
            </w:r>
            <w:r>
              <w:rPr>
                <w:rFonts w:ascii="Arial" w:cs="Arial" w:eastAsia="Arial" w:hAnsi="Arial"/>
                <w:sz w:val="16"/>
                <w:szCs w:val="16"/>
                <w:b w:val="1"/>
                <w:bCs w:val="1"/>
                <w:color w:val="auto"/>
              </w:rPr>
              <w:t xml:space="preserve"> (190% of net</w:t>
            </w:r>
          </w:p>
        </w:tc>
        <w:tc>
          <w:tcPr>
            <w:tcW w:w="100" w:type="dxa"/>
            <w:vAlign w:val="bottom"/>
            <w:tcBorders>
              <w:top w:val="single" w:sz="8" w:color="CCEEFF"/>
            </w:tcBorders>
          </w:tcPr>
          <w:p>
            <w:pPr>
              <w:spacing w:after="0"/>
              <w:rPr>
                <w:sz w:val="20"/>
                <w:szCs w:val="20"/>
                <w:color w:val="auto"/>
              </w:rPr>
            </w:pPr>
          </w:p>
        </w:tc>
        <w:tc>
          <w:tcPr>
            <w:tcW w:w="19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 value at fair value)</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450,712,189</w:t>
            </w: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409,570,495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-530860</wp:posOffset>
            </wp:positionV>
            <wp:extent cx="5213985" cy="3429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3985" cy="342900"/>
                    </a:xfrm>
                    <a:prstGeom prst="rect">
                      <a:avLst/>
                    </a:prstGeom>
                    <a:noFill/>
                  </pic:spPr>
                </pic:pic>
              </a:graphicData>
            </a:graphic>
          </wp:anchor>
        </w:drawing>
      </w:r>
    </w:p>
    <w:p>
      <w:pPr>
        <w:spacing w:after="0" w:line="236" w:lineRule="exact"/>
        <w:rPr>
          <w:sz w:val="20"/>
          <w:szCs w:val="20"/>
          <w:color w:val="auto"/>
        </w:rPr>
      </w:pPr>
    </w:p>
    <w:p>
      <w:pPr>
        <w:ind w:left="300" w:right="719" w:hanging="272"/>
        <w:spacing w:after="0" w:line="255"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2015. As noted in the table above, 77% (based on par) of debt securities contain LIBOR floors which range between 0.75% and 3.0%.</w:t>
      </w:r>
    </w:p>
    <w:p>
      <w:pPr>
        <w:spacing w:after="0" w:line="85" w:lineRule="exact"/>
        <w:rPr>
          <w:rFonts w:ascii="Arial" w:cs="Arial" w:eastAsia="Arial" w:hAnsi="Arial"/>
          <w:sz w:val="18"/>
          <w:szCs w:val="18"/>
          <w:color w:val="auto"/>
        </w:rPr>
      </w:pPr>
    </w:p>
    <w:p>
      <w:pPr>
        <w:ind w:left="300" w:hanging="272"/>
        <w:spacing w:after="0"/>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Reflects the fair market value of all investments as of December 31, 2015, as determined by the Company’s Board of Directors.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Non-U.S. company or principal place of business outside the U.S.</w:t>
      </w:r>
    </w:p>
    <w:p>
      <w:pPr>
        <w:spacing w:after="0" w:line="117" w:lineRule="exact"/>
        <w:rPr>
          <w:rFonts w:ascii="Arial" w:cs="Arial" w:eastAsia="Arial" w:hAnsi="Arial"/>
          <w:sz w:val="18"/>
          <w:szCs w:val="18"/>
          <w:color w:val="auto"/>
        </w:rPr>
      </w:pPr>
    </w:p>
    <w:p>
      <w:pPr>
        <w:ind w:left="300" w:right="1039" w:hanging="272"/>
        <w:spacing w:after="0" w:line="286" w:lineRule="auto"/>
        <w:tabs>
          <w:tab w:leader="none" w:pos="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aggregate cost of investments for federal income tax purposes is approximately $471 million. The aggregate gross unrealized appreciation is approximately $7.0 million, the aggregate gross unrealized depreciation is approximately $68.2 million, and the net unrealized depreciation is approximately $61.2 million.</w:t>
      </w:r>
    </w:p>
    <w:p>
      <w:pPr>
        <w:spacing w:after="0" w:line="57" w:lineRule="exact"/>
        <w:rPr>
          <w:rFonts w:ascii="Arial" w:cs="Arial" w:eastAsia="Arial" w:hAnsi="Arial"/>
          <w:sz w:val="17"/>
          <w:szCs w:val="17"/>
          <w:color w:val="auto"/>
        </w:rPr>
      </w:pPr>
    </w:p>
    <w:p>
      <w:pPr>
        <w:ind w:left="300" w:hanging="27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affiliate CLO Fund managed by an Asset Manager Affiliate (as such term is defined in the notes to the consolidated financial statements).</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Loan or debt security is on non-accrual status and therefore is considered non-income producing.</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Money market account holding restricted cash and security deposits for employee benefit plans.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rFonts w:ascii="Arial" w:cs="Arial" w:eastAsia="Arial" w:hAnsi="Arial"/>
          <w:sz w:val="18"/>
          <w:szCs w:val="18"/>
          <w:color w:val="auto"/>
        </w:rPr>
      </w:pPr>
    </w:p>
    <w:p>
      <w:pPr>
        <w:ind w:left="340" w:right="619" w:hanging="31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of December 31, 2015, this investment is owned by KCAP Senior Funding I, LLC and was pledged to secure KCAP Senior Funding I, LLC’s obligation.</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(11)Other than the Asset Manager Affiliate, which we are deemed to “control”, we do not “control” and are not an “affiliate” of any</w:t>
      </w:r>
    </w:p>
    <w:p>
      <w:pPr>
        <w:spacing w:after="0" w:line="46" w:lineRule="exact"/>
        <w:rPr>
          <w:sz w:val="20"/>
          <w:szCs w:val="20"/>
          <w:color w:val="auto"/>
        </w:rPr>
      </w:pPr>
    </w:p>
    <w:p>
      <w:pPr>
        <w:ind w:left="320" w:right="599"/>
        <w:spacing w:after="0" w:line="255" w:lineRule="auto"/>
        <w:rPr>
          <w:sz w:val="20"/>
          <w:szCs w:val="20"/>
          <w:color w:val="auto"/>
        </w:rPr>
      </w:pPr>
      <w:r>
        <w:rPr>
          <w:rFonts w:ascii="Arial" w:cs="Arial" w:eastAsia="Arial" w:hAnsi="Arial"/>
          <w:sz w:val="18"/>
          <w:szCs w:val="18"/>
          <w:color w:val="auto"/>
        </w:rPr>
        <w:t>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(12)Non-voting.</w:t>
      </w:r>
    </w:p>
    <w:p>
      <w:pPr>
        <w:spacing w:after="0" w:line="117" w:lineRule="exact"/>
        <w:rPr>
          <w:sz w:val="20"/>
          <w:szCs w:val="20"/>
          <w:color w:val="auto"/>
        </w:rPr>
      </w:pPr>
    </w:p>
    <w:p>
      <w:pPr>
        <w:ind w:left="340" w:right="539" w:hanging="310"/>
        <w:spacing w:after="0" w:line="279" w:lineRule="auto"/>
        <w:rPr>
          <w:sz w:val="20"/>
          <w:szCs w:val="20"/>
          <w:color w:val="auto"/>
        </w:rPr>
      </w:pPr>
      <w:r>
        <w:rPr>
          <w:rFonts w:ascii="Arial" w:cs="Arial" w:eastAsia="Arial" w:hAnsi="Arial"/>
          <w:sz w:val="17"/>
          <w:szCs w:val="17"/>
          <w:color w:val="auto"/>
        </w:rPr>
        <w:t>(13)CLO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(14)Notice of redemption has been received for this transaction.</w:t>
      </w:r>
    </w:p>
    <w:p>
      <w:pPr>
        <w:spacing w:after="0" w:line="200" w:lineRule="exact"/>
        <w:rPr>
          <w:sz w:val="20"/>
          <w:szCs w:val="20"/>
          <w:color w:val="auto"/>
        </w:rPr>
      </w:pPr>
    </w:p>
    <w:p>
      <w:pPr>
        <w:spacing w:after="0" w:line="34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2" w:name="page103"/>
    <w:bookmarkEnd w:id="10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FINANCIAL HIGHLIGHTS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0573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61"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08"/>
              <w:spacing w:after="0" w:line="129" w:lineRule="exact"/>
              <w:rPr>
                <w:sz w:val="20"/>
                <w:szCs w:val="20"/>
                <w:color w:val="auto"/>
              </w:rPr>
            </w:pPr>
            <w:r>
              <w:rPr>
                <w:rFonts w:ascii="Arial" w:cs="Arial" w:eastAsia="Arial" w:hAnsi="Arial"/>
                <w:sz w:val="13"/>
                <w:szCs w:val="13"/>
                <w:b w:val="1"/>
                <w:bCs w:val="1"/>
                <w:color w:val="auto"/>
              </w:rPr>
              <w:t>2016</w:t>
            </w:r>
          </w:p>
        </w:tc>
        <w:tc>
          <w:tcPr>
            <w:tcW w:w="2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88"/>
              <w:spacing w:after="0" w:line="129" w:lineRule="exact"/>
              <w:rPr>
                <w:sz w:val="20"/>
                <w:szCs w:val="20"/>
                <w:color w:val="auto"/>
              </w:rPr>
            </w:pPr>
            <w:r>
              <w:rPr>
                <w:rFonts w:ascii="Arial" w:cs="Arial" w:eastAsia="Arial" w:hAnsi="Arial"/>
                <w:sz w:val="13"/>
                <w:szCs w:val="13"/>
                <w:b w:val="1"/>
                <w:bCs w:val="1"/>
                <w:color w:val="auto"/>
              </w:rPr>
              <w:t>2015</w:t>
            </w:r>
          </w:p>
        </w:tc>
        <w:tc>
          <w:tcPr>
            <w:tcW w:w="2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88"/>
              <w:spacing w:after="0" w:line="129" w:lineRule="exact"/>
              <w:rPr>
                <w:sz w:val="20"/>
                <w:szCs w:val="20"/>
                <w:color w:val="auto"/>
              </w:rPr>
            </w:pPr>
            <w:r>
              <w:rPr>
                <w:rFonts w:ascii="Arial" w:cs="Arial" w:eastAsia="Arial" w:hAnsi="Arial"/>
                <w:sz w:val="13"/>
                <w:szCs w:val="13"/>
                <w:b w:val="1"/>
                <w:bCs w:val="1"/>
                <w:color w:val="auto"/>
              </w:rPr>
              <w:t>2014</w:t>
            </w:r>
          </w:p>
        </w:tc>
        <w:tc>
          <w:tcPr>
            <w:tcW w:w="2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08"/>
              <w:spacing w:after="0" w:line="129" w:lineRule="exact"/>
              <w:rPr>
                <w:sz w:val="20"/>
                <w:szCs w:val="20"/>
                <w:color w:val="auto"/>
              </w:rPr>
            </w:pPr>
            <w:r>
              <w:rPr>
                <w:rFonts w:ascii="Arial" w:cs="Arial" w:eastAsia="Arial" w:hAnsi="Arial"/>
                <w:sz w:val="13"/>
                <w:szCs w:val="13"/>
                <w:b w:val="1"/>
                <w:bCs w:val="1"/>
                <w:color w:val="auto"/>
              </w:rPr>
              <w:t>2013</w:t>
            </w:r>
          </w:p>
        </w:tc>
        <w:tc>
          <w:tcPr>
            <w:tcW w:w="2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28"/>
              <w:spacing w:after="0" w:line="129"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Net asset value, at beginning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Net investment income</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0.59</w:t>
            </w:r>
          </w:p>
        </w:tc>
        <w:tc>
          <w:tcPr>
            <w:tcW w:w="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180"/>
              <w:spacing w:after="0" w:line="140" w:lineRule="exact"/>
              <w:rPr>
                <w:sz w:val="20"/>
                <w:szCs w:val="20"/>
                <w:color w:val="auto"/>
              </w:rPr>
            </w:pPr>
            <w:r>
              <w:rPr>
                <w:rFonts w:ascii="Arial" w:cs="Arial" w:eastAsia="Arial" w:hAnsi="Arial"/>
                <w:sz w:val="14"/>
                <w:szCs w:val="14"/>
                <w:color w:val="auto"/>
              </w:rPr>
              <w:t>Net realized losses from investment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ind w:left="360"/>
              <w:spacing w:after="0" w:line="198" w:lineRule="exact"/>
              <w:rPr>
                <w:sz w:val="20"/>
                <w:szCs w:val="20"/>
                <w:color w:val="auto"/>
              </w:rPr>
            </w:pPr>
            <w:r>
              <w:rPr>
                <w:rFonts w:ascii="Arial" w:cs="Arial" w:eastAsia="Arial" w:hAnsi="Arial"/>
                <w:sz w:val="14"/>
                <w:szCs w:val="14"/>
                <w:color w:val="auto"/>
              </w:rPr>
              <w:t>transactions</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(0.30)</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Realized losses from extinguishments of debt</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180"/>
              <w:spacing w:after="0" w:line="140" w:lineRule="exact"/>
              <w:rPr>
                <w:sz w:val="20"/>
                <w:szCs w:val="20"/>
                <w:color w:val="auto"/>
              </w:rPr>
            </w:pPr>
            <w:r>
              <w:rPr>
                <w:rFonts w:ascii="Arial" w:cs="Arial" w:eastAsia="Arial" w:hAnsi="Arial"/>
                <w:sz w:val="14"/>
                <w:szCs w:val="14"/>
                <w:color w:val="auto"/>
              </w:rPr>
              <w:t>Net change in unrealized</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ind w:left="360"/>
              <w:spacing w:after="0" w:line="198" w:lineRule="exact"/>
              <w:rPr>
                <w:sz w:val="20"/>
                <w:szCs w:val="20"/>
                <w:color w:val="auto"/>
              </w:rPr>
            </w:pPr>
            <w:r>
              <w:rPr>
                <w:rFonts w:ascii="Arial" w:cs="Arial" w:eastAsia="Arial" w:hAnsi="Arial"/>
                <w:sz w:val="14"/>
                <w:szCs w:val="14"/>
                <w:color w:val="auto"/>
                <w:w w:val="99"/>
              </w:rPr>
              <w:t>(depreciation)/appreciation of investments</w:t>
            </w:r>
            <w:r>
              <w:rPr>
                <w:rFonts w:ascii="Arial" w:cs="Arial" w:eastAsia="Arial" w:hAnsi="Arial"/>
                <w:sz w:val="22"/>
                <w:szCs w:val="22"/>
                <w:color w:val="auto"/>
                <w:w w:val="99"/>
                <w:vertAlign w:val="superscript"/>
              </w:rPr>
              <w:t>(1)</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(0.97)</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0.31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23"/>
        </w:trPr>
        <w:tc>
          <w:tcPr>
            <w:tcW w:w="20" w:type="dxa"/>
            <w:vAlign w:val="bottom"/>
            <w:tcBorders>
              <w:top w:val="single" w:sz="8" w:color="CCEEFF"/>
            </w:tcBorders>
          </w:tcPr>
          <w:p>
            <w:pPr>
              <w:spacing w:after="0"/>
              <w:rPr>
                <w:sz w:val="10"/>
                <w:szCs w:val="10"/>
                <w:color w:val="auto"/>
              </w:rPr>
            </w:pPr>
          </w:p>
        </w:tc>
        <w:tc>
          <w:tcPr>
            <w:tcW w:w="3140" w:type="dxa"/>
            <w:vAlign w:val="bottom"/>
            <w:tcBorders>
              <w:top w:val="single" w:sz="8" w:color="CCEEFF"/>
            </w:tcBorders>
            <w:gridSpan w:val="2"/>
          </w:tcPr>
          <w:p>
            <w:pPr>
              <w:ind w:left="360"/>
              <w:spacing w:after="0" w:line="123" w:lineRule="exact"/>
              <w:rPr>
                <w:sz w:val="20"/>
                <w:szCs w:val="20"/>
                <w:color w:val="auto"/>
              </w:rPr>
            </w:pPr>
            <w:r>
              <w:rPr>
                <w:rFonts w:ascii="Arial" w:cs="Arial" w:eastAsia="Arial" w:hAnsi="Arial"/>
                <w:sz w:val="14"/>
                <w:szCs w:val="14"/>
                <w:color w:val="auto"/>
                <w:w w:val="95"/>
              </w:rPr>
              <w:t>Net (decrease)/increase in net assets resulting</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tcPr>
          <w:p>
            <w:pPr>
              <w:ind w:left="540"/>
              <w:spacing w:after="0"/>
              <w:rPr>
                <w:sz w:val="20"/>
                <w:szCs w:val="20"/>
                <w:color w:val="auto"/>
              </w:rPr>
            </w:pPr>
            <w:r>
              <w:rPr>
                <w:rFonts w:ascii="Arial" w:cs="Arial" w:eastAsia="Arial" w:hAnsi="Arial"/>
                <w:sz w:val="14"/>
                <w:szCs w:val="14"/>
                <w:color w:val="auto"/>
              </w:rPr>
              <w:t>from operations</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0.44</w:t>
            </w: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0.54</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130"/>
        </w:trPr>
        <w:tc>
          <w:tcPr>
            <w:tcW w:w="316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Net decrease in net assets resulting from</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distributions: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Distribution of ordinary income</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(0.40)</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(0.63)</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(0.78)</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(0.62)</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Return of capital</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(0.19)</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(0.22)</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23"/>
        </w:trPr>
        <w:tc>
          <w:tcPr>
            <w:tcW w:w="20" w:type="dxa"/>
            <w:vAlign w:val="bottom"/>
            <w:tcBorders>
              <w:top w:val="single" w:sz="8" w:color="CCEEFF"/>
            </w:tcBorders>
          </w:tcPr>
          <w:p>
            <w:pPr>
              <w:spacing w:after="0"/>
              <w:rPr>
                <w:sz w:val="10"/>
                <w:szCs w:val="10"/>
                <w:color w:val="auto"/>
              </w:rPr>
            </w:pPr>
          </w:p>
        </w:tc>
        <w:tc>
          <w:tcPr>
            <w:tcW w:w="3140" w:type="dxa"/>
            <w:vAlign w:val="bottom"/>
            <w:tcBorders>
              <w:top w:val="single" w:sz="8" w:color="CCEEFF"/>
            </w:tcBorders>
            <w:gridSpan w:val="2"/>
          </w:tcPr>
          <w:p>
            <w:pPr>
              <w:ind w:left="360"/>
              <w:spacing w:after="0" w:line="123" w:lineRule="exact"/>
              <w:rPr>
                <w:sz w:val="20"/>
                <w:szCs w:val="20"/>
                <w:color w:val="auto"/>
              </w:rPr>
            </w:pPr>
            <w:r>
              <w:rPr>
                <w:rFonts w:ascii="Arial" w:cs="Arial" w:eastAsia="Arial" w:hAnsi="Arial"/>
                <w:sz w:val="14"/>
                <w:szCs w:val="14"/>
                <w:color w:val="auto"/>
              </w:rPr>
              <w:t>Net decrease in net assets resulting from</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tcPr>
          <w:p>
            <w:pPr>
              <w:ind w:left="540"/>
              <w:spacing w:after="0"/>
              <w:rPr>
                <w:sz w:val="20"/>
                <w:szCs w:val="20"/>
                <w:color w:val="auto"/>
              </w:rPr>
            </w:pPr>
            <w:r>
              <w:rPr>
                <w:rFonts w:ascii="Arial" w:cs="Arial" w:eastAsia="Arial" w:hAnsi="Arial"/>
                <w:sz w:val="14"/>
                <w:szCs w:val="14"/>
                <w:color w:val="auto"/>
              </w:rPr>
              <w:t>stockholder distributions</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(0.63)</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130"/>
        </w:trPr>
        <w:tc>
          <w:tcPr>
            <w:tcW w:w="316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Net increase/(decrease) in net assets relating to</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share transactions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Offering of common stock</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0.02</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0.14</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Common stock withheld for payroll taxes upon</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vesting of restricted stock</w:t>
            </w:r>
          </w:p>
        </w:tc>
        <w:tc>
          <w:tcPr>
            <w:tcW w:w="8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Dividend reinvestment plan</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based compensation</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0" w:type="dxa"/>
            <w:vAlign w:val="bottom"/>
            <w:tcBorders>
              <w:top w:val="single" w:sz="8" w:color="CCEEFF"/>
            </w:tcBorders>
          </w:tcPr>
          <w:p>
            <w:pPr>
              <w:spacing w:after="0"/>
              <w:rPr>
                <w:sz w:val="10"/>
                <w:szCs w:val="10"/>
                <w:color w:val="auto"/>
              </w:rPr>
            </w:pPr>
          </w:p>
        </w:tc>
        <w:tc>
          <w:tcPr>
            <w:tcW w:w="3140" w:type="dxa"/>
            <w:vAlign w:val="bottom"/>
            <w:tcBorders>
              <w:top w:val="single" w:sz="8" w:color="CCEEFF"/>
            </w:tcBorders>
            <w:gridSpan w:val="2"/>
          </w:tcPr>
          <w:p>
            <w:pPr>
              <w:ind w:left="360"/>
              <w:spacing w:after="0" w:line="123" w:lineRule="exact"/>
              <w:rPr>
                <w:sz w:val="20"/>
                <w:szCs w:val="20"/>
                <w:color w:val="auto"/>
              </w:rPr>
            </w:pPr>
            <w:r>
              <w:rPr>
                <w:rFonts w:ascii="Arial" w:cs="Arial" w:eastAsia="Arial" w:hAnsi="Arial"/>
                <w:sz w:val="14"/>
                <w:szCs w:val="14"/>
                <w:color w:val="auto"/>
                <w:w w:val="92"/>
              </w:rPr>
              <w:t>Net increase (decrease) in net assets relating to</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tcPr>
          <w:p>
            <w:pPr>
              <w:ind w:left="540"/>
              <w:spacing w:after="0"/>
              <w:rPr>
                <w:sz w:val="20"/>
                <w:szCs w:val="20"/>
                <w:color w:val="auto"/>
              </w:rPr>
            </w:pPr>
            <w:r>
              <w:rPr>
                <w:rFonts w:ascii="Arial" w:cs="Arial" w:eastAsia="Arial" w:hAnsi="Arial"/>
                <w:sz w:val="14"/>
                <w:szCs w:val="14"/>
                <w:color w:val="auto"/>
              </w:rPr>
              <w:t>capital share transactions</w:t>
            </w: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Net asset value, end of period</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5.82</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6.94</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gridSpan w:val="3"/>
          </w:tcPr>
          <w:p>
            <w:pPr>
              <w:ind w:left="20"/>
              <w:spacing w:after="0" w:line="183" w:lineRule="exact"/>
              <w:rPr>
                <w:sz w:val="20"/>
                <w:szCs w:val="20"/>
                <w:color w:val="auto"/>
              </w:rPr>
            </w:pPr>
            <w:r>
              <w:rPr>
                <w:rFonts w:ascii="Arial" w:cs="Arial" w:eastAsia="Arial" w:hAnsi="Arial"/>
                <w:sz w:val="13"/>
                <w:szCs w:val="13"/>
                <w:color w:val="auto"/>
              </w:rPr>
              <w:t>Total net asset value return</w:t>
            </w:r>
            <w:r>
              <w:rPr>
                <w:rFonts w:ascii="Arial" w:cs="Arial" w:eastAsia="Arial" w:hAnsi="Arial"/>
                <w:sz w:val="21"/>
                <w:szCs w:val="21"/>
                <w:color w:val="auto"/>
                <w:vertAlign w:val="superscript"/>
              </w:rPr>
              <w:t>(2)</w:t>
            </w:r>
          </w:p>
        </w:tc>
        <w:tc>
          <w:tcPr>
            <w:tcW w:w="8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Ratio/Supplemental Data:</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Per share market value at beginning of period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Per share market value at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89"/>
        </w:trPr>
        <w:tc>
          <w:tcPr>
            <w:tcW w:w="3160" w:type="dxa"/>
            <w:vAlign w:val="bottom"/>
            <w:gridSpan w:val="3"/>
          </w:tcPr>
          <w:p>
            <w:pPr>
              <w:ind w:left="20"/>
              <w:spacing w:after="0" w:line="189" w:lineRule="exact"/>
              <w:rPr>
                <w:sz w:val="20"/>
                <w:szCs w:val="20"/>
                <w:color w:val="auto"/>
              </w:rPr>
            </w:pPr>
            <w:r>
              <w:rPr>
                <w:rFonts w:ascii="Arial" w:cs="Arial" w:eastAsia="Arial" w:hAnsi="Arial"/>
                <w:sz w:val="13"/>
                <w:szCs w:val="13"/>
                <w:color w:val="auto"/>
              </w:rPr>
              <w:t>Total market return</w:t>
            </w:r>
            <w:r>
              <w:rPr>
                <w:rFonts w:ascii="Arial" w:cs="Arial" w:eastAsia="Arial" w:hAnsi="Arial"/>
                <w:sz w:val="21"/>
                <w:szCs w:val="21"/>
                <w:color w:val="auto"/>
                <w:vertAlign w:val="superscript"/>
              </w:rPr>
              <w:t>(3)</w:t>
            </w:r>
          </w:p>
        </w:tc>
        <w:tc>
          <w:tcPr>
            <w:tcW w:w="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outstanding at end of period</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37,178,294</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37,100,005</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36,775,127</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33,332,123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26,470,408</w:t>
            </w: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Net assets at end of period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194,924,925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216,100,470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255,316,701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250,369,693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9"/>
              </w:rPr>
              <w:t>207,875,659</w:t>
            </w:r>
          </w:p>
        </w:tc>
        <w:tc>
          <w:tcPr>
            <w:tcW w:w="0" w:type="dxa"/>
            <w:vAlign w:val="bottom"/>
          </w:tcPr>
          <w:p>
            <w:pPr>
              <w:spacing w:after="0"/>
              <w:rPr>
                <w:sz w:val="1"/>
                <w:szCs w:val="1"/>
                <w:color w:val="auto"/>
              </w:rPr>
            </w:pPr>
          </w:p>
        </w:tc>
      </w:tr>
      <w:tr>
        <w:trPr>
          <w:trHeight w:val="189"/>
        </w:trPr>
        <w:tc>
          <w:tcPr>
            <w:tcW w:w="31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Portfolio turnover rate</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45.8%</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Average par debt outstanding</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189,836,675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224,498,433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196,622,077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150,828,586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80,758,743</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Asset coverage ratio</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0"/>
        </w:trPr>
        <w:tc>
          <w:tcPr>
            <w:tcW w:w="316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Ratio of net investment income to average net</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assets</w:t>
            </w:r>
            <w:r>
              <w:rPr>
                <w:rFonts w:ascii="Arial" w:cs="Arial" w:eastAsia="Arial" w:hAnsi="Arial"/>
                <w:sz w:val="22"/>
                <w:szCs w:val="22"/>
                <w:color w:val="auto"/>
                <w:vertAlign w:val="superscript"/>
              </w:rPr>
              <w:t>(5)</w:t>
            </w: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9"/>
        </w:trPr>
        <w:tc>
          <w:tcPr>
            <w:tcW w:w="31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Ratio of total expenses to average net assets</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9"/>
        </w:trPr>
        <w:tc>
          <w:tcPr>
            <w:tcW w:w="3160" w:type="dxa"/>
            <w:vAlign w:val="bottom"/>
            <w:gridSpan w:val="3"/>
          </w:tcPr>
          <w:p>
            <w:pPr>
              <w:ind w:left="20"/>
              <w:spacing w:after="0" w:line="189" w:lineRule="exact"/>
              <w:rPr>
                <w:sz w:val="20"/>
                <w:szCs w:val="20"/>
                <w:color w:val="auto"/>
              </w:rPr>
            </w:pPr>
            <w:r>
              <w:rPr>
                <w:rFonts w:ascii="Arial" w:cs="Arial" w:eastAsia="Arial" w:hAnsi="Arial"/>
                <w:sz w:val="13"/>
                <w:szCs w:val="13"/>
                <w:color w:val="auto"/>
              </w:rPr>
              <w:t>Ratio of interest expense to average net assets</w:t>
            </w:r>
            <w:r>
              <w:rPr>
                <w:rFonts w:ascii="Arial" w:cs="Arial" w:eastAsia="Arial" w:hAnsi="Arial"/>
                <w:sz w:val="21"/>
                <w:szCs w:val="21"/>
                <w:color w:val="auto"/>
                <w:vertAlign w:val="superscript"/>
              </w:rPr>
              <w:t>(5)</w:t>
            </w:r>
          </w:p>
        </w:tc>
        <w:tc>
          <w:tcPr>
            <w:tcW w:w="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9"/>
        </w:trPr>
        <w:tc>
          <w:tcPr>
            <w:tcW w:w="31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w w:val="97"/>
              </w:rPr>
              <w:t>Ratio of non-interest expenses to average net assets</w:t>
            </w:r>
            <w:r>
              <w:rPr>
                <w:rFonts w:ascii="Arial" w:cs="Arial" w:eastAsia="Arial" w:hAnsi="Arial"/>
                <w:sz w:val="21"/>
                <w:szCs w:val="21"/>
                <w:color w:val="auto"/>
                <w:w w:val="97"/>
                <w:vertAlign w:val="superscript"/>
              </w:rPr>
              <w:t>(5)</w:t>
            </w:r>
          </w:p>
        </w:tc>
        <w:tc>
          <w:tcPr>
            <w:tcW w:w="8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-3541395</wp:posOffset>
            </wp:positionV>
            <wp:extent cx="5291455" cy="1974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91455" cy="1974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-2966720</wp:posOffset>
            </wp:positionV>
            <wp:extent cx="5291455" cy="1974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91455" cy="1974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-2108835</wp:posOffset>
            </wp:positionV>
            <wp:extent cx="5291455" cy="2057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9145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-1809115</wp:posOffset>
            </wp:positionV>
            <wp:extent cx="5291455"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91455" cy="154305"/>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weighted average number of common shares outstanding for the period.</w:t>
      </w:r>
    </w:p>
    <w:p>
      <w:pPr>
        <w:spacing w:after="0" w:line="117" w:lineRule="exact"/>
        <w:rPr>
          <w:rFonts w:ascii="Arial" w:cs="Arial" w:eastAsia="Arial" w:hAnsi="Arial"/>
          <w:sz w:val="18"/>
          <w:szCs w:val="18"/>
          <w:color w:val="auto"/>
        </w:rPr>
      </w:pPr>
    </w:p>
    <w:p>
      <w:pPr>
        <w:ind w:left="300" w:right="719" w:hanging="272"/>
        <w:spacing w:after="0" w:line="308" w:lineRule="auto"/>
        <w:tabs>
          <w:tab w:leader="none" w:pos="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Total net asset value return (not annualized) equals the change in the net asset value per share over the beginning of period net asset value per share plus distributions, divided by the beginning net asset value per share.</w:t>
      </w:r>
    </w:p>
    <w:p>
      <w:pPr>
        <w:spacing w:after="0" w:line="38" w:lineRule="exact"/>
        <w:rPr>
          <w:rFonts w:ascii="Arial" w:cs="Arial" w:eastAsia="Arial" w:hAnsi="Arial"/>
          <w:sz w:val="17"/>
          <w:szCs w:val="17"/>
          <w:color w:val="auto"/>
        </w:rPr>
      </w:pPr>
    </w:p>
    <w:p>
      <w:pPr>
        <w:ind w:left="300" w:right="619" w:hanging="272"/>
        <w:spacing w:after="0" w:line="277"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Total market return equals the change in the ending market price over the beginning of period price per share plus distributions, divided by the beginning price.</w:t>
      </w:r>
    </w:p>
    <w:p>
      <w:pPr>
        <w:spacing w:after="0" w:line="62" w:lineRule="exact"/>
        <w:rPr>
          <w:rFonts w:ascii="Arial" w:cs="Arial" w:eastAsia="Arial" w:hAnsi="Arial"/>
          <w:sz w:val="18"/>
          <w:szCs w:val="18"/>
          <w:color w:val="auto"/>
        </w:rPr>
      </w:pPr>
    </w:p>
    <w:p>
      <w:pPr>
        <w:ind w:left="300" w:right="579" w:hanging="272"/>
        <w:spacing w:after="0" w:line="277"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annualized. Portfolio turnover rate equals the year-to-date sales and paydowns over the average of the invested assets at fair value.</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34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40" w:right="639" w:firstLine="270"/>
        <w:spacing w:after="0" w:line="253" w:lineRule="auto"/>
        <w:rPr>
          <w:sz w:val="20"/>
          <w:szCs w:val="20"/>
          <w:color w:val="auto"/>
        </w:rPr>
      </w:pPr>
      <w:r>
        <w:rPr>
          <w:rFonts w:ascii="Arial" w:cs="Arial" w:eastAsia="Arial" w:hAnsi="Arial"/>
          <w:sz w:val="18"/>
          <w:szCs w:val="18"/>
          <w:color w:val="auto"/>
        </w:rPr>
        <w:t>KCAP Financial, Inc. (“KCAP” or the “Company”) is an internally managed, non-diversified closed-end investment company that is regulated as a business development company (“BDC”) under the Investment Company Act of 1940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(collectively, “Katonah Debt Advisors”) and in securities issued by collateralized loan obligation funds (“CLO Funds”) managed by Katonah Debt Advisors and two other asset managers.</w:t>
      </w:r>
    </w:p>
    <w:p>
      <w:pPr>
        <w:spacing w:after="0" w:line="87" w:lineRule="exact"/>
        <w:rPr>
          <w:sz w:val="20"/>
          <w:szCs w:val="20"/>
          <w:color w:val="auto"/>
        </w:rPr>
      </w:pPr>
    </w:p>
    <w:p>
      <w:pPr>
        <w:ind w:left="40" w:right="1379" w:firstLine="270"/>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the Company’s common stock, and net proceeds of $27 million.</w:t>
      </w:r>
    </w:p>
    <w:p>
      <w:pPr>
        <w:spacing w:after="0" w:line="62" w:lineRule="exact"/>
        <w:rPr>
          <w:sz w:val="20"/>
          <w:szCs w:val="20"/>
          <w:color w:val="auto"/>
        </w:rPr>
      </w:pPr>
    </w:p>
    <w:p>
      <w:pPr>
        <w:ind w:left="40" w:right="639" w:firstLine="270"/>
        <w:spacing w:after="0" w:line="302" w:lineRule="auto"/>
        <w:rPr>
          <w:sz w:val="20"/>
          <w:szCs w:val="20"/>
          <w:color w:val="auto"/>
        </w:rPr>
      </w:pPr>
      <w:r>
        <w:rPr>
          <w:rFonts w:ascii="Arial" w:cs="Arial" w:eastAsia="Arial" w:hAnsi="Arial"/>
          <w:sz w:val="16"/>
          <w:szCs w:val="16"/>
          <w:color w:val="auto"/>
        </w:rPr>
        <w:t>On February 29, 2012, the Company purchased Trimaran Advisors, L.L.C. (“Trimaran Advisors”), an asset manager similar to Katonah Debt Advisors,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46"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46"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73"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As of December 31, 2016, Katonah Debt Advisors and Trimaran Advisors, as well as affiliated management companies Katonah 2007-1 Management, L.L.C., and Trimaran Advisors Management, L.L.C. (collectively the “Asset Manager Affiliates”), had approximately $3.0 billion of par value assets under management. The Asset Manager Affiliates are each managed independently from KCAP by a separate management team (however, certain of the Company’s executive officers also act in similar capacities for one or both of the Asset Manager Affiliates). The Asset Manager Affiliates provide investment management services to CLO Funds, making day-to-day investment decisions concerning the assets of the CLO Funds. The Asset Manager Affiliates do not have any investments in the CLO Funds they manage; however, KCAP holds investments in a portion of the securities issued by the CLO Funds managed by the Asset Manager Affiliates.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three principal areas of investment:</w:t>
      </w:r>
    </w:p>
    <w:p>
      <w:pPr>
        <w:spacing w:after="0" w:line="117"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117"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Third, the Company invests in debt and subordinated securities issued by CLO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 ORGANIZATION – (continued)</w:t>
      </w:r>
    </w:p>
    <w:p>
      <w:pPr>
        <w:spacing w:after="0" w:line="1"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and distressed debt securities. The Company may also receive warrants or options to purchase common stock in connection with its debt investments.</w:t>
      </w:r>
    </w:p>
    <w:p>
      <w:pPr>
        <w:spacing w:after="0" w:line="73"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accounting principles generally accepted in the United States of America (“GAAP”).</w:t>
      </w:r>
    </w:p>
    <w:p>
      <w:pPr>
        <w:spacing w:after="0" w:line="62"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Certain prior-year amounts have been reclassified to conform to the current year presentation.</w:t>
      </w:r>
    </w:p>
    <w:p>
      <w:pPr>
        <w:spacing w:after="0" w:line="85"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64"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79" w:lineRule="exact"/>
        <w:rPr>
          <w:sz w:val="20"/>
          <w:szCs w:val="20"/>
          <w:color w:val="auto"/>
        </w:rPr>
      </w:pPr>
    </w:p>
    <w:p>
      <w:pPr>
        <w:ind w:left="40" w:right="759" w:firstLine="270"/>
        <w:spacing w:after="0" w:line="273" w:lineRule="auto"/>
        <w:rPr>
          <w:sz w:val="20"/>
          <w:szCs w:val="20"/>
          <w:color w:val="auto"/>
        </w:rPr>
      </w:pPr>
      <w:r>
        <w:rPr>
          <w:rFonts w:ascii="Arial" w:cs="Arial" w:eastAsia="Arial" w:hAnsi="Arial"/>
          <w:sz w:val="17"/>
          <w:szCs w:val="17"/>
          <w:color w:val="auto"/>
        </w:rPr>
        <w:t>The Asset Manager Affiliates are subject to Accounting Standards Codification Topic 810, “Consolidation” and although the Company cannot consolidate the financial statements of portfolio company investments, this guidance impacts the Company’s required disclosures relating to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70"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In addition, in accordance with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and Katonah 2007-I CLO (pursuant to Rule 3-09), immediately follows these consolidated financial statements. Summarized financial information regarding Katonah X CLO (pursuant to Rule 4-08 (g)) is set forth in Note 5.</w:t>
      </w:r>
    </w:p>
    <w:p>
      <w:pPr>
        <w:spacing w:after="0" w:line="64"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Stockholder distributions on the Statement of Changes in Net Assets reflect the estimated allocation, between net investment income and return of capital, of distributions made during the reporting period,</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5" w:name="page106"/>
    <w:bookmarkEnd w:id="105"/>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18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180" w:right="719"/>
        <w:spacing w:after="0" w:line="279" w:lineRule="auto"/>
        <w:rPr>
          <w:sz w:val="20"/>
          <w:szCs w:val="20"/>
          <w:color w:val="auto"/>
        </w:rPr>
      </w:pPr>
      <w:r>
        <w:rPr>
          <w:rFonts w:ascii="Arial" w:cs="Arial" w:eastAsia="Arial" w:hAnsi="Arial"/>
          <w:sz w:val="17"/>
          <w:szCs w:val="17"/>
          <w:color w:val="auto"/>
        </w:rPr>
        <w:t>excluding the distribution declared in a quarter with a record date occurring after the quarter-end. 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63" w:lineRule="exact"/>
        <w:rPr>
          <w:sz w:val="20"/>
          <w:szCs w:val="20"/>
          <w:color w:val="auto"/>
        </w:rPr>
      </w:pPr>
    </w:p>
    <w:p>
      <w:pPr>
        <w:ind w:left="180" w:right="579" w:firstLine="270"/>
        <w:spacing w:after="0" w:line="289" w:lineRule="auto"/>
        <w:rPr>
          <w:sz w:val="20"/>
          <w:szCs w:val="20"/>
          <w:color w:val="auto"/>
        </w:rPr>
      </w:pPr>
      <w:r>
        <w:rPr>
          <w:rFonts w:ascii="Arial" w:cs="Arial" w:eastAsia="Arial" w:hAnsi="Arial"/>
          <w:sz w:val="16"/>
          <w:szCs w:val="16"/>
          <w:color w:val="auto"/>
        </w:rPr>
        <w:t>It is the Company’s primary investment objective to generate current income and capital appreciation by lending directly to privately-held middle market companies. During the year ended December 31, 2016, the Company provided approximately $76.7 million to portfolio companies to support their growth objectives. None of this support was contractually obligated. See also Note 8 – Commitments and Contingencies. As of December 31, 2016, the Company held loans it made to 96 investee companies with aggregate principal amounts of approximately $246.7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year ended December 31, 2016, the Company did not engage in any such or similar activities.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2014, the FASB issued Accounting Standards Update (“ASU”) 2014-15, “Presentation of Financial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Statements — Going Concern (Subtopic 205-40): Disclosure of Uncertainties about an Entity’s Ability to Continue as a Going</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Concern” (“ASU 2014-15”). The standard requires management to evaluate, at each interim and annual reporting period, whether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are conditions or events that raise substantial doubt about the entity’s ability to continue as a going concern within one year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after the date the financial statements are issued, and provide related disclosures. ASU 2014-15 is effective for annual periods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ending after December 15, 2016, and for annual and interim periods thereafter. We have adopted ASU 2014-15, and there was no</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material impact on our financial statements.</w:t>
      </w:r>
    </w:p>
    <w:p>
      <w:pPr>
        <w:spacing w:after="0" w:line="103" w:lineRule="exact"/>
        <w:rPr>
          <w:sz w:val="20"/>
          <w:szCs w:val="20"/>
          <w:color w:val="auto"/>
        </w:rPr>
      </w:pPr>
    </w:p>
    <w:p>
      <w:pPr>
        <w:ind w:left="180" w:right="539" w:firstLine="270"/>
        <w:spacing w:after="0" w:line="255" w:lineRule="auto"/>
        <w:rPr>
          <w:sz w:val="20"/>
          <w:szCs w:val="20"/>
          <w:color w:val="auto"/>
        </w:rPr>
      </w:pPr>
      <w:r>
        <w:rPr>
          <w:rFonts w:ascii="Arial" w:cs="Arial" w:eastAsia="Arial" w:hAnsi="Arial"/>
          <w:sz w:val="18"/>
          <w:szCs w:val="18"/>
          <w:color w:val="auto"/>
        </w:rPr>
        <w:t>In April 2015, the FASB issued Accounting Standards Update 2015-03, Interest — Imputation of Interest (Subtopic 835-30): Simplifying the Presentation of Debt Issuance Costs. Under this guidance, debt issuance costs related to a recognized debt liability are to be presented as a direct deduction from the debt liability rather than as an asset on the balance sheet, consistent with debt discounts. For public business entities, the final guidance was effective for fiscal years beginning after December 15, 2015, and interim periods within those fiscal years. Early adoption was permitted. The Company adopted the new guidance beginning the first quarter of 2016.</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impact of the Accounting Standards Update 2015-03 on our Consolidated Balance Sheet at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2015:</w:t>
      </w:r>
    </w:p>
    <w:p>
      <w:pPr>
        <w:spacing w:after="0" w:line="20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18858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1037"/>
              <w:spacing w:after="0"/>
              <w:rPr>
                <w:sz w:val="20"/>
                <w:szCs w:val="20"/>
                <w:color w:val="auto"/>
              </w:rPr>
            </w:pPr>
            <w:r>
              <w:rPr>
                <w:rFonts w:ascii="Arial" w:cs="Arial" w:eastAsia="Arial" w:hAnsi="Arial"/>
                <w:sz w:val="14"/>
                <w:szCs w:val="14"/>
                <w:b w:val="1"/>
                <w:bCs w:val="1"/>
                <w:color w:val="auto"/>
                <w:w w:val="92"/>
              </w:rPr>
              <w:t>As of December 31, 2015</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57"/>
              <w:spacing w:after="0" w:line="119" w:lineRule="exact"/>
              <w:rPr>
                <w:sz w:val="20"/>
                <w:szCs w:val="20"/>
                <w:color w:val="auto"/>
              </w:rPr>
            </w:pPr>
            <w:r>
              <w:rPr>
                <w:rFonts w:ascii="Arial" w:cs="Arial" w:eastAsia="Arial" w:hAnsi="Arial"/>
                <w:sz w:val="13"/>
                <w:szCs w:val="13"/>
                <w:b w:val="1"/>
                <w:bCs w:val="1"/>
                <w:color w:val="auto"/>
              </w:rPr>
              <w:t>As originally</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157"/>
              <w:spacing w:after="0" w:line="119" w:lineRule="exact"/>
              <w:rPr>
                <w:sz w:val="20"/>
                <w:szCs w:val="20"/>
                <w:color w:val="auto"/>
              </w:rPr>
            </w:pPr>
            <w:r>
              <w:rPr>
                <w:rFonts w:ascii="Arial" w:cs="Arial" w:eastAsia="Arial" w:hAnsi="Arial"/>
                <w:sz w:val="13"/>
                <w:szCs w:val="13"/>
                <w:b w:val="1"/>
                <w:bCs w:val="1"/>
                <w:color w:val="auto"/>
              </w:rPr>
              <w:t>Impact of</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rPr>
              <w:t>Balance Sheet</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adoption</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1"/>
              </w:rPr>
              <w:t>after adjustment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4,603,855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(4,037,644)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566,211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issued by KCAP Senior Funding I, LLC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144,442,405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(3,126,009)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141,316,396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7.375% Notes Due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41,400,000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(890,344)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40,509,656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19,299,000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19,277,709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3"/>
        </w:trPr>
        <w:tc>
          <w:tcPr>
            <w:tcW w:w="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100" w:type="dxa"/>
            <w:vAlign w:val="bottom"/>
            <w:gridSpan w:val="2"/>
          </w:tcPr>
          <w:p>
            <w:pPr>
              <w:jc w:val="right"/>
              <w:ind w:right="637"/>
              <w:spacing w:after="0"/>
              <w:rPr>
                <w:sz w:val="20"/>
                <w:szCs w:val="20"/>
                <w:color w:val="auto"/>
              </w:rPr>
            </w:pPr>
            <w:r>
              <w:rPr>
                <w:rFonts w:ascii="Arial" w:cs="Arial" w:eastAsia="Arial" w:hAnsi="Arial"/>
                <w:sz w:val="18"/>
                <w:szCs w:val="18"/>
                <w:color w:val="auto"/>
                <w:w w:val="97"/>
              </w:rPr>
              <w:t>F-28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4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US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Management is still evaluating the effect of the new standard.</w:t>
      </w:r>
    </w:p>
    <w:p>
      <w:pPr>
        <w:spacing w:after="0" w:line="71" w:lineRule="exact"/>
        <w:rPr>
          <w:sz w:val="20"/>
          <w:szCs w:val="20"/>
          <w:color w:val="auto"/>
        </w:rPr>
      </w:pPr>
    </w:p>
    <w:p>
      <w:pPr>
        <w:ind w:left="40" w:right="639" w:firstLine="270"/>
        <w:spacing w:after="0" w:line="272"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(“ASU 2016-09”). The amendments in ASU 2016-09 affect all entities that issue share-based payment awards to their employees and involve multiple aspects of the accounting for share-based payment transactions, including income tax consequences, classification of awards as either equity or liabilities, and classification on the statement of cash flows. For public business entities, ASU 2016-09 is effective for annual periods beginning after December 15 2016, and interim periods within those annual periods. Early adoption is permitted. We do not expect to adopt ASU 2016-09 early. Management is still evaluating the effect of the new standard.</w:t>
      </w:r>
    </w:p>
    <w:p>
      <w:pPr>
        <w:spacing w:after="0" w:line="70"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In November 2016, the FASB issued Accounting Standards Update 2016-18, Restricted Cash (“ASU 2016-18”) which requires entities to show the changes in the total cash, cash equivalents, restricted cash and restricted cash equivalents in the statement of cash flows. The guidance is effective for fiscal years beginning after December 15, 2017, and interim periods within those years. Early adoption is permitted, and entities will be required to apply the guidance retrospectively when adopted. Management is still evaluating the effect of the new standard.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Investment transactions are recorded on the applicable trade date. Realized gains or losses are determined using the specific identification method.</w:t>
      </w:r>
    </w:p>
    <w:p>
      <w:pPr>
        <w:spacing w:after="0" w:line="62"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w:t>
      </w:r>
      <w:r>
        <w:rPr>
          <w:rFonts w:ascii="Arial" w:cs="Arial" w:eastAsia="Arial" w:hAnsi="Arial"/>
          <w:sz w:val="17"/>
          <w:szCs w:val="17"/>
          <w:i w:val="1"/>
          <w:iCs w:val="1"/>
          <w:color w:val="auto"/>
        </w:rPr>
        <w:t xml:space="preserve"> </w:t>
      </w:r>
      <w:r>
        <w:rPr>
          <w:rFonts w:ascii="Arial" w:cs="Arial" w:eastAsia="Arial" w:hAnsi="Arial"/>
          <w:sz w:val="17"/>
          <w:szCs w:val="17"/>
          <w:color w:val="auto"/>
        </w:rPr>
        <w:t>faith determination of the 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75"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(see Note 4 — “Investments — Fair Value Measurements” for further information relating to Level I, Level II and Level III). The guidance also required that purchases, sales, issuances and settlements be presented gross in the Level III reconciliation.</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1099" w:firstLine="270"/>
        <w:spacing w:after="0" w:line="342" w:lineRule="auto"/>
        <w:rPr>
          <w:sz w:val="20"/>
          <w:szCs w:val="20"/>
          <w:color w:val="auto"/>
        </w:rPr>
      </w:pPr>
      <w:r>
        <w:rPr>
          <w:rFonts w:ascii="Arial" w:cs="Arial" w:eastAsia="Arial" w:hAnsi="Arial"/>
          <w:sz w:val="16"/>
          <w:szCs w:val="16"/>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6"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Company utilizes an independent valuation firm to provide an annual third-party review of the Company’s CLO Securities fair value model relative to its functionality, model inputs and calculations as a reasonable method to determine fair values of CLO Securities, in the absence of Level I or Level II trading activity or observable market inputs. The independent valuation firm’s 2016 annual review concluded that the Company’s model appropriately factors in all the necessary inputs required to build an equity cash flow model for CLO Securities fair for value purposes and that the inputs were being employed correctly.</w:t>
      </w:r>
    </w:p>
    <w:p>
      <w:pPr>
        <w:spacing w:after="0" w:line="50"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Board of Directors may consider other methods of valuation than those set forth below to determine the fair value of Level</w:t>
      </w:r>
    </w:p>
    <w:p>
      <w:pPr>
        <w:spacing w:after="0" w:line="46" w:lineRule="exact"/>
        <w:rPr>
          <w:sz w:val="20"/>
          <w:szCs w:val="20"/>
          <w:color w:val="auto"/>
        </w:rPr>
      </w:pPr>
    </w:p>
    <w:p>
      <w:pPr>
        <w:ind w:left="40" w:right="699" w:firstLine="8"/>
        <w:spacing w:after="0" w:line="270" w:lineRule="auto"/>
        <w:tabs>
          <w:tab w:leader="none" w:pos="265"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71"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64"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To the extent that the Company’s investments are exchange traded and are priced or have sufficient price</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from normal 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71"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w:t>
      </w:r>
    </w:p>
    <w:p>
      <w:pPr>
        <w:spacing w:after="0" w:line="200" w:lineRule="exact"/>
        <w:rPr>
          <w:sz w:val="20"/>
          <w:szCs w:val="20"/>
          <w:color w:val="auto"/>
        </w:rPr>
      </w:pPr>
    </w:p>
    <w:p>
      <w:pPr>
        <w:spacing w:after="0" w:line="3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539"/>
        <w:spacing w:after="0" w:line="286" w:lineRule="auto"/>
        <w:rPr>
          <w:sz w:val="20"/>
          <w:szCs w:val="20"/>
          <w:color w:val="auto"/>
        </w:rPr>
      </w:pPr>
      <w:r>
        <w:rPr>
          <w:rFonts w:ascii="Arial" w:cs="Arial" w:eastAsia="Arial" w:hAnsi="Arial"/>
          <w:sz w:val="16"/>
          <w:szCs w:val="16"/>
          <w:color w:val="auto"/>
        </w:rPr>
        <w:t>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277" w:lineRule="exact"/>
        <w:rPr>
          <w:sz w:val="20"/>
          <w:szCs w:val="20"/>
          <w:color w:val="auto"/>
        </w:rPr>
      </w:pPr>
    </w:p>
    <w:p>
      <w:pPr>
        <w:ind w:left="40" w:right="659" w:firstLine="270"/>
        <w:spacing w:after="0" w:line="271"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The Company’s equity securities in portfolio companies for which there is no liquid public market are</w:t>
      </w:r>
      <w:r>
        <w:rPr>
          <w:rFonts w:ascii="Arial" w:cs="Arial" w:eastAsia="Arial" w:hAnsi="Arial"/>
          <w:sz w:val="17"/>
          <w:szCs w:val="17"/>
          <w:i w:val="1"/>
          <w:iCs w:val="1"/>
          <w:color w:val="auto"/>
        </w:rPr>
        <w:t xml:space="preserve"> </w:t>
      </w:r>
      <w:r>
        <w:rPr>
          <w:rFonts w:ascii="Arial" w:cs="Arial" w:eastAsia="Arial" w:hAnsi="Arial"/>
          <w:sz w:val="17"/>
          <w:szCs w:val="17"/>
          <w:color w:val="auto"/>
        </w:rPr>
        <w:t>carried at fair value based on 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7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70"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i w:val="1"/>
          <w:iCs w:val="1"/>
          <w:color w:val="auto"/>
        </w:rPr>
        <w:t xml:space="preserve">Asset Manager Affiliates. </w:t>
      </w:r>
      <w:r>
        <w:rPr>
          <w:rFonts w:ascii="Arial" w:cs="Arial" w:eastAsia="Arial" w:hAnsi="Arial"/>
          <w:sz w:val="18"/>
          <w:szCs w:val="18"/>
          <w:color w:val="auto"/>
        </w:rPr>
        <w:t>The Company’s investments in its wholly-owned asset management companies, the Asset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are carried at fair value, which is primarily determined utilizing the Discounted Cash Flow approach (as defined below),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w:t>
      </w:r>
    </w:p>
    <w:p>
      <w:pPr>
        <w:spacing w:after="0" w:line="8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i w:val="1"/>
          <w:iCs w:val="1"/>
          <w:color w:val="auto"/>
        </w:rPr>
        <w:t xml:space="preserve">CLO Fund Securities. </w:t>
      </w:r>
      <w:r>
        <w:rPr>
          <w:rFonts w:ascii="Arial" w:cs="Arial" w:eastAsia="Arial" w:hAnsi="Arial"/>
          <w:sz w:val="18"/>
          <w:szCs w:val="18"/>
          <w:color w:val="auto"/>
        </w:rPr>
        <w:t>The Company typically makes a minority investment in the most junior class of securities of CLO Funds</w:t>
      </w:r>
      <w:r>
        <w:rPr>
          <w:rFonts w:ascii="Arial" w:cs="Arial" w:eastAsia="Arial" w:hAnsi="Arial"/>
          <w:sz w:val="18"/>
          <w:szCs w:val="18"/>
          <w:i w:val="1"/>
          <w:iCs w:val="1"/>
          <w:color w:val="auto"/>
        </w:rPr>
        <w:t xml:space="preserve"> </w:t>
      </w:r>
      <w:r>
        <w:rPr>
          <w:rFonts w:ascii="Arial" w:cs="Arial" w:eastAsia="Arial" w:hAnsi="Arial"/>
          <w:sz w:val="18"/>
          <w:szCs w:val="18"/>
          <w:color w:val="auto"/>
        </w:rPr>
        <w:t>raised and managed by 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64" w:lineRule="exact"/>
        <w:rPr>
          <w:sz w:val="20"/>
          <w:szCs w:val="20"/>
          <w:color w:val="auto"/>
        </w:rPr>
      </w:pPr>
    </w:p>
    <w:p>
      <w:pPr>
        <w:ind w:left="40" w:right="619" w:firstLine="270"/>
        <w:spacing w:after="0" w:line="287"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65"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70"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Company defines cash as demand deposits. The Company places its cash with financial institutions and, at times,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held in checking accounts may exceed the Federal Deposit Insurance Corporation insured limit.</w:t>
      </w:r>
    </w:p>
    <w:p>
      <w:pPr>
        <w:spacing w:after="0" w:line="62" w:lineRule="exact"/>
        <w:rPr>
          <w:sz w:val="20"/>
          <w:szCs w:val="20"/>
          <w:color w:val="auto"/>
        </w:rPr>
      </w:pPr>
    </w:p>
    <w:p>
      <w:pPr>
        <w:ind w:left="40" w:right="779" w:firstLine="270"/>
        <w:spacing w:after="0" w:line="342" w:lineRule="auto"/>
        <w:rPr>
          <w:sz w:val="20"/>
          <w:szCs w:val="20"/>
          <w:color w:val="auto"/>
        </w:rPr>
      </w:pPr>
      <w:r>
        <w:rPr>
          <w:rFonts w:ascii="Arial" w:cs="Arial" w:eastAsia="Arial" w:hAnsi="Arial"/>
          <w:sz w:val="16"/>
          <w:szCs w:val="16"/>
          <w:b w:val="1"/>
          <w:bCs w:val="1"/>
          <w:i w:val="1"/>
          <w:iCs w:val="1"/>
          <w:color w:val="auto"/>
        </w:rPr>
        <w:t>Restricted Cash</w:t>
      </w:r>
      <w:r>
        <w:rPr>
          <w:rFonts w:ascii="Arial" w:cs="Arial" w:eastAsia="Arial" w:hAnsi="Arial"/>
          <w:sz w:val="16"/>
          <w:szCs w:val="16"/>
          <w:color w:val="auto"/>
        </w:rPr>
        <w:t>. Restricted cash and cash equivalents (e.g., money market funds) consists of cash held for reinvestment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quarterly interest and principal distribution (if any) to holders of notes issued by KCAP Senior Funding I, LLC.</w:t>
      </w:r>
    </w:p>
    <w:p>
      <w:pPr>
        <w:spacing w:after="0" w:line="16"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b w:val="1"/>
          <w:bCs w:val="1"/>
          <w:i w:val="1"/>
          <w:iCs w:val="1"/>
          <w:color w:val="auto"/>
        </w:rPr>
        <w:t xml:space="preserve">Time Deposits and Money Market Accounts. </w:t>
      </w:r>
      <w:r>
        <w:rPr>
          <w:rFonts w:ascii="Arial" w:cs="Arial" w:eastAsia="Arial" w:hAnsi="Arial"/>
          <w:sz w:val="18"/>
          <w:szCs w:val="18"/>
          <w:color w:val="auto"/>
        </w:rPr>
        <w:t>Time deposits primarily represent investments of cash held in demand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Money market accounts primarily represent short term interest-bearing deposit accounts and also includes restricted cash held under employee benefit plans.</w:t>
      </w:r>
    </w:p>
    <w:p>
      <w:pPr>
        <w:spacing w:after="0" w:line="200" w:lineRule="exact"/>
        <w:rPr>
          <w:sz w:val="20"/>
          <w:szCs w:val="20"/>
          <w:color w:val="auto"/>
        </w:rPr>
      </w:pPr>
    </w:p>
    <w:p>
      <w:pPr>
        <w:spacing w:after="0" w:line="3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including the amortization of premium and accretion of discount and accrual of payment-in-kind (“PIK”) interest, is 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December 31, 2016, two of our investments were on partial non-accrual status, whereby we have recognized income on a portion of contractual PIK amounts due. As of December 31, 2015, there was one issuer on non-accrual status.</w:t>
      </w:r>
    </w:p>
    <w:p>
      <w:pPr>
        <w:spacing w:after="0" w:line="61"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b w:val="1"/>
          <w:bCs w:val="1"/>
          <w:i w:val="1"/>
          <w:iCs w:val="1"/>
          <w:color w:val="auto"/>
        </w:rPr>
        <w:t xml:space="preserve">Distributions from Asset Manager Affiliates. </w:t>
      </w:r>
      <w:r>
        <w:rPr>
          <w:rFonts w:ascii="Arial" w:cs="Arial" w:eastAsia="Arial" w:hAnsi="Arial"/>
          <w:sz w:val="17"/>
          <w:szCs w:val="17"/>
          <w:color w:val="auto"/>
        </w:rPr>
        <w:t>The Company records distributions from our Asset Manager Affiliates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declaration date, which 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71"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b w:val="1"/>
          <w:bCs w:val="1"/>
          <w:i w:val="1"/>
          <w:iCs w:val="1"/>
          <w:color w:val="auto"/>
        </w:rPr>
        <w:t>Investment Income on CLO Fund Securities</w:t>
      </w:r>
      <w:r>
        <w:rPr>
          <w:rFonts w:ascii="Arial" w:cs="Arial" w:eastAsia="Arial" w:hAnsi="Arial"/>
          <w:sz w:val="17"/>
          <w:szCs w:val="17"/>
          <w:color w:val="auto"/>
        </w:rPr>
        <w:t>. The Company generates investment income from its investments in the most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junior class of securities of CLO Funds (typically preferred shares or subordinated securities) managed by the Asset Manager Affiliates and select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71"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59"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Catamaran 2014-1 CLO, interest is earned at a fixed spread relative to the LIBOR index.</w:t>
      </w:r>
    </w:p>
    <w:p>
      <w:pPr>
        <w:spacing w:after="0" w:line="62" w:lineRule="exact"/>
        <w:rPr>
          <w:sz w:val="20"/>
          <w:szCs w:val="20"/>
          <w:color w:val="auto"/>
        </w:rPr>
      </w:pPr>
    </w:p>
    <w:p>
      <w:pPr>
        <w:ind w:left="40" w:right="839" w:firstLine="270"/>
        <w:spacing w:after="0" w:line="257" w:lineRule="auto"/>
        <w:rPr>
          <w:sz w:val="20"/>
          <w:szCs w:val="20"/>
          <w:color w:val="auto"/>
        </w:rPr>
      </w:pPr>
      <w:r>
        <w:rPr>
          <w:rFonts w:ascii="Arial" w:cs="Arial" w:eastAsia="Arial" w:hAnsi="Arial"/>
          <w:sz w:val="18"/>
          <w:szCs w:val="18"/>
          <w:b w:val="1"/>
          <w:bCs w:val="1"/>
          <w:i w:val="1"/>
          <w:iCs w:val="1"/>
          <w:color w:val="auto"/>
        </w:rPr>
        <w:t>Capital Structuring Service Fees</w:t>
      </w:r>
      <w:r>
        <w:rPr>
          <w:rFonts w:ascii="Arial" w:cs="Arial" w:eastAsia="Arial" w:hAnsi="Arial"/>
          <w:sz w:val="18"/>
          <w:szCs w:val="18"/>
          <w:color w:val="auto"/>
        </w:rPr>
        <w:t>. The Company may earn ancillary structuring and other fees related to the origination,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disposition or 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939" w:firstLine="270"/>
        <w:spacing w:after="0" w:line="264" w:lineRule="auto"/>
        <w:rPr>
          <w:sz w:val="20"/>
          <w:szCs w:val="20"/>
          <w:color w:val="auto"/>
        </w:rPr>
      </w:pPr>
      <w:r>
        <w:rPr>
          <w:rFonts w:ascii="Arial" w:cs="Arial" w:eastAsia="Arial" w:hAnsi="Arial"/>
          <w:sz w:val="18"/>
          <w:szCs w:val="18"/>
          <w:b w:val="1"/>
          <w:bCs w:val="1"/>
          <w:i w:val="1"/>
          <w:iCs w:val="1"/>
          <w:color w:val="auto"/>
        </w:rPr>
        <w:t>Debt Issuance Costs</w:t>
      </w:r>
      <w:r>
        <w:rPr>
          <w:rFonts w:ascii="Arial" w:cs="Arial" w:eastAsia="Arial" w:hAnsi="Arial"/>
          <w:sz w:val="18"/>
          <w:szCs w:val="18"/>
          <w:color w:val="auto"/>
        </w:rPr>
        <w:t>. Debt issuance costs represent fees and other direct costs incurred in connection with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borrowings. These amounts are capitalized and amortized using the effective interest method over the expected term of the borrowing.</w:t>
      </w:r>
    </w:p>
    <w:p>
      <w:pPr>
        <w:spacing w:after="0" w:line="73" w:lineRule="exact"/>
        <w:rPr>
          <w:sz w:val="20"/>
          <w:szCs w:val="20"/>
          <w:color w:val="auto"/>
        </w:rPr>
      </w:pPr>
    </w:p>
    <w:p>
      <w:pPr>
        <w:ind w:left="40" w:right="519" w:firstLine="270"/>
        <w:spacing w:after="0" w:line="276" w:lineRule="auto"/>
        <w:rPr>
          <w:sz w:val="20"/>
          <w:szCs w:val="20"/>
          <w:color w:val="auto"/>
        </w:rPr>
      </w:pPr>
      <w:r>
        <w:rPr>
          <w:rFonts w:ascii="Arial" w:cs="Arial" w:eastAsia="Arial" w:hAnsi="Arial"/>
          <w:sz w:val="17"/>
          <w:szCs w:val="17"/>
          <w:b w:val="1"/>
          <w:bCs w:val="1"/>
          <w:i w:val="1"/>
          <w:iCs w:val="1"/>
          <w:color w:val="auto"/>
        </w:rPr>
        <w:t>Extinguishment of debt</w:t>
      </w:r>
      <w:r>
        <w:rPr>
          <w:rFonts w:ascii="Arial" w:cs="Arial" w:eastAsia="Arial" w:hAnsi="Arial"/>
          <w:sz w:val="17"/>
          <w:szCs w:val="17"/>
          <w:color w:val="auto"/>
        </w:rPr>
        <w:t>. The Company must derecognize a liability if and only if it has been extinguished through delivery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delivery of other 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64"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color w:val="auto"/>
        </w:rPr>
        <w:t>. The Company is internally managed and expenses costs, as incurred, with regard to the running of its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operating expenses 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81"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b w:val="1"/>
          <w:bCs w:val="1"/>
          <w:i w:val="1"/>
          <w:iCs w:val="1"/>
          <w:color w:val="auto"/>
        </w:rPr>
        <w:t>Shareholder Distributions</w:t>
      </w:r>
      <w:r>
        <w:rPr>
          <w:rFonts w:ascii="Arial" w:cs="Arial" w:eastAsia="Arial" w:hAnsi="Arial"/>
          <w:sz w:val="18"/>
          <w:szCs w:val="18"/>
          <w:color w:val="auto"/>
        </w:rPr>
        <w:t>. Distributions to common stockholders are recorded on the ex-dividend date.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if any, is determined by the Board of Directors each quarter.</w:t>
      </w:r>
    </w:p>
    <w:p>
      <w:pPr>
        <w:spacing w:after="0" w:line="62" w:lineRule="exact"/>
        <w:rPr>
          <w:sz w:val="20"/>
          <w:szCs w:val="20"/>
          <w:color w:val="auto"/>
        </w:rPr>
      </w:pPr>
    </w:p>
    <w:p>
      <w:pPr>
        <w:jc w:val="both"/>
        <w:ind w:left="40" w:right="919" w:firstLine="270"/>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distributions automatically reinvested in additional shares of the Company’s common stock.</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EARNINGS (LOSSES) PER SHARE</w:t>
      </w:r>
    </w:p>
    <w:p>
      <w:pPr>
        <w:spacing w:after="0" w:line="121"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2" w:name="page113"/>
    <w:bookmarkEnd w:id="11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3. EARNINGS (LOSSES) PER SHARE – (continued)</w:t>
      </w:r>
    </w:p>
    <w:p>
      <w:pPr>
        <w:spacing w:after="0" w:line="1" w:lineRule="exact"/>
        <w:rPr>
          <w:sz w:val="20"/>
          <w:szCs w:val="20"/>
          <w:color w:val="auto"/>
        </w:rPr>
      </w:pPr>
    </w:p>
    <w:p>
      <w:pPr>
        <w:ind w:left="60" w:right="799" w:firstLine="270"/>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years ended December 31, 2016,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196"/>
        </w:trPr>
        <w:tc>
          <w:tcPr>
            <w:tcW w:w="4940" w:type="dxa"/>
            <w:vAlign w:val="bottom"/>
            <w:vMerge w:val="restart"/>
          </w:tcPr>
          <w:p>
            <w:pPr>
              <w:ind w:left="20"/>
              <w:spacing w:after="0"/>
              <w:rPr>
                <w:sz w:val="20"/>
                <w:szCs w:val="20"/>
                <w:color w:val="auto"/>
              </w:rPr>
            </w:pPr>
            <w:r>
              <w:rPr>
                <w:rFonts w:ascii="Arial" w:cs="Arial" w:eastAsia="Arial" w:hAnsi="Arial"/>
                <w:sz w:val="18"/>
                <w:szCs w:val="18"/>
                <w:color w:val="auto"/>
                <w:w w:val="97"/>
              </w:rPr>
              <w:t>Net (decrease)/increase in net assets resulting from operations</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(1,039,731)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(18,634,558)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15,033,594</w:t>
            </w: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Net increase/(decrease) in net assets allocated to unvested share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(201,239)</w:t>
            </w:r>
          </w:p>
        </w:tc>
        <w:tc>
          <w:tcPr>
            <w:tcW w:w="0" w:type="dxa"/>
            <w:vAlign w:val="bottom"/>
          </w:tcPr>
          <w:p>
            <w:pPr>
              <w:spacing w:after="0"/>
              <w:rPr>
                <w:sz w:val="1"/>
                <w:szCs w:val="1"/>
                <w:color w:val="auto"/>
              </w:rPr>
            </w:pPr>
          </w:p>
        </w:tc>
      </w:tr>
      <w:tr>
        <w:trPr>
          <w:trHeight w:val="195"/>
        </w:trPr>
        <w:tc>
          <w:tcPr>
            <w:tcW w:w="494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Net (decrease)/increase in net assets available to common</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(1,025,211)</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(18,301,689)</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14,832,355</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9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1"/>
              </w:rPr>
              <w:t>Weighted average number of common shares outstanding for basic</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computation</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37,149,663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36,964,444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34,248,346</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Effect of dilutive securities – stock options</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11,631</w:t>
            </w:r>
          </w:p>
        </w:tc>
        <w:tc>
          <w:tcPr>
            <w:tcW w:w="0" w:type="dxa"/>
            <w:vAlign w:val="bottom"/>
          </w:tcPr>
          <w:p>
            <w:pPr>
              <w:spacing w:after="0"/>
              <w:rPr>
                <w:sz w:val="1"/>
                <w:szCs w:val="1"/>
                <w:color w:val="auto"/>
              </w:rPr>
            </w:pPr>
          </w:p>
        </w:tc>
      </w:tr>
      <w:tr>
        <w:trPr>
          <w:trHeight w:val="195"/>
        </w:trPr>
        <w:tc>
          <w:tcPr>
            <w:tcW w:w="49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 average number of common and common stock</w:t>
            </w: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equivalent shares outstanding for diluted shares computation</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37,149,663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36,964,444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34,259,977</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increase in net assets per basic common shares: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Net increase in net assets per diluted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-1594485</wp:posOffset>
            </wp:positionV>
            <wp:extent cx="5213985" cy="3175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-582295</wp:posOffset>
            </wp:positionV>
            <wp:extent cx="5213985"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74" w:lineRule="exact"/>
        <w:rPr>
          <w:sz w:val="20"/>
          <w:szCs w:val="20"/>
          <w:color w:val="auto"/>
        </w:rPr>
      </w:pPr>
    </w:p>
    <w:p>
      <w:pPr>
        <w:ind w:left="60" w:right="619" w:firstLine="270"/>
        <w:spacing w:after="0" w:line="257"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80" w:lineRule="exact"/>
        <w:rPr>
          <w:sz w:val="20"/>
          <w:szCs w:val="20"/>
          <w:color w:val="auto"/>
        </w:rPr>
      </w:pPr>
    </w:p>
    <w:p>
      <w:pPr>
        <w:ind w:left="60" w:right="639" w:firstLine="270"/>
        <w:spacing w:after="0" w:line="316" w:lineRule="auto"/>
        <w:rPr>
          <w:sz w:val="20"/>
          <w:szCs w:val="20"/>
          <w:color w:val="auto"/>
        </w:rPr>
      </w:pPr>
      <w:r>
        <w:rPr>
          <w:rFonts w:ascii="Arial" w:cs="Arial" w:eastAsia="Arial" w:hAnsi="Arial"/>
          <w:sz w:val="15"/>
          <w:szCs w:val="15"/>
          <w:color w:val="auto"/>
        </w:rPr>
        <w:t>There were 50,000 options to purchase shares of common stock considered for the computation of the diluted per share information for the year ended December 31, 2016. Since the effects are anti-dilutive for both periods, the options were not included in the computation. For the year ended December 31, 2016 and 2015, the company purchased 67,654 and 36,348 shares, respectively, of common stock in connection with the vesting of employee’s restricted stock, such shares are treated as treasury shares and reduce the weighted average shares outstanding in the computation of earnings per share. For the year ended December 31, 2014, options to purchase 11,631 shares of common stock was included in the computation of diluted earnings per share.</w:t>
      </w:r>
    </w:p>
    <w:p>
      <w:pPr>
        <w:spacing w:after="0" w:line="42" w:lineRule="exact"/>
        <w:rPr>
          <w:sz w:val="20"/>
          <w:szCs w:val="20"/>
          <w:color w:val="auto"/>
        </w:rPr>
      </w:pPr>
    </w:p>
    <w:p>
      <w:pPr>
        <w:ind w:left="60" w:right="559" w:firstLine="270"/>
        <w:spacing w:after="0" w:line="271" w:lineRule="auto"/>
        <w:rPr>
          <w:sz w:val="20"/>
          <w:szCs w:val="20"/>
          <w:color w:val="auto"/>
        </w:rPr>
      </w:pPr>
      <w:r>
        <w:rPr>
          <w:rFonts w:ascii="Arial" w:cs="Arial" w:eastAsia="Arial" w:hAnsi="Arial"/>
          <w:sz w:val="17"/>
          <w:szCs w:val="17"/>
          <w:color w:val="auto"/>
        </w:rPr>
        <w:t>The Company’s Convertible Notes were included in the computation of the diluted net increase or decrease in net assets resulting from operations per share by application of the “if-converted method” for periods when the Convertible Notes were outstanding. Under the if-converted method, interest charges applicable to the convertible notes for the period are added to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year ended December 31, 2015, the effects of the Convertible Notes are anti-dilutive. The Convertible Notes matured and were repaid in March 2016.</w:t>
      </w:r>
    </w:p>
    <w:p>
      <w:pPr>
        <w:spacing w:after="0" w:line="200" w:lineRule="exact"/>
        <w:rPr>
          <w:sz w:val="20"/>
          <w:szCs w:val="20"/>
          <w:color w:val="auto"/>
        </w:rPr>
      </w:pPr>
    </w:p>
    <w:p>
      <w:pPr>
        <w:spacing w:after="0" w:line="3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3" w:name="page114"/>
    <w:bookmarkEnd w:id="11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Company’s portfolio by security type at December 31, 2016 and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517969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Security Type</w:t>
            </w:r>
          </w:p>
        </w:tc>
        <w:tc>
          <w:tcPr>
            <w:tcW w:w="80" w:type="dxa"/>
            <w:vAlign w:val="bottom"/>
          </w:tcPr>
          <w:p>
            <w:pPr>
              <w:spacing w:after="0"/>
              <w:rPr>
                <w:sz w:val="10"/>
                <w:szCs w:val="10"/>
                <w:color w:val="auto"/>
              </w:rPr>
            </w:pPr>
          </w:p>
        </w:tc>
        <w:tc>
          <w:tcPr>
            <w:tcW w:w="10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Cost/Amortized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0"/>
                <w:szCs w:val="10"/>
                <w:color w:val="auto"/>
              </w:rPr>
            </w:pPr>
          </w:p>
        </w:tc>
        <w:tc>
          <w:tcPr>
            <w:tcW w:w="560" w:type="dxa"/>
            <w:vAlign w:val="bottom"/>
            <w:gridSpan w:val="2"/>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80" w:type="dxa"/>
            <w:vAlign w:val="bottom"/>
          </w:tcPr>
          <w:p>
            <w:pPr>
              <w:spacing w:after="0"/>
              <w:rPr>
                <w:sz w:val="10"/>
                <w:szCs w:val="10"/>
                <w:color w:val="auto"/>
              </w:rPr>
            </w:pPr>
          </w:p>
        </w:tc>
        <w:tc>
          <w:tcPr>
            <w:tcW w:w="10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Cost/Amortized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0"/>
                <w:szCs w:val="10"/>
                <w:color w:val="auto"/>
              </w:rPr>
            </w:pPr>
          </w:p>
        </w:tc>
        <w:tc>
          <w:tcPr>
            <w:tcW w:w="540" w:type="dxa"/>
            <w:vAlign w:val="bottom"/>
            <w:gridSpan w:val="2"/>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30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Money Market Accounts</w:t>
            </w:r>
            <w:r>
              <w:rPr>
                <w:rFonts w:ascii="Arial" w:cs="Arial" w:eastAsia="Arial" w:hAnsi="Arial"/>
                <w:sz w:val="28"/>
                <w:szCs w:val="28"/>
                <w:color w:val="auto"/>
                <w:vertAlign w:val="superscript"/>
              </w:rPr>
              <w:t>(2)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28,699,269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28,699,269</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2,129,381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2,129,381</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Senior Secured Loan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207,701,078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200,322,152</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203,819,074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194,123,223</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300" w:type="dxa"/>
            <w:vAlign w:val="bottom"/>
            <w:gridSpan w:val="3"/>
          </w:tcPr>
          <w:p>
            <w:pPr>
              <w:ind w:left="20"/>
              <w:spacing w:after="0"/>
              <w:rPr>
                <w:sz w:val="20"/>
                <w:szCs w:val="20"/>
                <w:color w:val="auto"/>
              </w:rPr>
            </w:pPr>
            <w:r>
              <w:rPr>
                <w:rFonts w:ascii="Arial" w:cs="Arial" w:eastAsia="Arial" w:hAnsi="Arial"/>
                <w:sz w:val="18"/>
                <w:szCs w:val="18"/>
                <w:color w:val="auto"/>
              </w:rPr>
              <w:t>Junior Secured Loan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37,251,776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35,444,440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40,221,557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37,591,900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Senior Unsecured Loan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23,000,000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23,000,000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300" w:type="dxa"/>
            <w:vAlign w:val="bottom"/>
            <w:gridSpan w:val="3"/>
          </w:tcPr>
          <w:p>
            <w:pPr>
              <w:ind w:left="20"/>
              <w:spacing w:after="0"/>
              <w:rPr>
                <w:sz w:val="20"/>
                <w:szCs w:val="20"/>
                <w:color w:val="auto"/>
              </w:rPr>
            </w:pPr>
            <w:r>
              <w:rPr>
                <w:rFonts w:ascii="Arial" w:cs="Arial" w:eastAsia="Arial" w:hAnsi="Arial"/>
                <w:sz w:val="18"/>
                <w:szCs w:val="18"/>
                <w:color w:val="auto"/>
              </w:rPr>
              <w:t>First Lien Bond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3,060,919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1,089,338</w:t>
            </w:r>
          </w:p>
        </w:tc>
        <w:tc>
          <w:tcPr>
            <w:tcW w:w="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2,216,700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Senior Subordinated Bond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4,466,793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4,615,569</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300" w:type="dxa"/>
            <w:vAlign w:val="bottom"/>
            <w:gridSpan w:val="3"/>
          </w:tcPr>
          <w:p>
            <w:pPr>
              <w:ind w:left="20"/>
              <w:spacing w:after="0"/>
              <w:rPr>
                <w:sz w:val="20"/>
                <w:szCs w:val="20"/>
                <w:color w:val="auto"/>
              </w:rPr>
            </w:pPr>
            <w:r>
              <w:rPr>
                <w:rFonts w:ascii="Arial" w:cs="Arial" w:eastAsia="Arial" w:hAnsi="Arial"/>
                <w:sz w:val="18"/>
                <w:szCs w:val="18"/>
                <w:color w:val="auto"/>
              </w:rPr>
              <w:t>Senior Unsecured Bond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11,879,187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10,551,724</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Senior Secured Bond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1,506,461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1,487,400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1,503,755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3"/>
          </w:tcPr>
          <w:p>
            <w:pPr>
              <w:ind w:left="20"/>
              <w:spacing w:after="0"/>
              <w:rPr>
                <w:sz w:val="20"/>
                <w:szCs w:val="20"/>
                <w:color w:val="auto"/>
              </w:rPr>
            </w:pPr>
            <w:r>
              <w:rPr>
                <w:rFonts w:ascii="Arial" w:cs="Arial" w:eastAsia="Arial" w:hAnsi="Arial"/>
                <w:sz w:val="18"/>
                <w:szCs w:val="18"/>
                <w:color w:val="auto"/>
              </w:rPr>
              <w:t>CLO Fund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76,851,317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54,174,350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83,214,947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55,872,382</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10,389,007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10,467,787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9,548,488</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300" w:type="dxa"/>
            <w:vAlign w:val="bottom"/>
            <w:gridSpan w:val="3"/>
          </w:tcPr>
          <w:p>
            <w:pPr>
              <w:ind w:left="20"/>
              <w:spacing w:after="0"/>
              <w:rPr>
                <w:sz w:val="20"/>
                <w:szCs w:val="20"/>
                <w:color w:val="auto"/>
              </w:rPr>
            </w:pPr>
            <w:r>
              <w:rPr>
                <w:rFonts w:ascii="Arial" w:cs="Arial" w:eastAsia="Arial" w:hAnsi="Arial"/>
                <w:sz w:val="18"/>
                <w:szCs w:val="18"/>
                <w:color w:val="auto"/>
              </w:rPr>
              <w:t>Preferred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10,411,673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11,036,373</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230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29"/>
                <w:szCs w:val="29"/>
                <w:color w:val="auto"/>
                <w:vertAlign w:val="superscript"/>
              </w:rPr>
              <w:t>(3)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55,341,230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40,198,000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56,591,230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57,381,000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420,801,057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366,471,304</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450,712,189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409,570,495</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4" w:name="page115"/>
    <w:bookmarkEnd w:id="11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industry related information, based on the fair value of the Company’s investment portfolio as of December 31, 2016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2015 for the Company’s investment portfolio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December 31, 2015</w:t>
            </w:r>
            <w:r>
              <w:rPr>
                <w:rFonts w:ascii="Arial" w:cs="Arial" w:eastAsia="Arial" w:hAnsi="Arial"/>
                <w:sz w:val="23"/>
                <w:szCs w:val="23"/>
                <w:b w:val="1"/>
                <w:bCs w:val="1"/>
                <w:color w:val="auto"/>
                <w:vertAlign w:val="superscript"/>
              </w:rPr>
              <w:t>(2)</w:t>
            </w: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2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Industry Classification</w:t>
            </w:r>
          </w:p>
        </w:tc>
        <w:tc>
          <w:tcPr>
            <w:tcW w:w="60" w:type="dxa"/>
            <w:vAlign w:val="bottom"/>
          </w:tcPr>
          <w:p>
            <w:pPr>
              <w:spacing w:after="0"/>
              <w:rPr>
                <w:sz w:val="10"/>
                <w:szCs w:val="10"/>
                <w:color w:val="auto"/>
              </w:rPr>
            </w:pPr>
          </w:p>
        </w:tc>
        <w:tc>
          <w:tcPr>
            <w:tcW w:w="108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Cost/Amortized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3"/>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60" w:type="dxa"/>
            <w:vAlign w:val="bottom"/>
          </w:tcPr>
          <w:p>
            <w:pPr>
              <w:spacing w:after="0"/>
              <w:rPr>
                <w:sz w:val="10"/>
                <w:szCs w:val="10"/>
                <w:color w:val="auto"/>
              </w:rPr>
            </w:pPr>
          </w:p>
        </w:tc>
        <w:tc>
          <w:tcPr>
            <w:tcW w:w="108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Cost/Amortized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600" w:type="dxa"/>
            <w:vAlign w:val="bottom"/>
            <w:gridSpan w:val="3"/>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1"/>
        </w:trPr>
        <w:tc>
          <w:tcPr>
            <w:tcW w:w="24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Aerospace and Defense</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8,394,633</w:t>
            </w: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8,450,106</w:t>
            </w:r>
          </w:p>
        </w:tc>
        <w:tc>
          <w:tcPr>
            <w:tcW w:w="8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6,910,349</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6,383,724</w:t>
            </w:r>
          </w:p>
        </w:tc>
        <w:tc>
          <w:tcPr>
            <w:tcW w:w="6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5"/>
        </w:trPr>
        <w:tc>
          <w:tcPr>
            <w:tcW w:w="244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Asset Management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Company</w:t>
            </w:r>
            <w:r>
              <w:rPr>
                <w:rFonts w:ascii="Arial" w:cs="Arial" w:eastAsia="Arial" w:hAnsi="Arial"/>
                <w:sz w:val="30"/>
                <w:szCs w:val="30"/>
                <w:color w:val="auto"/>
                <w:vertAlign w:val="superscript"/>
              </w:rPr>
              <w:t>(2)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55,341,230</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40,198,000</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56,591,230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57,381,000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Related Party Loan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23,000,000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6,322,551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6,196,154</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9,898,494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9,440,866</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44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7"/>
              </w:rPr>
              <w:t>Banking, Finance, Insurance &amp;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color w:val="auto"/>
              </w:rPr>
              <w:t>Real Estate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6,805,514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6,782,010</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6,270,984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6,008,587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4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Beverage, Food 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Tobacco</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15,198,830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14,703,372</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17,334,746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16,882,750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Capital Equipment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6,185,129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5,575,048</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9,519,342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7,846,767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4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Chemicals, Plastics 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Rubber</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6,421,909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6,444,073</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3,494,086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3,359,916</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CLO Fund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76,851,317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54,174,350</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83,214,947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55,872,382</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Construction &amp; Building</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5,919,158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5,929,606</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1,976,345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1,907,614</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Consumer goods: Durable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12,319,905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10,118,736</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13,983,607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12,753,455</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Consumer goods: Non-durable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14,766,390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14,452,096</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20,124,355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19,646,576</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Ecological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1,741,292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1,760,783</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Oil &amp; Gas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14,493,835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8,805,761</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14,281,821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10,204,318</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Energy: Electricity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3,904,453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3,937,247</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3,465,576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3,465,000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Environmental Industries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12,279,924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12,185,239</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13,735,492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13,179,657</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Forest Products &amp; Paper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4,192,889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4,192,907</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5,888,294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5,883,080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Healthcare &amp; Pharmaceuticals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58,769,668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53,594,534</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58,649,512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55,417,827</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High Tech Industries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9,854,093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9,936,109</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11,727,898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11,662,995</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Hotel, Gaming &amp; Leisure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Media: Advertising, Printing &amp;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color w:val="auto"/>
              </w:rPr>
              <w:t>Publishing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11,712,682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11,453,447</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11,167,950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10,340,449</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4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Media: Broadcasting &amp;</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8,273,174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8,372,984</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7,428,110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7,406,792</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Metals &amp; Mining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228,563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1,415,457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759,581</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4,416,709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3,594,599</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Services: Business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16,125,481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16,230,486</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18,206,668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21,022,801</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Services: Consumer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6,212,108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6,204,889</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6,512,029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6,356,054</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Telecommunications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12,809,799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12,767,823</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13,776,871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12,425,489</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244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w w:val="92"/>
              </w:rPr>
              <w:t>Time Deposit and Money Market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Accounts</w:t>
            </w:r>
            <w:r>
              <w:rPr>
                <w:rFonts w:ascii="Arial" w:cs="Arial" w:eastAsia="Arial" w:hAnsi="Arial"/>
                <w:sz w:val="30"/>
                <w:szCs w:val="30"/>
                <w:color w:val="auto"/>
                <w:vertAlign w:val="superscript"/>
              </w:rPr>
              <w:t>(3)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28,699,269</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28,699,269</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2,129,381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2,129,381</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Transportation: Cargo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7,557,315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7,190,135</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18,232,953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18,865,603</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Transportation: Consumer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2,412,614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2,324,516</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2,472,795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2,324,381</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Utilities: Electric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5,420,438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5,031,043</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5,673,082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4,806,441</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420,801,057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366,471,304</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450,712,189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409,570,495</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157797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-196850</wp:posOffset>
            </wp:positionV>
            <wp:extent cx="15779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-222250</wp:posOffset>
            </wp:positionV>
            <wp:extent cx="774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-196850</wp:posOffset>
            </wp:positionV>
            <wp:extent cx="77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2947670</wp:posOffset>
            </wp:positionH>
            <wp:positionV relativeFrom="paragraph">
              <wp:posOffset>-222250</wp:posOffset>
            </wp:positionV>
            <wp:extent cx="857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2947670</wp:posOffset>
            </wp:positionH>
            <wp:positionV relativeFrom="paragraph">
              <wp:posOffset>-196850</wp:posOffset>
            </wp:positionV>
            <wp:extent cx="857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3248025</wp:posOffset>
            </wp:positionH>
            <wp:positionV relativeFrom="paragraph">
              <wp:posOffset>-222250</wp:posOffset>
            </wp:positionV>
            <wp:extent cx="17145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3248025</wp:posOffset>
            </wp:positionH>
            <wp:positionV relativeFrom="paragraph">
              <wp:posOffset>-196850</wp:posOffset>
            </wp:positionV>
            <wp:extent cx="17145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-222250</wp:posOffset>
            </wp:positionV>
            <wp:extent cx="8572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-196850</wp:posOffset>
            </wp:positionV>
            <wp:extent cx="857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-222250</wp:posOffset>
            </wp:positionV>
            <wp:extent cx="857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-196850</wp:posOffset>
            </wp:positionV>
            <wp:extent cx="857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-222250</wp:posOffset>
            </wp:positionV>
            <wp:extent cx="12890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-196850</wp:posOffset>
            </wp:positionV>
            <wp:extent cx="12890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Calculated as a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5" w:name="page116"/>
    <w:bookmarkEnd w:id="11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79" w:lineRule="exact"/>
        <w:rPr>
          <w:sz w:val="20"/>
          <w:szCs w:val="20"/>
          <w:color w:val="auto"/>
        </w:rPr>
      </w:pPr>
    </w:p>
    <w:p>
      <w:pPr>
        <w:ind w:left="60" w:right="619" w:firstLine="270"/>
        <w:spacing w:after="0" w:line="302" w:lineRule="auto"/>
        <w:rPr>
          <w:sz w:val="20"/>
          <w:szCs w:val="20"/>
          <w:color w:val="auto"/>
        </w:rPr>
      </w:pPr>
      <w:r>
        <w:rPr>
          <w:rFonts w:ascii="Arial" w:cs="Arial" w:eastAsia="Arial" w:hAnsi="Arial"/>
          <w:sz w:val="16"/>
          <w:szCs w:val="16"/>
          <w:color w:val="auto"/>
        </w:rPr>
        <w:t>At December 31, 2016 and December 31, 2015, the total amount of non-qualifying assets was approximately 17% and 18% of total assets, respectively. The majority of non-qualifying assets were foreign investments which were approximately 14% and 13% of the Company’s total assets, respectively (including the Company’s investments in CLO Funds, which are typically domiciled outside the U.S. and represented approximately 14% and 13% of its total assets on such dates, respectively).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investments (at fair value)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0"/>
                <w:szCs w:val="10"/>
                <w:color w:val="auto"/>
              </w:rPr>
            </w:pPr>
          </w:p>
        </w:tc>
        <w:tc>
          <w:tcPr>
            <w:tcW w:w="11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Cost/Amortized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 of FMV</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8"/>
                <w:szCs w:val="18"/>
                <w:color w:val="auto"/>
              </w:rPr>
              <w:t>Asset Manager Affiliates</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55,341,230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40,198,000</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Bank Money Market Account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28,685,001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28,685,001</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Katonah 2007-I CLO Ltd.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28,022,646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20,453,099</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Grupo HIMA San Pablo, Inc.</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9,828,619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9,113,125</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Catamaran CLO 2016-1 Ltd.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10,140,000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8,350,290</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Tank Partners Holdings, LLC</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11,822,180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6,552,311</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Roscoe Medical, Inc.</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6,666,733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6,499,000</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Weiman Products, LLC</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5,462,647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5,321,809</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Nielsen &amp; Bainbridge, LLC</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5,326,136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5,199,447</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Catamaran CLO 2014-2 Ltd.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6,967,560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5,092,087</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0"/>
              </w:rPr>
              <w:t>$ 168,262,752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$ 135,464,169</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December 31, 2015</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0"/>
                <w:szCs w:val="10"/>
                <w:color w:val="auto"/>
              </w:rPr>
            </w:pPr>
          </w:p>
        </w:tc>
        <w:tc>
          <w:tcPr>
            <w:tcW w:w="11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Cost/Amortized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 of FMV</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8"/>
                <w:szCs w:val="18"/>
                <w:color w:val="auto"/>
              </w:rPr>
              <w:t>Asset Manager Affiliates</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56,591,230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57,381,000</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Trimaran Advisors, L.L.C.</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23,000,000</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Katonah 2007-I CLO Ltd.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24,312,424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20,295,677</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DBI Holding, LLC</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8,585,578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12,975,447</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Crowley Holdings Preferred, LLC</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10,411,673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11,036,373</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Grupo HIMA San Pablo, Inc.</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9,817,315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9,917,500</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Catamaran CLO 2015-1 Ltd.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11,869,751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8,789,651</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Tank Partners Holdings, LLC</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10,624,515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8,177,538</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Weiman Products, LLC</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6,582,457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6,619,805</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Nielsen &amp; Bainbrige, LLC</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6,803,605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6,510,157</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0"/>
              </w:rPr>
              <w:t>$ 168,598,548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$ 164,703,148</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-2169160</wp:posOffset>
            </wp:positionV>
            <wp:extent cx="4751070" cy="1803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-1963420</wp:posOffset>
            </wp:positionV>
            <wp:extent cx="475107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4" w:lineRule="exact"/>
        <w:rPr>
          <w:sz w:val="20"/>
          <w:szCs w:val="20"/>
          <w:color w:val="auto"/>
        </w:rPr>
      </w:pPr>
    </w:p>
    <w:p>
      <w:pPr>
        <w:jc w:val="both"/>
        <w:ind w:left="60" w:right="699" w:firstLine="270"/>
        <w:spacing w:after="0" w:line="264" w:lineRule="auto"/>
        <w:rPr>
          <w:sz w:val="20"/>
          <w:szCs w:val="20"/>
          <w:color w:val="auto"/>
        </w:rPr>
      </w:pPr>
      <w:r>
        <w:rPr>
          <w:rFonts w:ascii="Arial" w:cs="Arial" w:eastAsia="Arial" w:hAnsi="Arial"/>
          <w:sz w:val="18"/>
          <w:szCs w:val="18"/>
          <w:color w:val="auto"/>
        </w:rPr>
        <w:t>Excluding the Asset Manager Affiliates and CLO Fund securities, the Company’s ten largest portfolio companies represented approximately 13% and 19% of the total fair value of the Company’s investments at December 31, 2016 and December 31, 2015, respectively.</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414"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Investments in CLO Fund Securities</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70"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In May and August 2014, the Company purchased $11.1 million and $9.9 million of the par value of the Subordinated Notes of Catamaran 2014-1 CLO (“Catamaran 2014-1”) and 2014-2 CLO (“Catamaran 2014-2”), respectively. Both are managed by Trimaran Advisors.</w:t>
      </w:r>
    </w:p>
    <w:p>
      <w:pPr>
        <w:spacing w:after="0" w:line="73"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In May 2015, the Company purchased $11.9 million of the par value of the Subordinated Notes of Catamaran 2015-1 CLO (“Catamaran 2015-1”) managed by Trimaran Advisors.</w:t>
      </w:r>
    </w:p>
    <w:p>
      <w:pPr>
        <w:spacing w:after="0" w:line="62" w:lineRule="exact"/>
        <w:rPr>
          <w:sz w:val="20"/>
          <w:szCs w:val="20"/>
          <w:color w:val="auto"/>
        </w:rPr>
      </w:pPr>
    </w:p>
    <w:p>
      <w:pPr>
        <w:ind w:left="40" w:right="739" w:firstLine="270"/>
        <w:spacing w:after="0" w:line="297" w:lineRule="auto"/>
        <w:rPr>
          <w:sz w:val="20"/>
          <w:szCs w:val="20"/>
          <w:color w:val="auto"/>
        </w:rPr>
      </w:pPr>
      <w:r>
        <w:rPr>
          <w:rFonts w:ascii="Arial" w:cs="Arial" w:eastAsia="Arial" w:hAnsi="Arial"/>
          <w:sz w:val="16"/>
          <w:szCs w:val="16"/>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June 2016, the Company sold $7.0 million par value of the Subordinated Notes of Catamaran 2015-1 for $4.2 million.</w:t>
      </w:r>
    </w:p>
    <w:p>
      <w:pPr>
        <w:spacing w:after="0" w:line="129"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In December 2016, the Company purchased $10.1 million of the par value of the Subordinated Notes of Catamaran 2016-1 CLO (“Catamaran 2016-1”) managed by Trimaran Advisors.</w:t>
      </w:r>
    </w:p>
    <w:p>
      <w:pPr>
        <w:spacing w:after="0" w:line="62" w:lineRule="exact"/>
        <w:rPr>
          <w:sz w:val="20"/>
          <w:szCs w:val="20"/>
          <w:color w:val="auto"/>
        </w:rPr>
      </w:pPr>
    </w:p>
    <w:p>
      <w:pPr>
        <w:ind w:left="40" w:right="779" w:firstLine="270"/>
        <w:spacing w:after="0" w:line="259" w:lineRule="auto"/>
        <w:rPr>
          <w:sz w:val="20"/>
          <w:szCs w:val="20"/>
          <w:color w:val="auto"/>
        </w:rPr>
      </w:pPr>
      <w:r>
        <w:rPr>
          <w:rFonts w:ascii="Arial" w:cs="Arial" w:eastAsia="Arial" w:hAnsi="Arial"/>
          <w:sz w:val="18"/>
          <w:szCs w:val="18"/>
          <w:color w:val="auto"/>
        </w:rPr>
        <w:t>All CLO Funds managed by the Asset Manager Affiliates are currently making quarterly distributions to the Company with respect to its interests in the CLO Funds and are paying all senior and subordinate management fees to the Asset Manager Affiliates. With the exception of Katonah III, Ltd. and Grant Grove CLO, Ltd. (which have been called), all third-party managed CLO Funds are making distributions to the Company.</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w:t>
      </w:r>
    </w:p>
    <w:p>
      <w:pPr>
        <w:spacing w:after="0" w:line="200" w:lineRule="exact"/>
        <w:rPr>
          <w:sz w:val="20"/>
          <w:szCs w:val="20"/>
          <w:color w:val="auto"/>
        </w:rPr>
      </w:pPr>
    </w:p>
    <w:p>
      <w:pPr>
        <w:spacing w:after="0" w:line="3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color w:val="auto"/>
        </w:rPr>
        <w:t>observability and a lesser degree of judgment used in measuring fair value. Subsequent to the adoption of ASC 820: Fair Value, the FASB has issued various staff positions clarifying the initial standard (see Note 2 — “Significant Accounting Policies — Investments”).</w:t>
      </w:r>
    </w:p>
    <w:p>
      <w:pPr>
        <w:spacing w:after="0" w:line="73"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62" w:lineRule="exact"/>
        <w:rPr>
          <w:sz w:val="20"/>
          <w:szCs w:val="20"/>
          <w:color w:val="auto"/>
        </w:rPr>
      </w:pPr>
    </w:p>
    <w:p>
      <w:pPr>
        <w:ind w:left="320" w:right="719" w:firstLine="270"/>
        <w:spacing w:after="0" w:line="259" w:lineRule="auto"/>
        <w:rPr>
          <w:sz w:val="20"/>
          <w:szCs w:val="20"/>
          <w:color w:val="auto"/>
        </w:rPr>
      </w:pPr>
      <w:r>
        <w:rPr>
          <w:rFonts w:ascii="Arial" w:cs="Arial" w:eastAsia="Arial" w:hAnsi="Arial"/>
          <w:sz w:val="18"/>
          <w:szCs w:val="18"/>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79" w:lineRule="exact"/>
        <w:rPr>
          <w:sz w:val="20"/>
          <w:szCs w:val="20"/>
          <w:color w:val="auto"/>
        </w:rPr>
      </w:pPr>
    </w:p>
    <w:p>
      <w:pPr>
        <w:ind w:left="320" w:right="519" w:firstLine="270"/>
        <w:spacing w:after="0" w:line="273"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70" w:lineRule="exact"/>
        <w:rPr>
          <w:sz w:val="20"/>
          <w:szCs w:val="20"/>
          <w:color w:val="auto"/>
        </w:rPr>
      </w:pPr>
    </w:p>
    <w:p>
      <w:pPr>
        <w:ind w:left="320" w:right="619" w:firstLine="270"/>
        <w:spacing w:after="0" w:line="291"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59"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200" w:lineRule="exact"/>
        <w:rPr>
          <w:sz w:val="20"/>
          <w:szCs w:val="20"/>
          <w:color w:val="auto"/>
        </w:rPr>
      </w:pP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8" w:name="page119"/>
    <w:bookmarkEnd w:id="11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60" w:right="719" w:firstLine="270"/>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December 31, 2016 and December 31,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center"/>
              <w:ind w:right="733"/>
              <w:spacing w:after="0"/>
              <w:rPr>
                <w:sz w:val="20"/>
                <w:szCs w:val="20"/>
                <w:color w:val="auto"/>
              </w:rPr>
            </w:pPr>
            <w:r>
              <w:rPr>
                <w:rFonts w:ascii="Arial" w:cs="Arial" w:eastAsia="Arial" w:hAnsi="Arial"/>
                <w:sz w:val="14"/>
                <w:szCs w:val="14"/>
                <w:b w:val="1"/>
                <w:bCs w:val="1"/>
                <w:color w:val="auto"/>
                <w:w w:val="92"/>
              </w:rPr>
              <w:t>As of December 31, 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Money market accounts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I</w:t>
            </w:r>
          </w:p>
        </w:tc>
        <w:tc>
          <w:tcPr>
            <w:tcW w:w="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Level II</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III</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28,699,269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28,699,269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84,601,585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153,741,745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238,343,330</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20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54,174,350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54,174,350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5,056,355</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Asset Manager Affiliates</w:t>
            </w:r>
          </w:p>
        </w:tc>
        <w:tc>
          <w:tcPr>
            <w:tcW w:w="20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40,198,000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40,198,000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$ 113,300,854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253,170,450</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366,471,304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right="733"/>
              <w:spacing w:after="0"/>
              <w:rPr>
                <w:sz w:val="20"/>
                <w:szCs w:val="20"/>
                <w:color w:val="auto"/>
              </w:rPr>
            </w:pPr>
            <w:r>
              <w:rPr>
                <w:rFonts w:ascii="Arial" w:cs="Arial" w:eastAsia="Arial" w:hAnsi="Arial"/>
                <w:sz w:val="14"/>
                <w:szCs w:val="14"/>
                <w:b w:val="1"/>
                <w:bCs w:val="1"/>
                <w:color w:val="auto"/>
                <w:w w:val="92"/>
              </w:rPr>
              <w:t>As of December 31, 2015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Money market accounts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I</w:t>
            </w:r>
          </w:p>
        </w:tc>
        <w:tc>
          <w:tcPr>
            <w:tcW w:w="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Level II</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III</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2,129,381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2,129,381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101,238,779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183,400,465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284,639,244</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20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55,872,382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55,872,382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445,485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9,103,003</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9,548,488</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Asset Manager Affiliates</w:t>
            </w:r>
          </w:p>
        </w:tc>
        <w:tc>
          <w:tcPr>
            <w:tcW w:w="20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57,381,000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57,381,000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103,813,645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305,756,850</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409,570,495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-1276985</wp:posOffset>
            </wp:positionV>
            <wp:extent cx="5213985" cy="342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-1217295</wp:posOffset>
            </wp:positionV>
            <wp:extent cx="521398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599" w:firstLine="270"/>
        <w:spacing w:after="0" w:line="279"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63" w:lineRule="exact"/>
        <w:rPr>
          <w:sz w:val="20"/>
          <w:szCs w:val="20"/>
          <w:color w:val="auto"/>
        </w:rPr>
      </w:pPr>
    </w:p>
    <w:p>
      <w:pPr>
        <w:ind w:left="60" w:right="699" w:firstLine="270"/>
        <w:spacing w:after="0" w:line="273" w:lineRule="auto"/>
        <w:rPr>
          <w:sz w:val="20"/>
          <w:szCs w:val="20"/>
          <w:color w:val="auto"/>
        </w:rPr>
      </w:pPr>
      <w:r>
        <w:rPr>
          <w:rFonts w:ascii="Arial" w:cs="Arial" w:eastAsia="Arial" w:hAnsi="Arial"/>
          <w:sz w:val="17"/>
          <w:szCs w:val="17"/>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70" w:lineRule="exact"/>
        <w:rPr>
          <w:sz w:val="20"/>
          <w:szCs w:val="20"/>
          <w:color w:val="auto"/>
        </w:rPr>
      </w:pPr>
    </w:p>
    <w:p>
      <w:pPr>
        <w:ind w:left="60" w:right="579" w:firstLine="270"/>
        <w:spacing w:after="0" w:line="291" w:lineRule="auto"/>
        <w:rPr>
          <w:sz w:val="20"/>
          <w:szCs w:val="20"/>
          <w:color w:val="auto"/>
        </w:rPr>
      </w:pPr>
      <w:r>
        <w:rPr>
          <w:rFonts w:ascii="Arial" w:cs="Arial" w:eastAsia="Arial" w:hAnsi="Arial"/>
          <w:sz w:val="16"/>
          <w:szCs w:val="16"/>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200" w:lineRule="exact"/>
        <w:rPr>
          <w:sz w:val="20"/>
          <w:szCs w:val="20"/>
          <w:color w:val="auto"/>
        </w:rPr>
      </w:pPr>
    </w:p>
    <w:p>
      <w:pPr>
        <w:spacing w:after="0" w:line="31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9" w:name="page120"/>
    <w:bookmarkEnd w:id="11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jc w:val="both"/>
        <w:ind w:left="60" w:right="579" w:firstLine="270"/>
        <w:spacing w:after="0" w:line="302" w:lineRule="auto"/>
        <w:rPr>
          <w:sz w:val="20"/>
          <w:szCs w:val="20"/>
          <w:color w:val="auto"/>
        </w:rPr>
      </w:pPr>
      <w:r>
        <w:rPr>
          <w:rFonts w:ascii="Arial" w:cs="Arial" w:eastAsia="Arial" w:hAnsi="Arial"/>
          <w:sz w:val="16"/>
          <w:szCs w:val="16"/>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521398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10"/>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 2016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8"/>
              </w:rPr>
              <w:t>Debt Securities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CLO Fund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00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Asset Manager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00" w:type="dxa"/>
            <w:vAlign w:val="bottom"/>
            <w:gridSpan w:val="3"/>
            <w:vMerge w:val="restart"/>
          </w:tcPr>
          <w:p>
            <w:pPr>
              <w:ind w:left="20"/>
              <w:spacing w:after="0"/>
              <w:rPr>
                <w:sz w:val="20"/>
                <w:szCs w:val="20"/>
                <w:color w:val="auto"/>
              </w:rPr>
            </w:pPr>
            <w:r>
              <w:rPr>
                <w:rFonts w:ascii="Arial" w:cs="Arial" w:eastAsia="Arial" w:hAnsi="Arial"/>
                <w:sz w:val="16"/>
                <w:szCs w:val="16"/>
                <w:color w:val="auto"/>
              </w:rPr>
              <w:t>Balance, December 31, 2015</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Affiliate</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0" w:type="dxa"/>
            <w:vAlign w:val="bottom"/>
            <w:gridSpan w:val="3"/>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183,400,465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55,872,382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9,103,003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57,381,000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305,756,850</w:t>
            </w:r>
          </w:p>
        </w:tc>
        <w:tc>
          <w:tcPr>
            <w:tcW w:w="0" w:type="dxa"/>
            <w:vAlign w:val="bottom"/>
          </w:tcPr>
          <w:p>
            <w:pPr>
              <w:spacing w:after="0"/>
              <w:rPr>
                <w:sz w:val="1"/>
                <w:szCs w:val="1"/>
                <w:color w:val="auto"/>
              </w:rPr>
            </w:pPr>
          </w:p>
        </w:tc>
      </w:tr>
      <w:tr>
        <w:trPr>
          <w:trHeight w:val="243"/>
        </w:trPr>
        <w:tc>
          <w:tcPr>
            <w:tcW w:w="280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Transfers out of Level III</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(14,855,471)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(14,855,471)</w:t>
            </w:r>
          </w:p>
        </w:tc>
        <w:tc>
          <w:tcPr>
            <w:tcW w:w="0" w:type="dxa"/>
            <w:vAlign w:val="bottom"/>
          </w:tcPr>
          <w:p>
            <w:pPr>
              <w:spacing w:after="0"/>
              <w:rPr>
                <w:sz w:val="1"/>
                <w:szCs w:val="1"/>
                <w:color w:val="auto"/>
              </w:rPr>
            </w:pPr>
          </w:p>
        </w:tc>
      </w:tr>
      <w:tr>
        <w:trPr>
          <w:trHeight w:val="243"/>
        </w:trPr>
        <w:tc>
          <w:tcPr>
            <w:tcW w:w="280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Transfers into Level III</w:t>
            </w:r>
            <w:r>
              <w:rPr>
                <w:rFonts w:ascii="Arial" w:cs="Arial" w:eastAsia="Arial" w:hAnsi="Arial"/>
                <w:sz w:val="27"/>
                <w:szCs w:val="27"/>
                <w:color w:val="auto"/>
                <w:vertAlign w:val="superscript"/>
              </w:rPr>
              <w:t>(2)</w:t>
            </w:r>
          </w:p>
        </w:tc>
        <w:tc>
          <w:tcPr>
            <w:tcW w:w="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22,107,141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445,485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22,552,626</w:t>
            </w:r>
          </w:p>
        </w:tc>
        <w:tc>
          <w:tcPr>
            <w:tcW w:w="0" w:type="dxa"/>
            <w:vAlign w:val="bottom"/>
          </w:tcPr>
          <w:p>
            <w:pPr>
              <w:spacing w:after="0"/>
              <w:rPr>
                <w:sz w:val="1"/>
                <w:szCs w:val="1"/>
                <w:color w:val="auto"/>
              </w:rPr>
            </w:pPr>
          </w:p>
        </w:tc>
      </w:tr>
      <w:tr>
        <w:trPr>
          <w:trHeight w:val="203"/>
        </w:trPr>
        <w:tc>
          <w:tcPr>
            <w:tcW w:w="2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accretion</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318,999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(2,192,069)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(1,873,070)</w:t>
            </w:r>
          </w:p>
        </w:tc>
        <w:tc>
          <w:tcPr>
            <w:tcW w:w="0" w:type="dxa"/>
            <w:vAlign w:val="bottom"/>
          </w:tcPr>
          <w:p>
            <w:pPr>
              <w:spacing w:after="0"/>
              <w:rPr>
                <w:sz w:val="1"/>
                <w:szCs w:val="1"/>
                <w:color w:val="auto"/>
              </w:rPr>
            </w:pPr>
          </w:p>
        </w:tc>
      </w:tr>
      <w:tr>
        <w:trPr>
          <w:trHeight w:val="203"/>
        </w:trPr>
        <w:tc>
          <w:tcPr>
            <w:tcW w:w="2800" w:type="dxa"/>
            <w:vAlign w:val="bottom"/>
            <w:gridSpan w:val="3"/>
          </w:tcPr>
          <w:p>
            <w:pPr>
              <w:ind w:left="20"/>
              <w:spacing w:after="0"/>
              <w:rPr>
                <w:sz w:val="20"/>
                <w:szCs w:val="20"/>
                <w:color w:val="auto"/>
              </w:rPr>
            </w:pPr>
            <w:r>
              <w:rPr>
                <w:rFonts w:ascii="Arial" w:cs="Arial" w:eastAsia="Arial" w:hAnsi="Arial"/>
                <w:sz w:val="16"/>
                <w:szCs w:val="16"/>
                <w:color w:val="auto"/>
              </w:rPr>
              <w:t>Purchases</w:t>
            </w: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33,641,315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10,140,000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180,161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43,961,476</w:t>
            </w:r>
          </w:p>
        </w:tc>
        <w:tc>
          <w:tcPr>
            <w:tcW w:w="0" w:type="dxa"/>
            <w:vAlign w:val="bottom"/>
          </w:tcPr>
          <w:p>
            <w:pPr>
              <w:spacing w:after="0"/>
              <w:rPr>
                <w:sz w:val="1"/>
                <w:szCs w:val="1"/>
                <w:color w:val="auto"/>
              </w:rPr>
            </w:pPr>
          </w:p>
        </w:tc>
      </w:tr>
      <w:tr>
        <w:trPr>
          <w:trHeight w:val="203"/>
        </w:trPr>
        <w:tc>
          <w:tcPr>
            <w:tcW w:w="2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Sales/Paydowns/Return of Capital</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(66,559,349)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(4,200,000)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(4,743,682)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(76,753,031)</w:t>
            </w:r>
          </w:p>
        </w:tc>
        <w:tc>
          <w:tcPr>
            <w:tcW w:w="0" w:type="dxa"/>
            <w:vAlign w:val="bottom"/>
          </w:tcPr>
          <w:p>
            <w:pPr>
              <w:spacing w:after="0"/>
              <w:rPr>
                <w:sz w:val="1"/>
                <w:szCs w:val="1"/>
                <w:color w:val="auto"/>
              </w:rPr>
            </w:pPr>
          </w:p>
        </w:tc>
      </w:tr>
      <w:tr>
        <w:trPr>
          <w:trHeight w:val="193"/>
        </w:trPr>
        <w:tc>
          <w:tcPr>
            <w:tcW w:w="2800" w:type="dxa"/>
            <w:vAlign w:val="bottom"/>
            <w:gridSpan w:val="3"/>
          </w:tcPr>
          <w:p>
            <w:pPr>
              <w:ind w:left="20"/>
              <w:spacing w:after="0"/>
              <w:rPr>
                <w:sz w:val="20"/>
                <w:szCs w:val="20"/>
                <w:color w:val="auto"/>
              </w:rPr>
            </w:pPr>
            <w:r>
              <w:rPr>
                <w:rFonts w:ascii="Arial" w:cs="Arial" w:eastAsia="Arial" w:hAnsi="Arial"/>
                <w:sz w:val="16"/>
                <w:szCs w:val="16"/>
                <w:color w:val="auto"/>
              </w:rPr>
              <w:t>Total realized gain/(loss) included in</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2"/>
          </w:tcPr>
          <w:p>
            <w:pPr>
              <w:ind w:left="180"/>
              <w:spacing w:after="0"/>
              <w:rPr>
                <w:sz w:val="20"/>
                <w:szCs w:val="20"/>
                <w:color w:val="auto"/>
              </w:rPr>
            </w:pPr>
            <w:r>
              <w:rPr>
                <w:rFonts w:ascii="Arial" w:cs="Arial" w:eastAsia="Arial" w:hAnsi="Arial"/>
                <w:sz w:val="16"/>
                <w:szCs w:val="16"/>
                <w:color w:val="auto"/>
              </w:rPr>
              <w:t>earnings</w:t>
            </w: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(366,924)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(10,111,560)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4,484,742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(5,993,742)</w:t>
            </w:r>
          </w:p>
        </w:tc>
        <w:tc>
          <w:tcPr>
            <w:tcW w:w="0" w:type="dxa"/>
            <w:vAlign w:val="bottom"/>
          </w:tcPr>
          <w:p>
            <w:pPr>
              <w:spacing w:after="0"/>
              <w:rPr>
                <w:sz w:val="1"/>
                <w:szCs w:val="1"/>
                <w:color w:val="auto"/>
              </w:rPr>
            </w:pPr>
          </w:p>
        </w:tc>
      </w:tr>
      <w:tr>
        <w:trPr>
          <w:trHeight w:val="196"/>
        </w:trPr>
        <w:tc>
          <w:tcPr>
            <w:tcW w:w="2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unrealized gain (loss) included in</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earnings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(3,944,431)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4,665,597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(4,413,354)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(15,933,000)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(19,625,188)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00" w:type="dxa"/>
            <w:vAlign w:val="bottom"/>
            <w:gridSpan w:val="3"/>
          </w:tcPr>
          <w:p>
            <w:pPr>
              <w:ind w:left="20"/>
              <w:spacing w:after="0"/>
              <w:rPr>
                <w:sz w:val="20"/>
                <w:szCs w:val="20"/>
                <w:color w:val="auto"/>
              </w:rPr>
            </w:pPr>
            <w:r>
              <w:rPr>
                <w:rFonts w:ascii="Arial" w:cs="Arial" w:eastAsia="Arial" w:hAnsi="Arial"/>
                <w:sz w:val="16"/>
                <w:szCs w:val="16"/>
                <w:color w:val="auto"/>
              </w:rPr>
              <w:t>Balance, December 31, 2016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153,741,745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54,174,350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5,056,355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40,198,000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253,170,450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Changes in unrealized gains (losses)</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included in earnings related to</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6"/>
              </w:rPr>
              <w:t>investments still held at reporting date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(6,969,509)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4,665,597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(4,413,354)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(15,933,000)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(22,650,266)</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-779780</wp:posOffset>
            </wp:positionV>
            <wp:extent cx="5213985" cy="1714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277"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Transfers out of Level III represent a transfer of $14,855,471 relating to debt securities for which pricing inputs, other than their quoted prices in active markets were observable as of December 31, 2016.</w:t>
      </w:r>
    </w:p>
    <w:p>
      <w:pPr>
        <w:spacing w:after="0" w:line="62" w:lineRule="exact"/>
        <w:rPr>
          <w:rFonts w:ascii="Arial" w:cs="Arial" w:eastAsia="Arial" w:hAnsi="Arial"/>
          <w:sz w:val="18"/>
          <w:szCs w:val="18"/>
          <w:color w:val="auto"/>
        </w:rPr>
      </w:pPr>
    </w:p>
    <w:p>
      <w:pPr>
        <w:ind w:left="300" w:right="739" w:hanging="272"/>
        <w:spacing w:after="0" w:line="277"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Transfers into Level III represent a transfer of $22,107,141 relating to debt securities for which pricing inputs, other than their quoted prices in active markets were unobservable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 2015</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8"/>
              </w:rPr>
              <w:t>Debt Securities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CLO Fund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00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Asset Manager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00" w:type="dxa"/>
            <w:vAlign w:val="bottom"/>
            <w:gridSpan w:val="3"/>
            <w:vMerge w:val="restart"/>
          </w:tcPr>
          <w:p>
            <w:pPr>
              <w:ind w:left="20"/>
              <w:spacing w:after="0"/>
              <w:rPr>
                <w:sz w:val="20"/>
                <w:szCs w:val="20"/>
                <w:color w:val="auto"/>
              </w:rPr>
            </w:pPr>
            <w:r>
              <w:rPr>
                <w:rFonts w:ascii="Arial" w:cs="Arial" w:eastAsia="Arial" w:hAnsi="Arial"/>
                <w:sz w:val="16"/>
                <w:szCs w:val="16"/>
                <w:color w:val="auto"/>
              </w:rPr>
              <w:t>Balance, December 31, 2014</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Affiliate</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0" w:type="dxa"/>
            <w:vAlign w:val="bottom"/>
            <w:gridSpan w:val="3"/>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171,018,343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77,514,902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8,119,681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72,326,000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328,978,926</w:t>
            </w:r>
          </w:p>
        </w:tc>
        <w:tc>
          <w:tcPr>
            <w:tcW w:w="0" w:type="dxa"/>
            <w:vAlign w:val="bottom"/>
          </w:tcPr>
          <w:p>
            <w:pPr>
              <w:spacing w:after="0"/>
              <w:rPr>
                <w:sz w:val="1"/>
                <w:szCs w:val="1"/>
                <w:color w:val="auto"/>
              </w:rPr>
            </w:pPr>
          </w:p>
        </w:tc>
      </w:tr>
      <w:tr>
        <w:trPr>
          <w:trHeight w:val="243"/>
        </w:trPr>
        <w:tc>
          <w:tcPr>
            <w:tcW w:w="280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Transfers out of Level III</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(30,472,595)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(30,472,595)</w:t>
            </w:r>
          </w:p>
        </w:tc>
        <w:tc>
          <w:tcPr>
            <w:tcW w:w="0" w:type="dxa"/>
            <w:vAlign w:val="bottom"/>
          </w:tcPr>
          <w:p>
            <w:pPr>
              <w:spacing w:after="0"/>
              <w:rPr>
                <w:sz w:val="1"/>
                <w:szCs w:val="1"/>
                <w:color w:val="auto"/>
              </w:rPr>
            </w:pPr>
          </w:p>
        </w:tc>
      </w:tr>
      <w:tr>
        <w:trPr>
          <w:trHeight w:val="243"/>
        </w:trPr>
        <w:tc>
          <w:tcPr>
            <w:tcW w:w="280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Transfers into Level III</w:t>
            </w:r>
            <w:r>
              <w:rPr>
                <w:rFonts w:ascii="Arial" w:cs="Arial" w:eastAsia="Arial" w:hAnsi="Arial"/>
                <w:sz w:val="27"/>
                <w:szCs w:val="27"/>
                <w:color w:val="auto"/>
                <w:vertAlign w:val="superscript"/>
              </w:rPr>
              <w:t>(2)</w:t>
            </w:r>
          </w:p>
        </w:tc>
        <w:tc>
          <w:tcPr>
            <w:tcW w:w="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34,013,134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34,013,134</w:t>
            </w:r>
          </w:p>
        </w:tc>
        <w:tc>
          <w:tcPr>
            <w:tcW w:w="0" w:type="dxa"/>
            <w:vAlign w:val="bottom"/>
          </w:tcPr>
          <w:p>
            <w:pPr>
              <w:spacing w:after="0"/>
              <w:rPr>
                <w:sz w:val="1"/>
                <w:szCs w:val="1"/>
                <w:color w:val="auto"/>
              </w:rPr>
            </w:pPr>
          </w:p>
        </w:tc>
      </w:tr>
      <w:tr>
        <w:trPr>
          <w:trHeight w:val="203"/>
        </w:trPr>
        <w:tc>
          <w:tcPr>
            <w:tcW w:w="2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accretion</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300,255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(9,507,048)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(9,206,793)</w:t>
            </w:r>
          </w:p>
        </w:tc>
        <w:tc>
          <w:tcPr>
            <w:tcW w:w="0" w:type="dxa"/>
            <w:vAlign w:val="bottom"/>
          </w:tcPr>
          <w:p>
            <w:pPr>
              <w:spacing w:after="0"/>
              <w:rPr>
                <w:sz w:val="1"/>
                <w:szCs w:val="1"/>
                <w:color w:val="auto"/>
              </w:rPr>
            </w:pPr>
          </w:p>
        </w:tc>
      </w:tr>
      <w:tr>
        <w:trPr>
          <w:trHeight w:val="203"/>
        </w:trPr>
        <w:tc>
          <w:tcPr>
            <w:tcW w:w="2800" w:type="dxa"/>
            <w:vAlign w:val="bottom"/>
            <w:gridSpan w:val="3"/>
          </w:tcPr>
          <w:p>
            <w:pPr>
              <w:ind w:left="20"/>
              <w:spacing w:after="0"/>
              <w:rPr>
                <w:sz w:val="20"/>
                <w:szCs w:val="20"/>
                <w:color w:val="auto"/>
              </w:rPr>
            </w:pPr>
            <w:r>
              <w:rPr>
                <w:rFonts w:ascii="Arial" w:cs="Arial" w:eastAsia="Arial" w:hAnsi="Arial"/>
                <w:sz w:val="16"/>
                <w:szCs w:val="16"/>
                <w:color w:val="auto"/>
              </w:rPr>
              <w:t>Purchases</w:t>
            </w: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990,000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11,952,000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12,942,000</w:t>
            </w:r>
          </w:p>
        </w:tc>
        <w:tc>
          <w:tcPr>
            <w:tcW w:w="0" w:type="dxa"/>
            <w:vAlign w:val="bottom"/>
          </w:tcPr>
          <w:p>
            <w:pPr>
              <w:spacing w:after="0"/>
              <w:rPr>
                <w:sz w:val="1"/>
                <w:szCs w:val="1"/>
                <w:color w:val="auto"/>
              </w:rPr>
            </w:pPr>
          </w:p>
        </w:tc>
      </w:tr>
      <w:tr>
        <w:trPr>
          <w:trHeight w:val="203"/>
        </w:trPr>
        <w:tc>
          <w:tcPr>
            <w:tcW w:w="2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Sales/Paydowns/Return of Capital</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(3,872,700)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(317,340)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(3,701,446)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(7,891,486)</w:t>
            </w:r>
          </w:p>
        </w:tc>
        <w:tc>
          <w:tcPr>
            <w:tcW w:w="0" w:type="dxa"/>
            <w:vAlign w:val="bottom"/>
          </w:tcPr>
          <w:p>
            <w:pPr>
              <w:spacing w:after="0"/>
              <w:rPr>
                <w:sz w:val="1"/>
                <w:szCs w:val="1"/>
                <w:color w:val="auto"/>
              </w:rPr>
            </w:pPr>
          </w:p>
        </w:tc>
      </w:tr>
      <w:tr>
        <w:trPr>
          <w:trHeight w:val="203"/>
        </w:trPr>
        <w:tc>
          <w:tcPr>
            <w:tcW w:w="2800" w:type="dxa"/>
            <w:vAlign w:val="bottom"/>
            <w:gridSpan w:val="3"/>
          </w:tcPr>
          <w:p>
            <w:pPr>
              <w:ind w:left="20"/>
              <w:spacing w:after="0"/>
              <w:rPr>
                <w:sz w:val="20"/>
                <w:szCs w:val="20"/>
                <w:color w:val="auto"/>
              </w:rPr>
            </w:pPr>
            <w:r>
              <w:rPr>
                <w:rFonts w:ascii="Arial" w:cs="Arial" w:eastAsia="Arial" w:hAnsi="Arial"/>
                <w:sz w:val="16"/>
                <w:szCs w:val="16"/>
                <w:color w:val="auto"/>
                <w:w w:val="99"/>
              </w:rPr>
              <w:t>Total realized gain included in earnings</w:t>
            </w: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99,145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(6,246,883)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3,015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(6,144,723)</w:t>
            </w:r>
          </w:p>
        </w:tc>
        <w:tc>
          <w:tcPr>
            <w:tcW w:w="0" w:type="dxa"/>
            <w:vAlign w:val="bottom"/>
          </w:tcPr>
          <w:p>
            <w:pPr>
              <w:spacing w:after="0"/>
              <w:rPr>
                <w:sz w:val="1"/>
                <w:szCs w:val="1"/>
                <w:color w:val="auto"/>
              </w:rPr>
            </w:pPr>
          </w:p>
        </w:tc>
      </w:tr>
      <w:tr>
        <w:trPr>
          <w:trHeight w:val="193"/>
        </w:trPr>
        <w:tc>
          <w:tcPr>
            <w:tcW w:w="2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unrealized gain (loss) included in</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earnings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7,452,183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(13,967,889)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1,297,647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(11,243,554)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(16,461,613)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00" w:type="dxa"/>
            <w:vAlign w:val="bottom"/>
            <w:gridSpan w:val="3"/>
          </w:tcPr>
          <w:p>
            <w:pPr>
              <w:ind w:left="20"/>
              <w:spacing w:after="0"/>
              <w:rPr>
                <w:sz w:val="20"/>
                <w:szCs w:val="20"/>
                <w:color w:val="auto"/>
              </w:rPr>
            </w:pPr>
            <w:r>
              <w:rPr>
                <w:rFonts w:ascii="Arial" w:cs="Arial" w:eastAsia="Arial" w:hAnsi="Arial"/>
                <w:sz w:val="16"/>
                <w:szCs w:val="16"/>
                <w:color w:val="auto"/>
              </w:rPr>
              <w:t>Balance, December 31, 2015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183,400,465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55,872,382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9,103,003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57,381,000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305,756,850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Changes in unrealized gains (losses)</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included in earnings related to</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6"/>
              </w:rPr>
              <w:t>investments still held at reporting date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(7,109,531)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(20,760,499)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1,297,647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(11,243,554)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(23,254,223)</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80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-771525</wp:posOffset>
            </wp:positionV>
            <wp:extent cx="5213985" cy="1714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277"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Transfers out of Level III represent a transfer of $30,472,595 relating to debt securities for which pricing inputs, other than their quoted prices in active markets were observable as of December 31, 2015.</w:t>
      </w:r>
    </w:p>
    <w:p>
      <w:pPr>
        <w:spacing w:after="0" w:line="62" w:lineRule="exact"/>
        <w:rPr>
          <w:rFonts w:ascii="Arial" w:cs="Arial" w:eastAsia="Arial" w:hAnsi="Arial"/>
          <w:sz w:val="18"/>
          <w:szCs w:val="18"/>
          <w:color w:val="auto"/>
        </w:rPr>
      </w:pPr>
    </w:p>
    <w:p>
      <w:pPr>
        <w:ind w:left="300" w:right="739" w:hanging="272"/>
        <w:spacing w:after="0" w:line="277"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Transfers into Level III represent a transfer of $34,013,134 relating to debt securities for which pricing inputs, other than their quoted prices in active markets were unobservable as of December 31, 2015.</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0" w:name="page121"/>
    <w:bookmarkEnd w:id="12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60" w:right="539" w:firstLine="270"/>
        <w:spacing w:after="0" w:line="302" w:lineRule="auto"/>
        <w:rPr>
          <w:sz w:val="20"/>
          <w:szCs w:val="20"/>
          <w:color w:val="auto"/>
        </w:rPr>
      </w:pPr>
      <w:r>
        <w:rPr>
          <w:rFonts w:ascii="Arial" w:cs="Arial" w:eastAsia="Arial" w:hAnsi="Arial"/>
          <w:sz w:val="16"/>
          <w:szCs w:val="16"/>
          <w:color w:val="auto"/>
        </w:rPr>
        <w:t>As of December 31, 2016,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$113,300,854 as of December 31, 2016.</w:t>
      </w:r>
    </w:p>
    <w:p>
      <w:pPr>
        <w:spacing w:after="0" w:line="46" w:lineRule="exact"/>
        <w:rPr>
          <w:sz w:val="20"/>
          <w:szCs w:val="20"/>
          <w:color w:val="auto"/>
        </w:rPr>
      </w:pPr>
    </w:p>
    <w:p>
      <w:pPr>
        <w:ind w:left="60" w:right="1319" w:firstLine="270"/>
        <w:spacing w:after="0" w:line="277" w:lineRule="auto"/>
        <w:rPr>
          <w:sz w:val="20"/>
          <w:szCs w:val="20"/>
          <w:color w:val="auto"/>
        </w:rPr>
      </w:pPr>
      <w:r>
        <w:rPr>
          <w:rFonts w:ascii="Arial" w:cs="Arial" w:eastAsia="Arial" w:hAnsi="Arial"/>
          <w:sz w:val="18"/>
          <w:szCs w:val="18"/>
          <w:color w:val="auto"/>
        </w:rPr>
        <w:t>As of December 31, 2016, the Company’s Level III portfolio investments had the following valuation techniques and significant inputs: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40" w:type="dxa"/>
            <w:vAlign w:val="bottom"/>
            <w:tcBorders>
              <w:top w:val="single" w:sz="8" w:color="auto"/>
              <w:bottom w:val="single" w:sz="8" w:color="auto"/>
              <w:right w:val="single" w:sz="8" w:color="auto"/>
            </w:tcBorders>
            <w:shd w:val="clear" w:color="auto" w:fill="000000"/>
          </w:tcPr>
          <w:p>
            <w:pPr>
              <w:spacing w:after="0"/>
              <w:rPr>
                <w:sz w:val="5"/>
                <w:szCs w:val="5"/>
                <w:color w:val="auto"/>
              </w:rPr>
            </w:pPr>
          </w:p>
        </w:tc>
        <w:tc>
          <w:tcPr>
            <w:tcW w:w="960" w:type="dxa"/>
            <w:vAlign w:val="bottom"/>
            <w:tcBorders>
              <w:top w:val="single" w:sz="8" w:color="auto"/>
              <w:bottom w:val="single" w:sz="8" w:color="auto"/>
            </w:tcBorders>
          </w:tcPr>
          <w:p>
            <w:pPr>
              <w:spacing w:after="0"/>
              <w:rPr>
                <w:sz w:val="5"/>
                <w:szCs w:val="5"/>
                <w:color w:val="auto"/>
              </w:rPr>
            </w:pPr>
          </w:p>
        </w:tc>
        <w:tc>
          <w:tcPr>
            <w:tcW w:w="98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780" w:type="dxa"/>
            <w:vAlign w:val="bottom"/>
            <w:tcBorders>
              <w:top w:val="single" w:sz="8" w:color="auto"/>
              <w:bottom w:val="single" w:sz="8" w:color="auto"/>
            </w:tcBorders>
          </w:tcPr>
          <w:p>
            <w:pPr>
              <w:spacing w:after="0"/>
              <w:rPr>
                <w:sz w:val="5"/>
                <w:szCs w:val="5"/>
                <w:color w:val="auto"/>
              </w:rPr>
            </w:pPr>
          </w:p>
        </w:tc>
        <w:tc>
          <w:tcPr>
            <w:tcW w:w="1580" w:type="dxa"/>
            <w:vAlign w:val="bottom"/>
            <w:tcBorders>
              <w:top w:val="single" w:sz="8" w:color="auto"/>
              <w:bottom w:val="single" w:sz="8" w:color="auto"/>
            </w:tcBorders>
          </w:tcPr>
          <w:p>
            <w:pPr>
              <w:spacing w:after="0"/>
              <w:rPr>
                <w:sz w:val="5"/>
                <w:szCs w:val="5"/>
                <w:color w:val="auto"/>
              </w:rPr>
            </w:pPr>
          </w:p>
        </w:tc>
        <w:tc>
          <w:tcPr>
            <w:tcW w:w="1880" w:type="dxa"/>
            <w:vAlign w:val="bottom"/>
            <w:tcBorders>
              <w:top w:val="single" w:sz="8" w:color="auto"/>
              <w:bottom w:val="single" w:sz="8" w:color="auto"/>
            </w:tcBorders>
          </w:tcPr>
          <w:p>
            <w:pPr>
              <w:spacing w:after="0"/>
              <w:rPr>
                <w:sz w:val="5"/>
                <w:szCs w:val="5"/>
                <w:color w:val="auto"/>
              </w:rPr>
            </w:pPr>
          </w:p>
        </w:tc>
        <w:tc>
          <w:tcPr>
            <w:tcW w:w="1760" w:type="dxa"/>
            <w:vAlign w:val="bottom"/>
            <w:tcBorders>
              <w:top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shd w:val="clear" w:color="auto" w:fill="000000"/>
          </w:tcPr>
          <w:p>
            <w:pPr>
              <w:spacing w:after="0"/>
              <w:rPr>
                <w:sz w:val="13"/>
                <w:szCs w:val="13"/>
                <w:color w:val="auto"/>
              </w:rPr>
            </w:pPr>
          </w:p>
        </w:tc>
        <w:tc>
          <w:tcPr>
            <w:tcW w:w="1940" w:type="dxa"/>
            <w:vAlign w:val="bottom"/>
            <w:tcBorders>
              <w:right w:val="single" w:sz="8" w:color="auto"/>
            </w:tcBorders>
            <w:gridSpan w:val="2"/>
            <w:vMerge w:val="restart"/>
            <w:shd w:val="clear" w:color="auto" w:fill="E7E7E8"/>
          </w:tcPr>
          <w:p>
            <w:pPr>
              <w:ind w:left="800"/>
              <w:spacing w:after="0"/>
              <w:rPr>
                <w:sz w:val="20"/>
                <w:szCs w:val="20"/>
                <w:color w:val="auto"/>
              </w:rPr>
            </w:pPr>
            <w:r>
              <w:rPr>
                <w:rFonts w:ascii="Arial" w:cs="Arial" w:eastAsia="Arial" w:hAnsi="Arial"/>
                <w:sz w:val="14"/>
                <w:szCs w:val="14"/>
                <w:b w:val="1"/>
                <w:bCs w:val="1"/>
                <w:color w:val="auto"/>
              </w:rPr>
              <w:t>Type</w:t>
            </w:r>
          </w:p>
        </w:tc>
        <w:tc>
          <w:tcPr>
            <w:tcW w:w="1020" w:type="dxa"/>
            <w:vAlign w:val="bottom"/>
            <w:tcBorders>
              <w:right w:val="single" w:sz="8" w:color="auto"/>
            </w:tcBorders>
            <w:gridSpan w:val="2"/>
            <w:vMerge w:val="restart"/>
            <w:shd w:val="clear" w:color="auto" w:fill="E7E7E8"/>
          </w:tcPr>
          <w:p>
            <w:pPr>
              <w:ind w:left="180"/>
              <w:spacing w:after="0"/>
              <w:rPr>
                <w:sz w:val="20"/>
                <w:szCs w:val="20"/>
                <w:color w:val="auto"/>
              </w:rPr>
            </w:pPr>
            <w:r>
              <w:rPr>
                <w:rFonts w:ascii="Arial" w:cs="Arial" w:eastAsia="Arial" w:hAnsi="Arial"/>
                <w:sz w:val="14"/>
                <w:szCs w:val="14"/>
                <w:b w:val="1"/>
                <w:bCs w:val="1"/>
                <w:color w:val="auto"/>
              </w:rPr>
              <w:t>Fair Value</w:t>
            </w:r>
          </w:p>
        </w:tc>
        <w:tc>
          <w:tcPr>
            <w:tcW w:w="158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7"/>
              </w:rPr>
              <w:t>Primary Valuation</w:t>
            </w:r>
          </w:p>
        </w:tc>
        <w:tc>
          <w:tcPr>
            <w:tcW w:w="1880" w:type="dxa"/>
            <w:vAlign w:val="bottom"/>
            <w:tcBorders>
              <w:right w:val="single" w:sz="8" w:color="auto"/>
            </w:tcBorders>
            <w:vMerge w:val="restart"/>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76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2"/>
              </w:rPr>
              <w:t>Range of Inputs</w:t>
            </w: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940" w:type="dxa"/>
            <w:vAlign w:val="bottom"/>
            <w:tcBorders>
              <w:bottom w:val="single" w:sz="8" w:color="auto"/>
              <w:right w:val="single" w:sz="8" w:color="auto"/>
            </w:tcBorders>
            <w:gridSpan w:val="2"/>
            <w:vMerge w:val="continue"/>
            <w:shd w:val="clear" w:color="auto" w:fill="E7E7E8"/>
          </w:tcPr>
          <w:p>
            <w:pPr>
              <w:spacing w:after="0"/>
              <w:rPr>
                <w:sz w:val="18"/>
                <w:szCs w:val="18"/>
                <w:color w:val="auto"/>
              </w:rPr>
            </w:pPr>
          </w:p>
        </w:tc>
        <w:tc>
          <w:tcPr>
            <w:tcW w:w="1020" w:type="dxa"/>
            <w:vAlign w:val="bottom"/>
            <w:tcBorders>
              <w:bottom w:val="single" w:sz="8" w:color="auto"/>
              <w:right w:val="single" w:sz="8" w:color="auto"/>
            </w:tcBorders>
            <w:gridSpan w:val="2"/>
            <w:vMerge w:val="continue"/>
            <w:shd w:val="clear" w:color="auto" w:fill="E7E7E8"/>
          </w:tcPr>
          <w:p>
            <w:pPr>
              <w:spacing w:after="0"/>
              <w:rPr>
                <w:sz w:val="18"/>
                <w:szCs w:val="18"/>
                <w:color w:val="auto"/>
              </w:rPr>
            </w:pPr>
          </w:p>
        </w:tc>
        <w:tc>
          <w:tcPr>
            <w:tcW w:w="158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1"/>
              </w:rPr>
              <w:t>Methodology</w:t>
            </w:r>
          </w:p>
        </w:tc>
        <w:tc>
          <w:tcPr>
            <w:tcW w:w="1880" w:type="dxa"/>
            <w:vAlign w:val="bottom"/>
            <w:tcBorders>
              <w:bottom w:val="single" w:sz="8" w:color="auto"/>
              <w:right w:val="single" w:sz="8" w:color="auto"/>
            </w:tcBorders>
            <w:vMerge w:val="continue"/>
            <w:shd w:val="clear" w:color="auto" w:fill="E7E7E8"/>
          </w:tcPr>
          <w:p>
            <w:pPr>
              <w:spacing w:after="0"/>
              <w:rPr>
                <w:sz w:val="18"/>
                <w:szCs w:val="18"/>
                <w:color w:val="auto"/>
              </w:rPr>
            </w:pPr>
          </w:p>
        </w:tc>
        <w:tc>
          <w:tcPr>
            <w:tcW w:w="176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19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Debt Securities</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w w:val="92"/>
              </w:rPr>
              <w:t>7,639,648</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Enterprise Value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Average EBITDA Multiple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5.3x</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940" w:type="dxa"/>
            <w:vAlign w:val="bottom"/>
            <w:tcBorders>
              <w:right w:val="single" w:sz="8" w:color="auto"/>
            </w:tcBorders>
            <w:gridSpan w:val="2"/>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40" w:type="dxa"/>
            <w:vAlign w:val="bottom"/>
            <w:tcBorders>
              <w:right w:val="single" w:sz="8" w:color="auto"/>
            </w:tcBorders>
            <w:shd w:val="clear" w:color="auto" w:fill="000000"/>
          </w:tcPr>
          <w:p>
            <w:pPr>
              <w:spacing w:after="0"/>
              <w:rPr>
                <w:sz w:val="12"/>
                <w:szCs w:val="12"/>
                <w:color w:val="auto"/>
              </w:rPr>
            </w:pPr>
          </w:p>
        </w:tc>
        <w:tc>
          <w:tcPr>
            <w:tcW w:w="1940" w:type="dxa"/>
            <w:vAlign w:val="bottom"/>
            <w:tcBorders>
              <w:right w:val="single" w:sz="8" w:color="auto"/>
            </w:tcBorders>
            <w:gridSpan w:val="2"/>
            <w:vMerge w:val="continue"/>
          </w:tcPr>
          <w:p>
            <w:pPr>
              <w:spacing w:after="0"/>
              <w:rPr>
                <w:sz w:val="12"/>
                <w:szCs w:val="12"/>
                <w:color w:val="auto"/>
              </w:rPr>
            </w:pPr>
          </w:p>
        </w:tc>
        <w:tc>
          <w:tcPr>
            <w:tcW w:w="10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w w:val="91"/>
              </w:rPr>
              <w:t>$ 146,102,097</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Income Approach</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Implied Discount Rate</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5.6% – 21.5% (9.15)%</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shd w:val="clear" w:color="auto" w:fill="000000"/>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gridSpan w:val="2"/>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shd w:val="clear" w:color="auto" w:fill="000000"/>
          </w:tcPr>
          <w:p>
            <w:pPr>
              <w:spacing w:after="0"/>
              <w:rPr>
                <w:sz w:val="18"/>
                <w:szCs w:val="18"/>
                <w:color w:val="auto"/>
              </w:rPr>
            </w:pPr>
          </w:p>
        </w:tc>
        <w:tc>
          <w:tcPr>
            <w:tcW w:w="19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Equity Securities</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w w:val="87"/>
              </w:rPr>
              <w:t>5,050,355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Enterprise Value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Average EBITDA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4.8x/7.4% – 14.1x/13.9%</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1940" w:type="dxa"/>
            <w:vAlign w:val="bottom"/>
            <w:tcBorders>
              <w:right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Multiple/WAAC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(9.3x/12.0)%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6,000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Options Value</w:t>
            </w:r>
          </w:p>
        </w:tc>
        <w:tc>
          <w:tcPr>
            <w:tcW w:w="188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90"/>
              </w:rPr>
              <w:t>Qualitative Inputs</w:t>
            </w:r>
            <w:r>
              <w:rPr>
                <w:rFonts w:ascii="Arial" w:cs="Arial" w:eastAsia="Arial" w:hAnsi="Arial"/>
                <w:sz w:val="27"/>
                <w:szCs w:val="27"/>
                <w:color w:val="auto"/>
                <w:w w:val="90"/>
                <w:vertAlign w:val="superscript"/>
              </w:rPr>
              <w:t>(1)</w:t>
            </w: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11.8% – 13.0% (13.0)%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Probability of Default</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2.0% – 2.5% (2.0)%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gridSpan w:val="2"/>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94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CLO Fund</w:t>
            </w:r>
          </w:p>
        </w:tc>
        <w:tc>
          <w:tcPr>
            <w:tcW w:w="10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w w:val="98"/>
              </w:rPr>
              <w:t>$ 45,824,290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Discounted Cash Flow</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Loss Severity</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25.0% – 25.9% (25.9)%</w:t>
            </w: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1940" w:type="dxa"/>
            <w:vAlign w:val="bottom"/>
            <w:tcBorders>
              <w:right w:val="single" w:sz="8" w:color="auto"/>
            </w:tcBorders>
            <w:gridSpan w:val="2"/>
          </w:tcPr>
          <w:p>
            <w:pPr>
              <w:ind w:left="80"/>
              <w:spacing w:after="0" w:line="180" w:lineRule="exact"/>
              <w:rPr>
                <w:sz w:val="20"/>
                <w:szCs w:val="20"/>
                <w:color w:val="auto"/>
              </w:rPr>
            </w:pPr>
            <w:r>
              <w:rPr>
                <w:rFonts w:ascii="Arial" w:cs="Arial" w:eastAsia="Arial" w:hAnsi="Arial"/>
                <w:sz w:val="16"/>
                <w:szCs w:val="16"/>
                <w:b w:val="1"/>
                <w:bCs w:val="1"/>
                <w:color w:val="auto"/>
              </w:rPr>
              <w:t>Securities</w:t>
            </w: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Recovery Rate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74.1% – 75% (74.2)%</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Prepayment Rate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25.0% – 29.1% (25.1)%</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5"/>
              </w:rPr>
              <w:t>8,350,290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Market Approach</w:t>
            </w:r>
          </w:p>
        </w:tc>
        <w:tc>
          <w:tcPr>
            <w:tcW w:w="188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88"/>
              </w:rPr>
              <w:t>3</w:t>
            </w:r>
            <w:r>
              <w:rPr>
                <w:rFonts w:ascii="Arial" w:cs="Arial" w:eastAsia="Arial" w:hAnsi="Arial"/>
                <w:sz w:val="27"/>
                <w:szCs w:val="27"/>
                <w:color w:val="auto"/>
                <w:w w:val="88"/>
                <w:vertAlign w:val="superscript"/>
              </w:rPr>
              <w:t>rd</w:t>
            </w:r>
            <w:r>
              <w:rPr>
                <w:rFonts w:ascii="Arial" w:cs="Arial" w:eastAsia="Arial" w:hAnsi="Arial"/>
                <w:sz w:val="16"/>
                <w:szCs w:val="16"/>
                <w:color w:val="auto"/>
                <w:w w:val="88"/>
              </w:rPr>
              <w:t xml:space="preserve"> Party Quote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82.35% (82.35)%</w:t>
            </w: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194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Asset Manager Affiliate</w:t>
            </w:r>
          </w:p>
        </w:tc>
        <w:tc>
          <w:tcPr>
            <w:tcW w:w="10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$ 40,198,000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2.5% – 13.0% (7.6)%</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gridSpan w:val="2"/>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194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w w:val="95"/>
              </w:rPr>
              <w:t>Total Level III Investments</w:t>
            </w:r>
          </w:p>
        </w:tc>
        <w:tc>
          <w:tcPr>
            <w:tcW w:w="10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w w:val="91"/>
              </w:rPr>
              <w:t>$ 253,170,450</w:t>
            </w:r>
          </w:p>
        </w:tc>
        <w:tc>
          <w:tcPr>
            <w:tcW w:w="15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659" w:hanging="272"/>
        <w:spacing w:after="0" w:line="277" w:lineRule="auto"/>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62" w:lineRule="exact"/>
        <w:rPr>
          <w:sz w:val="20"/>
          <w:szCs w:val="20"/>
          <w:color w:val="auto"/>
        </w:rPr>
      </w:pPr>
    </w:p>
    <w:p>
      <w:pPr>
        <w:ind w:left="60" w:right="1319" w:firstLine="270"/>
        <w:spacing w:after="0" w:line="277" w:lineRule="auto"/>
        <w:rPr>
          <w:sz w:val="20"/>
          <w:szCs w:val="20"/>
          <w:color w:val="auto"/>
        </w:rPr>
      </w:pPr>
      <w:r>
        <w:rPr>
          <w:rFonts w:ascii="Arial" w:cs="Arial" w:eastAsia="Arial" w:hAnsi="Arial"/>
          <w:sz w:val="18"/>
          <w:szCs w:val="18"/>
          <w:color w:val="auto"/>
        </w:rPr>
        <w:t>As of December 31, 2015, the Company’s Level III portfolio investments had the following valuation techniques and significant inputs: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40" w:type="dxa"/>
            <w:vAlign w:val="bottom"/>
            <w:tcBorders>
              <w:top w:val="single" w:sz="8" w:color="auto"/>
              <w:bottom w:val="single" w:sz="8" w:color="auto"/>
              <w:right w:val="single" w:sz="8" w:color="auto"/>
            </w:tcBorders>
            <w:shd w:val="clear" w:color="auto" w:fill="000000"/>
          </w:tcPr>
          <w:p>
            <w:pPr>
              <w:spacing w:after="0"/>
              <w:rPr>
                <w:sz w:val="5"/>
                <w:szCs w:val="5"/>
                <w:color w:val="auto"/>
              </w:rPr>
            </w:pPr>
          </w:p>
        </w:tc>
        <w:tc>
          <w:tcPr>
            <w:tcW w:w="960" w:type="dxa"/>
            <w:vAlign w:val="bottom"/>
            <w:tcBorders>
              <w:top w:val="single" w:sz="8" w:color="auto"/>
              <w:bottom w:val="single" w:sz="8" w:color="auto"/>
            </w:tcBorders>
          </w:tcPr>
          <w:p>
            <w:pPr>
              <w:spacing w:after="0"/>
              <w:rPr>
                <w:sz w:val="5"/>
                <w:szCs w:val="5"/>
                <w:color w:val="auto"/>
              </w:rPr>
            </w:pPr>
          </w:p>
        </w:tc>
        <w:tc>
          <w:tcPr>
            <w:tcW w:w="800" w:type="dxa"/>
            <w:vAlign w:val="bottom"/>
            <w:tcBorders>
              <w:top w:val="single" w:sz="8" w:color="auto"/>
              <w:bottom w:val="single" w:sz="8" w:color="auto"/>
            </w:tcBorders>
          </w:tcPr>
          <w:p>
            <w:pPr>
              <w:spacing w:after="0"/>
              <w:rPr>
                <w:sz w:val="5"/>
                <w:szCs w:val="5"/>
                <w:color w:val="auto"/>
              </w:rPr>
            </w:pPr>
          </w:p>
        </w:tc>
        <w:tc>
          <w:tcPr>
            <w:tcW w:w="360" w:type="dxa"/>
            <w:vAlign w:val="bottom"/>
            <w:tcBorders>
              <w:top w:val="single" w:sz="8" w:color="auto"/>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1400" w:type="dxa"/>
            <w:vAlign w:val="bottom"/>
            <w:tcBorders>
              <w:top w:val="single" w:sz="8" w:color="auto"/>
              <w:bottom w:val="single" w:sz="8" w:color="auto"/>
            </w:tcBorders>
          </w:tcPr>
          <w:p>
            <w:pPr>
              <w:spacing w:after="0"/>
              <w:rPr>
                <w:sz w:val="5"/>
                <w:szCs w:val="5"/>
                <w:color w:val="auto"/>
              </w:rPr>
            </w:pPr>
          </w:p>
        </w:tc>
        <w:tc>
          <w:tcPr>
            <w:tcW w:w="1660" w:type="dxa"/>
            <w:vAlign w:val="bottom"/>
            <w:tcBorders>
              <w:top w:val="single" w:sz="8" w:color="auto"/>
              <w:bottom w:val="single" w:sz="8" w:color="auto"/>
            </w:tcBorders>
          </w:tcPr>
          <w:p>
            <w:pPr>
              <w:spacing w:after="0"/>
              <w:rPr>
                <w:sz w:val="5"/>
                <w:szCs w:val="5"/>
                <w:color w:val="auto"/>
              </w:rPr>
            </w:pPr>
          </w:p>
        </w:tc>
        <w:tc>
          <w:tcPr>
            <w:tcW w:w="2360" w:type="dxa"/>
            <w:vAlign w:val="bottom"/>
            <w:tcBorders>
              <w:top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shd w:val="clear" w:color="auto" w:fill="000000"/>
          </w:tcPr>
          <w:p>
            <w:pPr>
              <w:spacing w:after="0"/>
              <w:rPr>
                <w:sz w:val="13"/>
                <w:szCs w:val="13"/>
                <w:color w:val="auto"/>
              </w:rPr>
            </w:pPr>
          </w:p>
        </w:tc>
        <w:tc>
          <w:tcPr>
            <w:tcW w:w="1760" w:type="dxa"/>
            <w:vAlign w:val="bottom"/>
            <w:tcBorders>
              <w:right w:val="single" w:sz="8" w:color="auto"/>
            </w:tcBorders>
            <w:gridSpan w:val="2"/>
            <w:vMerge w:val="restart"/>
            <w:shd w:val="clear" w:color="auto" w:fill="E7E7E8"/>
          </w:tcPr>
          <w:p>
            <w:pPr>
              <w:jc w:val="right"/>
              <w:ind w:right="740"/>
              <w:spacing w:after="0"/>
              <w:rPr>
                <w:sz w:val="20"/>
                <w:szCs w:val="20"/>
                <w:color w:val="auto"/>
              </w:rPr>
            </w:pPr>
            <w:r>
              <w:rPr>
                <w:rFonts w:ascii="Arial" w:cs="Arial" w:eastAsia="Arial" w:hAnsi="Arial"/>
                <w:sz w:val="14"/>
                <w:szCs w:val="14"/>
                <w:b w:val="1"/>
                <w:bCs w:val="1"/>
                <w:color w:val="auto"/>
              </w:rPr>
              <w:t>Type</w:t>
            </w:r>
          </w:p>
        </w:tc>
        <w:tc>
          <w:tcPr>
            <w:tcW w:w="1000" w:type="dxa"/>
            <w:vAlign w:val="bottom"/>
            <w:tcBorders>
              <w:right w:val="single" w:sz="8" w:color="auto"/>
            </w:tcBorders>
            <w:gridSpan w:val="2"/>
            <w:vMerge w:val="restart"/>
            <w:shd w:val="clear" w:color="auto" w:fill="E7E7E8"/>
          </w:tcPr>
          <w:p>
            <w:pPr>
              <w:ind w:left="160"/>
              <w:spacing w:after="0"/>
              <w:rPr>
                <w:sz w:val="20"/>
                <w:szCs w:val="20"/>
                <w:color w:val="auto"/>
              </w:rPr>
            </w:pPr>
            <w:r>
              <w:rPr>
                <w:rFonts w:ascii="Arial" w:cs="Arial" w:eastAsia="Arial" w:hAnsi="Arial"/>
                <w:sz w:val="14"/>
                <w:szCs w:val="14"/>
                <w:b w:val="1"/>
                <w:bCs w:val="1"/>
                <w:color w:val="auto"/>
              </w:rPr>
              <w:t>Fair Value</w:t>
            </w:r>
          </w:p>
        </w:tc>
        <w:tc>
          <w:tcPr>
            <w:tcW w:w="140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5"/>
              </w:rPr>
              <w:t>Primary Valuation</w:t>
            </w:r>
          </w:p>
        </w:tc>
        <w:tc>
          <w:tcPr>
            <w:tcW w:w="1660" w:type="dxa"/>
            <w:vAlign w:val="bottom"/>
            <w:tcBorders>
              <w:right w:val="single" w:sz="8" w:color="auto"/>
            </w:tcBorders>
            <w:vMerge w:val="restart"/>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236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2"/>
              </w:rPr>
              <w:t>Range of Inputs</w:t>
            </w: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760" w:type="dxa"/>
            <w:vAlign w:val="bottom"/>
            <w:tcBorders>
              <w:bottom w:val="single" w:sz="8" w:color="auto"/>
              <w:right w:val="single" w:sz="8" w:color="auto"/>
            </w:tcBorders>
            <w:gridSpan w:val="2"/>
            <w:vMerge w:val="continue"/>
            <w:shd w:val="clear" w:color="auto" w:fill="E7E7E8"/>
          </w:tcPr>
          <w:p>
            <w:pPr>
              <w:spacing w:after="0"/>
              <w:rPr>
                <w:sz w:val="18"/>
                <w:szCs w:val="18"/>
                <w:color w:val="auto"/>
              </w:rPr>
            </w:pPr>
          </w:p>
        </w:tc>
        <w:tc>
          <w:tcPr>
            <w:tcW w:w="1000" w:type="dxa"/>
            <w:vAlign w:val="bottom"/>
            <w:tcBorders>
              <w:bottom w:val="single" w:sz="8" w:color="auto"/>
              <w:right w:val="single" w:sz="8" w:color="auto"/>
            </w:tcBorders>
            <w:gridSpan w:val="2"/>
            <w:vMerge w:val="continue"/>
            <w:shd w:val="clear" w:color="auto" w:fill="E7E7E8"/>
          </w:tcPr>
          <w:p>
            <w:pPr>
              <w:spacing w:after="0"/>
              <w:rPr>
                <w:sz w:val="18"/>
                <w:szCs w:val="18"/>
                <w:color w:val="auto"/>
              </w:rPr>
            </w:pPr>
          </w:p>
        </w:tc>
        <w:tc>
          <w:tcPr>
            <w:tcW w:w="140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4"/>
              </w:rPr>
              <w:t>Methodology</w:t>
            </w:r>
          </w:p>
        </w:tc>
        <w:tc>
          <w:tcPr>
            <w:tcW w:w="1660" w:type="dxa"/>
            <w:vAlign w:val="bottom"/>
            <w:tcBorders>
              <w:bottom w:val="single" w:sz="8" w:color="auto"/>
              <w:right w:val="single" w:sz="8" w:color="auto"/>
            </w:tcBorders>
            <w:vMerge w:val="continue"/>
            <w:shd w:val="clear" w:color="auto" w:fill="E7E7E8"/>
          </w:tcPr>
          <w:p>
            <w:pPr>
              <w:spacing w:after="0"/>
              <w:rPr>
                <w:sz w:val="18"/>
                <w:szCs w:val="18"/>
                <w:color w:val="auto"/>
              </w:rPr>
            </w:pPr>
          </w:p>
        </w:tc>
        <w:tc>
          <w:tcPr>
            <w:tcW w:w="236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shd w:val="clear" w:color="auto" w:fill="000000"/>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$ 2,216,700</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Enterprise Value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Average EBITDA</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7.2x</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17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Debt Securities</w:t>
            </w:r>
          </w:p>
        </w:tc>
        <w:tc>
          <w:tcPr>
            <w:tcW w:w="36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Multiple</w:t>
            </w:r>
          </w:p>
        </w:tc>
        <w:tc>
          <w:tcPr>
            <w:tcW w:w="2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760" w:type="dxa"/>
            <w:vAlign w:val="bottom"/>
            <w:tcBorders>
              <w:right w:val="single" w:sz="8" w:color="auto"/>
            </w:tcBorders>
            <w:gridSpan w:val="2"/>
            <w:vMerge w:val="continue"/>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40" w:type="dxa"/>
            <w:vAlign w:val="bottom"/>
            <w:tcBorders>
              <w:right w:val="single" w:sz="8" w:color="auto"/>
            </w:tcBorders>
            <w:shd w:val="clear" w:color="auto" w:fill="000000"/>
          </w:tcPr>
          <w:p>
            <w:pPr>
              <w:spacing w:after="0"/>
              <w:rPr>
                <w:sz w:val="12"/>
                <w:szCs w:val="12"/>
                <w:color w:val="auto"/>
              </w:rPr>
            </w:pPr>
          </w:p>
        </w:tc>
        <w:tc>
          <w:tcPr>
            <w:tcW w:w="1760" w:type="dxa"/>
            <w:vAlign w:val="bottom"/>
            <w:tcBorders>
              <w:right w:val="single" w:sz="8" w:color="auto"/>
            </w:tcBorders>
            <w:gridSpan w:val="2"/>
            <w:vMerge w:val="continue"/>
          </w:tcPr>
          <w:p>
            <w:pPr>
              <w:spacing w:after="0"/>
              <w:rPr>
                <w:sz w:val="12"/>
                <w:szCs w:val="12"/>
                <w:color w:val="auto"/>
              </w:rPr>
            </w:pPr>
          </w:p>
        </w:tc>
        <w:tc>
          <w:tcPr>
            <w:tcW w:w="10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6"/>
                <w:szCs w:val="16"/>
                <w:color w:val="auto"/>
                <w:w w:val="91"/>
              </w:rPr>
              <w:t>$ 181,182,774</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Income Approach</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Implied Discount Rate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4.9% – 27.1% (10.46)%</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shd w:val="clear" w:color="auto" w:fill="000000"/>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gridSpan w:val="2"/>
            <w:vMerge w:val="continue"/>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991</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Options Value</w:t>
            </w:r>
          </w:p>
        </w:tc>
        <w:tc>
          <w:tcPr>
            <w:tcW w:w="166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92"/>
              </w:rPr>
              <w:t>Qualitative Inputs</w:t>
            </w:r>
            <w:r>
              <w:rPr>
                <w:rFonts w:ascii="Arial" w:cs="Arial" w:eastAsia="Arial" w:hAnsi="Arial"/>
                <w:sz w:val="27"/>
                <w:szCs w:val="27"/>
                <w:color w:val="auto"/>
                <w:w w:val="92"/>
                <w:vertAlign w:val="superscript"/>
              </w:rPr>
              <w:t>1</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shd w:val="clear" w:color="auto" w:fill="000000"/>
          </w:tcPr>
          <w:p>
            <w:pPr>
              <w:spacing w:after="0"/>
              <w:rPr>
                <w:sz w:val="18"/>
                <w:szCs w:val="18"/>
                <w:color w:val="auto"/>
              </w:rPr>
            </w:pPr>
          </w:p>
        </w:tc>
        <w:tc>
          <w:tcPr>
            <w:tcW w:w="17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Equity Securities</w:t>
            </w:r>
          </w:p>
        </w:tc>
        <w:tc>
          <w:tcPr>
            <w:tcW w:w="10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  9,100,003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Enterprise Value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Average EBITDA</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4.8x/6.9% – 12.9x/13.4%</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1760" w:type="dxa"/>
            <w:vAlign w:val="bottom"/>
            <w:tcBorders>
              <w:right w:val="single" w:sz="8" w:color="auto"/>
            </w:tcBorders>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Multiple/WAAC</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(6.8x/12.0)%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3,000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Options Value</w:t>
            </w:r>
          </w:p>
        </w:tc>
        <w:tc>
          <w:tcPr>
            <w:tcW w:w="166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90"/>
              </w:rPr>
              <w:t>Qualitative Inputs</w:t>
            </w:r>
            <w:r>
              <w:rPr>
                <w:rFonts w:ascii="Arial" w:cs="Arial" w:eastAsia="Arial" w:hAnsi="Arial"/>
                <w:sz w:val="27"/>
                <w:szCs w:val="27"/>
                <w:color w:val="auto"/>
                <w:w w:val="90"/>
                <w:vertAlign w:val="superscript"/>
              </w:rPr>
              <w:t>(1)</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11.3% – 15.0% (14.9)%</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17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CLO Fund Securities</w:t>
            </w:r>
          </w:p>
        </w:tc>
        <w:tc>
          <w:tcPr>
            <w:tcW w:w="3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Probability of Default</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2.0% – 2.5% (2.1)%</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760" w:type="dxa"/>
            <w:vAlign w:val="bottom"/>
            <w:tcBorders>
              <w:right w:val="single" w:sz="8" w:color="auto"/>
            </w:tcBorders>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8"/>
        </w:trPr>
        <w:tc>
          <w:tcPr>
            <w:tcW w:w="40" w:type="dxa"/>
            <w:vAlign w:val="bottom"/>
            <w:tcBorders>
              <w:right w:val="single" w:sz="8" w:color="auto"/>
            </w:tcBorders>
            <w:shd w:val="clear" w:color="auto" w:fill="000000"/>
          </w:tcPr>
          <w:p>
            <w:pPr>
              <w:spacing w:after="0"/>
              <w:rPr>
                <w:sz w:val="5"/>
                <w:szCs w:val="5"/>
                <w:color w:val="auto"/>
              </w:rPr>
            </w:pPr>
          </w:p>
        </w:tc>
        <w:tc>
          <w:tcPr>
            <w:tcW w:w="1760" w:type="dxa"/>
            <w:vAlign w:val="bottom"/>
            <w:tcBorders>
              <w:right w:val="single" w:sz="8" w:color="auto"/>
            </w:tcBorders>
            <w:gridSpan w:val="2"/>
            <w:vMerge w:val="continue"/>
          </w:tcPr>
          <w:p>
            <w:pPr>
              <w:spacing w:after="0"/>
              <w:rPr>
                <w:sz w:val="5"/>
                <w:szCs w:val="5"/>
                <w:color w:val="auto"/>
              </w:rPr>
            </w:pPr>
          </w:p>
        </w:tc>
        <w:tc>
          <w:tcPr>
            <w:tcW w:w="10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w w:val="98"/>
              </w:rPr>
              <w:t>$ 55,872,382</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Discounted Cash</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Loss Severity</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25.0% – 25.9% (25.7)%</w:t>
            </w: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gridSpan w:val="2"/>
            <w:vMerge w:val="continue"/>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1660" w:type="dxa"/>
            <w:vAlign w:val="bottom"/>
            <w:tcBorders>
              <w:bottom w:val="single" w:sz="8" w:color="auto"/>
              <w:right w:val="single" w:sz="8" w:color="auto"/>
            </w:tcBorders>
            <w:vMerge w:val="continue"/>
          </w:tcPr>
          <w:p>
            <w:pPr>
              <w:spacing w:after="0"/>
              <w:rPr>
                <w:sz w:val="17"/>
                <w:szCs w:val="17"/>
                <w:color w:val="auto"/>
              </w:rPr>
            </w:pPr>
          </w:p>
        </w:tc>
        <w:tc>
          <w:tcPr>
            <w:tcW w:w="23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rPr>
              <w:t>Flow</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Recovery Rate</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74.1% – 75% (74.3)%</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Prepayment Rate</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7.9% – 32.0% (25.3)%</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gridSpan w:val="2"/>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shd w:val="clear" w:color="auto" w:fill="000000"/>
          </w:tcPr>
          <w:p>
            <w:pPr>
              <w:spacing w:after="0"/>
              <w:rPr>
                <w:sz w:val="18"/>
                <w:szCs w:val="18"/>
                <w:color w:val="auto"/>
              </w:rPr>
            </w:pPr>
          </w:p>
        </w:tc>
        <w:tc>
          <w:tcPr>
            <w:tcW w:w="176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w w:val="97"/>
              </w:rPr>
              <w:t>Asset Manager Affiliate</w:t>
            </w:r>
          </w:p>
        </w:tc>
        <w:tc>
          <w:tcPr>
            <w:tcW w:w="10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$ 57,381,000</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Discounted Cash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2.4% – 15.0% (8.6)%</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Flow</w:t>
            </w:r>
          </w:p>
        </w:tc>
        <w:tc>
          <w:tcPr>
            <w:tcW w:w="166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gridSpan w:val="2"/>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176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Total Level III</w:t>
            </w:r>
          </w:p>
        </w:tc>
        <w:tc>
          <w:tcPr>
            <w:tcW w:w="10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1"/>
              </w:rPr>
              <w:t>$ 305,756,850</w:t>
            </w:r>
          </w:p>
        </w:tc>
        <w:tc>
          <w:tcPr>
            <w:tcW w:w="14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7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6"/>
                <w:szCs w:val="16"/>
                <w:b w:val="1"/>
                <w:bCs w:val="1"/>
                <w:color w:val="auto"/>
              </w:rPr>
              <w:t>Investments</w:t>
            </w:r>
          </w:p>
        </w:tc>
        <w:tc>
          <w:tcPr>
            <w:tcW w:w="3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659" w:hanging="272"/>
        <w:spacing w:after="0" w:line="277" w:lineRule="auto"/>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0" w:gutter="0" w:footer="0" w:header="0"/>
        </w:sectPr>
      </w:pPr>
    </w:p>
    <w:bookmarkStart w:id="121" w:name="page122"/>
    <w:bookmarkEnd w:id="1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79"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73"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72"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ASSET MANAGER AFFILIATES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Wholly-Owned Asset Managers</w:t>
      </w:r>
    </w:p>
    <w:p>
      <w:pPr>
        <w:spacing w:after="0" w:line="117"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December 31, 2016, the Asset Manager Affiliates had approximately $3.0 billion of par value of assets under management, respectively, and the Company’s 100% equity interest in the Asset Manager Affiliates had a fair value of approximately $40.2 million, respectively.</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5. ASSET MANAGER AFFILIATES – (continued)</w:t>
      </w:r>
    </w:p>
    <w:p>
      <w:pPr>
        <w:spacing w:after="0" w:line="1"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w:t>
      </w:r>
    </w:p>
    <w:p>
      <w:pPr>
        <w:spacing w:after="0" w:line="59"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For the years ended December 31, 2016, 2015, and 2014, the Asset Manager Affiliates declared cash distributions of $2.7 million, $9.1 million, and $11.9 million to the Company, respectively. Any distributions from the Asset Manager Affiliates out of their estimated tax-basis earnings and profits are recorded as “Dividends from Asset Manager Affiliates” on the Company’s statement of operations. The Company recognized $1.4 million, $5.3 million, and $5.5 million of Dividends from Asset Manager Affiliates in the Statement of Operations in 2016, 2015, and 2014, respectively. The difference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7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79" w:lineRule="exact"/>
        <w:rPr>
          <w:sz w:val="20"/>
          <w:szCs w:val="20"/>
          <w:color w:val="auto"/>
        </w:rPr>
      </w:pPr>
    </w:p>
    <w:p>
      <w:pPr>
        <w:jc w:val="both"/>
        <w:ind w:left="40" w:right="639" w:firstLine="270"/>
        <w:spacing w:after="0" w:line="264" w:lineRule="auto"/>
        <w:rPr>
          <w:sz w:val="20"/>
          <w:szCs w:val="20"/>
          <w:color w:val="auto"/>
        </w:rPr>
      </w:pPr>
      <w:r>
        <w:rPr>
          <w:rFonts w:ascii="Arial" w:cs="Arial" w:eastAsia="Arial" w:hAnsi="Arial"/>
          <w:sz w:val="18"/>
          <w:szCs w:val="18"/>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73"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On February 18, 2015, the FASB issued Accounting Standards Update 2015-2 (“ASU 2015-2”), which updated consolidation standards under ASC Topic 810, “Consolidation”. Under this update, a new consolidation analysis is required for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was effective for public business entities for annual and interim periods in fiscal years beginning after December 15, 2015, early adoption was permitted. The Asset Manager Affiliates adopted ASU 2015-2 in 2016 which resulted in the deconsolidation of the CLO Funds. Prior year amounts have been restated to reflect the retrospective adoption of ASU 2015-2.</w:t>
      </w:r>
    </w:p>
    <w:p>
      <w:pPr>
        <w:spacing w:after="0" w:line="74"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In accordance with Rules 3-09, Rule 4-08(g) and 1-02 of Regulation S-X, additional financial information with respect to the Asset Manager Affiliates and with respect to two of the CLO Funds in which the Company had an investment, Katonah 2007-I CLO and Katonah X CLO are required to be included in the Company’s SEC filings. The additional financial information regarding the Asset Manager Affiliates and Katonah 2007-I CLO (pursuant to Rule 3-09) immediately follow these financial statements. The additional information regarding Katonah X CLO (pursuant to Rule 4-08(g)) is set forth below. This additional financial information regarding the Asset Manager Affiliates, Katonah 2007-1 CLO and Katonah X CLO does not directly impact the financial position, results of operations, or cash flows of the Company</w:t>
      </w:r>
    </w:p>
    <w:p>
      <w:pPr>
        <w:spacing w:after="0" w:line="200" w:lineRule="exact"/>
        <w:rPr>
          <w:sz w:val="20"/>
          <w:szCs w:val="20"/>
          <w:color w:val="auto"/>
        </w:rPr>
      </w:pPr>
    </w:p>
    <w:p>
      <w:pPr>
        <w:spacing w:after="0" w:line="3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4" w:name="page125"/>
    <w:bookmarkEnd w:id="12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438" w:lineRule="auto"/>
        <w:rPr>
          <w:sz w:val="20"/>
          <w:szCs w:val="20"/>
          <w:color w:val="auto"/>
        </w:rPr>
      </w:pPr>
      <w:r>
        <w:rPr>
          <w:rFonts w:ascii="Arial" w:cs="Arial" w:eastAsia="Arial" w:hAnsi="Arial"/>
          <w:sz w:val="18"/>
          <w:szCs w:val="18"/>
          <w:b w:val="1"/>
          <w:bCs w:val="1"/>
          <w:color w:val="auto"/>
        </w:rPr>
        <w:t>NOTES TO CONSOLIDATED FINANCIAL STATEMENTS 5. ASSET MANAGER AFFILIATES – (continued)</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X CLO Ltd.</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Summarized Balance Sheet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20" w:type="dxa"/>
            <w:vAlign w:val="bottom"/>
          </w:tcPr>
          <w:p>
            <w:pPr>
              <w:ind w:left="46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320" w:type="dxa"/>
            <w:vAlign w:val="bottom"/>
          </w:tcPr>
          <w:p>
            <w:pPr>
              <w:jc w:val="right"/>
              <w:ind w:right="428"/>
              <w:spacing w:after="0"/>
              <w:rPr>
                <w:sz w:val="20"/>
                <w:szCs w:val="20"/>
                <w:color w:val="auto"/>
              </w:rPr>
            </w:pPr>
            <w:r>
              <w:rPr>
                <w:rFonts w:ascii="Arial" w:cs="Arial" w:eastAsia="Arial" w:hAnsi="Arial"/>
                <w:sz w:val="14"/>
                <w:szCs w:val="14"/>
                <w:b w:val="1"/>
                <w:bCs w:val="1"/>
                <w:color w:val="auto"/>
              </w:rPr>
              <w:t>As of</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December 31, 2015</w:t>
            </w:r>
          </w:p>
        </w:tc>
      </w:tr>
      <w:tr>
        <w:trPr>
          <w:trHeight w:val="210"/>
        </w:trPr>
        <w:tc>
          <w:tcPr>
            <w:tcW w:w="5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198,102</w:t>
            </w:r>
          </w:p>
        </w:tc>
      </w:tr>
      <w:tr>
        <w:trPr>
          <w:trHeight w:val="216"/>
        </w:trPr>
        <w:tc>
          <w:tcPr>
            <w:tcW w:w="5520" w:type="dxa"/>
            <w:vAlign w:val="bottom"/>
            <w:gridSpan w:val="3"/>
          </w:tcPr>
          <w:p>
            <w:pPr>
              <w:ind w:left="20"/>
              <w:spacing w:after="0"/>
              <w:rPr>
                <w:sz w:val="20"/>
                <w:szCs w:val="20"/>
                <w:color w:val="auto"/>
              </w:rPr>
            </w:pPr>
            <w:r>
              <w:rPr>
                <w:rFonts w:ascii="Arial" w:cs="Arial" w:eastAsia="Arial" w:hAnsi="Arial"/>
                <w:sz w:val="18"/>
                <w:szCs w:val="18"/>
                <w:color w:val="auto"/>
              </w:rPr>
              <w:t>Receivable for investments sold</w:t>
            </w:r>
          </w:p>
        </w:tc>
        <w:tc>
          <w:tcPr>
            <w:tcW w:w="1220" w:type="dxa"/>
            <w:vAlign w:val="bottom"/>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
              <w:spacing w:after="0"/>
              <w:rPr>
                <w:sz w:val="20"/>
                <w:szCs w:val="20"/>
                <w:color w:val="auto"/>
              </w:rPr>
            </w:pPr>
            <w:r>
              <w:rPr>
                <w:rFonts w:ascii="Arial" w:cs="Arial" w:eastAsia="Arial" w:hAnsi="Arial"/>
                <w:sz w:val="18"/>
                <w:szCs w:val="18"/>
                <w:color w:val="auto"/>
              </w:rPr>
              <w:t>4,178,443</w:t>
            </w:r>
          </w:p>
        </w:tc>
      </w:tr>
      <w:tr>
        <w:trPr>
          <w:trHeight w:val="216"/>
        </w:trPr>
        <w:tc>
          <w:tcPr>
            <w:tcW w:w="5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4,816,030</w:t>
            </w:r>
          </w:p>
        </w:tc>
      </w:tr>
      <w:tr>
        <w:trPr>
          <w:trHeight w:val="257"/>
        </w:trPr>
        <w:tc>
          <w:tcPr>
            <w:tcW w:w="55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CLO Debt at fair value</w:t>
            </w:r>
            <w:r>
              <w:rPr>
                <w:rFonts w:ascii="Arial" w:cs="Arial" w:eastAsia="Arial" w:hAnsi="Arial"/>
                <w:sz w:val="29"/>
                <w:szCs w:val="29"/>
                <w:color w:val="auto"/>
                <w:vertAlign w:val="superscript"/>
              </w:rPr>
              <w:t>(1)</w:t>
            </w:r>
          </w:p>
        </w:tc>
        <w:tc>
          <w:tcPr>
            <w:tcW w:w="1220" w:type="dxa"/>
            <w:vAlign w:val="bottom"/>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
              <w:spacing w:after="0"/>
              <w:rPr>
                <w:sz w:val="20"/>
                <w:szCs w:val="20"/>
                <w:color w:val="auto"/>
              </w:rPr>
            </w:pPr>
            <w:r>
              <w:rPr>
                <w:rFonts w:ascii="Arial" w:cs="Arial" w:eastAsia="Arial" w:hAnsi="Arial"/>
                <w:sz w:val="18"/>
                <w:szCs w:val="18"/>
                <w:color w:val="auto"/>
              </w:rPr>
              <w:t>3,000,000</w:t>
            </w:r>
          </w:p>
        </w:tc>
      </w:tr>
      <w:tr>
        <w:trPr>
          <w:trHeight w:val="216"/>
        </w:trPr>
        <w:tc>
          <w:tcPr>
            <w:tcW w:w="5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4,816,030</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Includes subordinated securities of approximately $3.0 million as of December 31, 2015.</w:t>
      </w:r>
    </w:p>
    <w:p>
      <w:pPr>
        <w:spacing w:after="0" w:line="22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X CLO Ltd.</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Summarized Statements of Operations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140" w:type="dxa"/>
            <w:vAlign w:val="bottom"/>
          </w:tcPr>
          <w:p>
            <w:pPr>
              <w:spacing w:after="0"/>
              <w:rPr>
                <w:sz w:val="14"/>
                <w:szCs w:val="14"/>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December 31, 2015</w:t>
            </w:r>
          </w:p>
        </w:tc>
        <w:tc>
          <w:tcPr>
            <w:tcW w:w="16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2014</w:t>
            </w: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from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7,619,817</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12,441,502</w:t>
            </w: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Total income</w:t>
            </w:r>
          </w:p>
        </w:tc>
        <w:tc>
          <w:tcPr>
            <w:tcW w:w="180" w:type="dxa"/>
            <w:vAlign w:val="bottom"/>
          </w:tcPr>
          <w:p>
            <w:pPr>
              <w:spacing w:after="0"/>
              <w:rPr>
                <w:sz w:val="18"/>
                <w:szCs w:val="18"/>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
              <w:spacing w:after="0"/>
              <w:rPr>
                <w:sz w:val="20"/>
                <w:szCs w:val="20"/>
                <w:color w:val="auto"/>
              </w:rPr>
            </w:pPr>
            <w:r>
              <w:rPr>
                <w:rFonts w:ascii="Arial" w:cs="Arial" w:eastAsia="Arial" w:hAnsi="Arial"/>
                <w:sz w:val="18"/>
                <w:szCs w:val="18"/>
                <w:color w:val="auto"/>
              </w:rPr>
              <w:t>7,823,471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13,170,483</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10,194,889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8,945,449</w:t>
            </w: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18"/>
                <w:szCs w:val="18"/>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
              <w:spacing w:after="0"/>
              <w:rPr>
                <w:sz w:val="20"/>
                <w:szCs w:val="20"/>
                <w:color w:val="auto"/>
              </w:rPr>
            </w:pPr>
            <w:r>
              <w:rPr>
                <w:rFonts w:ascii="Arial" w:cs="Arial" w:eastAsia="Arial" w:hAnsi="Arial"/>
                <w:sz w:val="18"/>
                <w:szCs w:val="18"/>
                <w:color w:val="auto"/>
              </w:rPr>
              <w:t>16,241,895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13,136,542</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losses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1,383,719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(10,998,445)</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Decrease in net assets resulting from operations</w:t>
            </w:r>
          </w:p>
        </w:tc>
        <w:tc>
          <w:tcPr>
            <w:tcW w:w="180" w:type="dxa"/>
            <w:vAlign w:val="bottom"/>
          </w:tcPr>
          <w:p>
            <w:pPr>
              <w:spacing w:after="0"/>
              <w:rPr>
                <w:sz w:val="20"/>
                <w:szCs w:val="20"/>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
              <w:spacing w:after="0"/>
              <w:rPr>
                <w:sz w:val="20"/>
                <w:szCs w:val="20"/>
                <w:color w:val="auto"/>
              </w:rPr>
            </w:pPr>
            <w:r>
              <w:rPr>
                <w:rFonts w:ascii="Arial" w:cs="Arial" w:eastAsia="Arial" w:hAnsi="Arial"/>
                <w:sz w:val="18"/>
                <w:szCs w:val="18"/>
                <w:color w:val="auto"/>
              </w:rPr>
              <w:t>(7,034,705)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(10,964,505)</w:t>
            </w:r>
          </w:p>
        </w:tc>
      </w:tr>
    </w:tbl>
    <w:p>
      <w:pPr>
        <w:spacing w:after="0" w:line="79" w:lineRule="exact"/>
        <w:rPr>
          <w:sz w:val="20"/>
          <w:szCs w:val="20"/>
          <w:color w:val="auto"/>
        </w:rPr>
      </w:pPr>
    </w:p>
    <w:p>
      <w:pPr>
        <w:ind w:left="60" w:right="739" w:firstLine="270"/>
        <w:spacing w:after="0" w:line="297" w:lineRule="auto"/>
        <w:rPr>
          <w:sz w:val="20"/>
          <w:szCs w:val="20"/>
          <w:color w:val="auto"/>
        </w:rPr>
      </w:pPr>
      <w:r>
        <w:rPr>
          <w:rFonts w:ascii="Arial" w:cs="Arial" w:eastAsia="Arial" w:hAnsi="Arial"/>
          <w:sz w:val="16"/>
          <w:szCs w:val="16"/>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50" w:lineRule="exact"/>
        <w:rPr>
          <w:sz w:val="20"/>
          <w:szCs w:val="20"/>
          <w:color w:val="auto"/>
        </w:rPr>
      </w:pPr>
    </w:p>
    <w:p>
      <w:pPr>
        <w:ind w:left="60" w:right="599" w:firstLine="270"/>
        <w:spacing w:after="0" w:line="270" w:lineRule="auto"/>
        <w:rPr>
          <w:sz w:val="20"/>
          <w:szCs w:val="20"/>
          <w:color w:val="auto"/>
        </w:rPr>
      </w:pPr>
      <w:r>
        <w:rPr>
          <w:rFonts w:ascii="Arial" w:cs="Arial" w:eastAsia="Arial" w:hAnsi="Arial"/>
          <w:sz w:val="17"/>
          <w:szCs w:val="17"/>
          <w:color w:val="auto"/>
        </w:rPr>
        <w:t>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74" w:lineRule="exact"/>
        <w:rPr>
          <w:sz w:val="20"/>
          <w:szCs w:val="20"/>
          <w:color w:val="auto"/>
        </w:rPr>
      </w:pPr>
    </w:p>
    <w:p>
      <w:pPr>
        <w:ind w:left="60" w:right="679" w:firstLine="270"/>
        <w:spacing w:after="0" w:line="255"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w:t>
      </w:r>
    </w:p>
    <w:p>
      <w:pPr>
        <w:spacing w:after="0" w:line="200" w:lineRule="exact"/>
        <w:rPr>
          <w:sz w:val="20"/>
          <w:szCs w:val="20"/>
          <w:color w:val="auto"/>
        </w:rPr>
      </w:pPr>
    </w:p>
    <w:p>
      <w:pPr>
        <w:spacing w:after="0" w:line="3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5" w:name="page126"/>
    <w:bookmarkEnd w:id="12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5. ASSET MANAGER AFFILIATES – (continued)</w:t>
      </w:r>
    </w:p>
    <w:p>
      <w:pPr>
        <w:spacing w:after="0" w:line="1" w:lineRule="exact"/>
        <w:rPr>
          <w:sz w:val="20"/>
          <w:szCs w:val="20"/>
          <w:color w:val="auto"/>
        </w:rPr>
      </w:pPr>
    </w:p>
    <w:p>
      <w:pPr>
        <w:ind w:left="60" w:right="759" w:firstLine="270"/>
        <w:spacing w:after="0" w:line="279" w:lineRule="auto"/>
        <w:rPr>
          <w:sz w:val="20"/>
          <w:szCs w:val="20"/>
          <w:color w:val="auto"/>
        </w:rPr>
      </w:pPr>
      <w:r>
        <w:rPr>
          <w:rFonts w:ascii="Arial" w:cs="Arial" w:eastAsia="Arial" w:hAnsi="Arial"/>
          <w:sz w:val="17"/>
          <w:szCs w:val="17"/>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which is being amortized for tax purposes on a straight-line basis over 15 years.</w:t>
      </w:r>
    </w:p>
    <w:p>
      <w:pPr>
        <w:spacing w:after="0" w:line="63"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During the second quarter of 2016, KCAP contributed 100% of its ownership interests in Katonah Debt Advisors and Trimaran Advisors Management to Commodore Holdings, a wholly-owned subsidiary of KCAP. These transactions simplify the tax structure of the AMAs and facilitate the consolidation of tax basis goodwill deductions for the AMAs, which may impact the tax character of distributions from the AMAs.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ind w:left="60" w:right="539" w:firstLine="270"/>
        <w:spacing w:after="0" w:line="270" w:lineRule="auto"/>
        <w:rPr>
          <w:sz w:val="20"/>
          <w:szCs w:val="20"/>
          <w:color w:val="auto"/>
        </w:rPr>
      </w:pPr>
      <w:r>
        <w:rPr>
          <w:rFonts w:ascii="Arial" w:cs="Arial" w:eastAsia="Arial" w:hAnsi="Arial"/>
          <w:sz w:val="17"/>
          <w:szCs w:val="17"/>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Outstanding borrowings on the Trimaran Credit Facility are callable by the Company at any time. On April 15, 2013, the Trimaran Credit Facility was amended and upsized from $20 million to $23 million. At December 31, 2016 there were no loans outstanding under the Trimaran Credit Facility. At December 31, 2015 the par value of the outstanding loan was $23 million. For the years ended December 31, 2016 and 2015, the Company recognized interest income of approximately $1.8 million and $1.7 million, respectively, related to the Trimaran Credit Facility.</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obligations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4800" w:type="dxa"/>
            <w:vAlign w:val="bottom"/>
          </w:tcPr>
          <w:p>
            <w:pPr>
              <w:spacing w:after="0"/>
              <w:rPr>
                <w:sz w:val="14"/>
                <w:szCs w:val="1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2015</w:t>
            </w:r>
          </w:p>
        </w:tc>
      </w:tr>
      <w:tr>
        <w:trPr>
          <w:trHeight w:val="195"/>
        </w:trPr>
        <w:tc>
          <w:tcPr>
            <w:tcW w:w="48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Notes issued by KCAP Senior Funding I, LLC (net of discount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offering costs of: 2016 – $2,286,425 and $2,459,156,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 2015 – $2,907,595 and $3,126,009,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142,604,419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141,316,396</w:t>
            </w:r>
          </w:p>
        </w:tc>
      </w:tr>
      <w:tr>
        <w:trPr>
          <w:trHeight w:val="202"/>
        </w:trPr>
        <w:tc>
          <w:tcPr>
            <w:tcW w:w="4800" w:type="dxa"/>
            <w:vAlign w:val="bottom"/>
          </w:tcPr>
          <w:p>
            <w:pPr>
              <w:ind w:left="20"/>
              <w:spacing w:after="0" w:line="201" w:lineRule="exact"/>
              <w:rPr>
                <w:sz w:val="20"/>
                <w:szCs w:val="20"/>
                <w:color w:val="auto"/>
              </w:rPr>
            </w:pPr>
            <w:r>
              <w:rPr>
                <w:rFonts w:ascii="Arial" w:cs="Arial" w:eastAsia="Arial" w:hAnsi="Arial"/>
                <w:sz w:val="18"/>
                <w:szCs w:val="18"/>
                <w:color w:val="auto"/>
              </w:rPr>
              <w:t>7.375% Notes Due 2019 (net of offering costs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2016 – $550,774; 2015 – $890,344)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32,980,151</w:t>
            </w:r>
          </w:p>
        </w:tc>
        <w:tc>
          <w:tcPr>
            <w:tcW w:w="80" w:type="dxa"/>
            <w:vAlign w:val="bottom"/>
          </w:tcPr>
          <w:p>
            <w:pPr>
              <w:spacing w:after="0"/>
              <w:rPr>
                <w:sz w:val="20"/>
                <w:szCs w:val="20"/>
                <w:color w:val="auto"/>
              </w:rPr>
            </w:pPr>
          </w:p>
        </w:tc>
        <w:tc>
          <w:tcPr>
            <w:tcW w:w="3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40,509,656</w:t>
            </w:r>
          </w:p>
        </w:tc>
      </w:tr>
      <w:tr>
        <w:trPr>
          <w:trHeight w:val="202"/>
        </w:trPr>
        <w:tc>
          <w:tcPr>
            <w:tcW w:w="48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Convertible Notes, due March 15, 2016 (net of offering costs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2015 – $21,291)</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19,277,709</w:t>
            </w:r>
          </w:p>
        </w:tc>
      </w:tr>
      <w:tr>
        <w:trPr>
          <w:trHeight w:val="210"/>
        </w:trPr>
        <w:tc>
          <w:tcPr>
            <w:tcW w:w="48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175,584,570</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201,103,761</w:t>
            </w:r>
          </w:p>
        </w:tc>
        <w:tc>
          <w:tcPr>
            <w:tcW w:w="80" w:type="dxa"/>
            <w:vAlign w:val="bottom"/>
            <w:tcBorders>
              <w:top w:val="single" w:sz="8" w:color="CCEEFF"/>
            </w:tcBorders>
          </w:tcPr>
          <w:p>
            <w:pPr>
              <w:spacing w:after="0"/>
              <w:rPr>
                <w:sz w:val="18"/>
                <w:szCs w:val="18"/>
                <w:color w:val="auto"/>
              </w:rPr>
            </w:pP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719" w:firstLine="270"/>
        <w:spacing w:after="0" w:line="308" w:lineRule="auto"/>
        <w:rPr>
          <w:sz w:val="20"/>
          <w:szCs w:val="20"/>
          <w:color w:val="auto"/>
        </w:rPr>
      </w:pPr>
      <w:r>
        <w:rPr>
          <w:rFonts w:ascii="Arial" w:cs="Arial" w:eastAsia="Arial" w:hAnsi="Arial"/>
          <w:sz w:val="17"/>
          <w:szCs w:val="17"/>
          <w:color w:val="auto"/>
        </w:rPr>
        <w:t>The weighted average stated interest rate and weighted average maturity on all our debt outstanding as of December 31, 2016 were 3.9% and 6.7 years, respectively, and as of December 31, 2015 were 4.08% and 6.8 years, respectively.</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117" w:lineRule="exact"/>
        <w:rPr>
          <w:sz w:val="20"/>
          <w:szCs w:val="20"/>
          <w:color w:val="auto"/>
        </w:rPr>
      </w:pPr>
    </w:p>
    <w:p>
      <w:pPr>
        <w:ind w:left="60" w:right="619" w:firstLine="270"/>
        <w:spacing w:after="0" w:line="273" w:lineRule="auto"/>
        <w:rPr>
          <w:sz w:val="20"/>
          <w:szCs w:val="20"/>
          <w:color w:val="auto"/>
        </w:rPr>
      </w:pPr>
      <w:r>
        <w:rPr>
          <w:rFonts w:ascii="Arial" w:cs="Arial" w:eastAsia="Arial" w:hAnsi="Arial"/>
          <w:sz w:val="17"/>
          <w:szCs w:val="17"/>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200" w:lineRule="exact"/>
        <w:rPr>
          <w:sz w:val="20"/>
          <w:szCs w:val="20"/>
          <w:color w:val="auto"/>
        </w:rPr>
      </w:pPr>
    </w:p>
    <w:p>
      <w:pPr>
        <w:spacing w:after="0" w:line="3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 senior secured floating rate notes which have an initial face amount of $77,250,000, are rated AAA (sf)/Aaa (sf) by Standard &amp; Poor’s Ratings Services and Moody’s Investors Service, Inc., respectively, and bear interest at the three-month LIBOR plus 1.50%, Class B senior secured floating rate notes which have an initial face amount of $9,000,000, are rated AA (sf)/Aa2 (sf) by Standard &amp; Poor’s Ratings Services and Moody’s Investors Service, Inc., respectively, and bear interest at three-month LIBOR plus the 3.25%, Class C secured deferrable floating rate notes which have an initial face amount of $10,000,000, are rated A (sf)/A2 (sf) by Standard &amp; Poor’s Ratings Services and Moody’s Investors Service, Inc., respectively, and bear interest at three-month LIBOR plus 4.25%, and Class D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on July 20, 2024, and are subject to a two year non-call period. The Issuer has a four year reinvestment period. The stated interest rate re-sets on a quarterly basis based upon the then-current level of the benchmark three-month LIBOR.</w:t>
      </w:r>
    </w:p>
    <w:p>
      <w:pPr>
        <w:spacing w:after="0" w:line="64" w:lineRule="exact"/>
        <w:rPr>
          <w:sz w:val="20"/>
          <w:szCs w:val="20"/>
          <w:color w:val="auto"/>
        </w:rPr>
      </w:pPr>
    </w:p>
    <w:p>
      <w:pPr>
        <w:jc w:val="both"/>
        <w:ind w:left="40" w:right="579" w:firstLine="270"/>
        <w:spacing w:after="0" w:line="312" w:lineRule="auto"/>
        <w:rPr>
          <w:sz w:val="20"/>
          <w:szCs w:val="20"/>
          <w:color w:val="auto"/>
        </w:rPr>
      </w:pPr>
      <w:r>
        <w:rPr>
          <w:rFonts w:ascii="Arial" w:cs="Arial" w:eastAsia="Arial" w:hAnsi="Arial"/>
          <w:sz w:val="16"/>
          <w:szCs w:val="16"/>
          <w:color w:val="auto"/>
        </w:rPr>
        <w:t>On December 8, 2014, the Company completed the sale of additional notes (“Additional Issuance Securities”) in a $56,000,000 increase to the collateralized loan obligation transaction that originally closed on June 18, 2013 (the “Original Closing Date”). The issuance of additional notes was proportional across all existing classes of notes issued on the Original Closing Date.</w:t>
      </w:r>
    </w:p>
    <w:p>
      <w:pPr>
        <w:spacing w:after="0" w:line="39"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Each class of secured Additional Issuance Securities (all such classes, collectively, the “Additional Issuance Offered Securities”) was issued as a pari passu sub-class of an existing class of notes issued on the Original Closing Date. Accordingly, the ratings given by Standard &amp; Poor’s Ratings Services and Moody’s Investors Service, Inc. to each existing class of notes issued on the Original Closing Date will apply to each class of Additional Issuance Offered Securities that constitutes a related pari passu sub-class of such existing class of notes issued on the Original Closing Date.</w:t>
      </w:r>
    </w:p>
    <w:p>
      <w:pPr>
        <w:spacing w:after="0" w:line="64" w:lineRule="exact"/>
        <w:rPr>
          <w:sz w:val="20"/>
          <w:szCs w:val="20"/>
          <w:color w:val="auto"/>
        </w:rPr>
      </w:pPr>
    </w:p>
    <w:p>
      <w:pPr>
        <w:ind w:left="40" w:right="579" w:firstLine="270"/>
        <w:spacing w:after="0" w:line="285" w:lineRule="auto"/>
        <w:rPr>
          <w:sz w:val="20"/>
          <w:szCs w:val="20"/>
          <w:color w:val="auto"/>
        </w:rPr>
      </w:pPr>
      <w:r>
        <w:rPr>
          <w:rFonts w:ascii="Arial" w:cs="Arial" w:eastAsia="Arial" w:hAnsi="Arial"/>
          <w:sz w:val="16"/>
          <w:szCs w:val="16"/>
          <w:color w:val="auto"/>
        </w:rPr>
        <w:t>The Additional Issuance Offered Securities were issued as Class A-2 senior secured floating rate notes which have an initial face amount of $30,900,000, have a rating of AAA (sf)/Aaa (sf) by Standard &amp; Poor’s Ratings Services and Moody’s Investors Service, Inc., respectively, and bear interest at the three-month LIBOR plus 1.50%, Class B-2 senior secured floating rate notes which have an initial face amount of $3,600,000, a rating of AA (sf)/Aa2 (sf) by Standard &amp; Poor’s Ratings Services and Moody’s Investors Service, Inc., respectively, and bear interest at three-month LIBOR plus 3.25%, Class C-2 secured deferrable floating rate notes which have an initial face amount of $4,000,000, a rating of A (sf)/A2 (sf) by Standard &amp; Poor’s Ratings Services and Moody’s Investors Service, Inc., respectively, and bear interest at three-month LIBOR plus 4.25%, and Class D-2 secured deferrable floating rate notes which have an initial face amount of $3,600,000, a rating of BBB (sf)/Baa2 (sf) by Standard &amp; Poor’s Ratings Services and Moody’s Investors Service, Inc., respectively, and bear interest at three-month LIBOR plus 5.25%. The Depositor retained all of the subordinated Additional Issuance Securities of the Issuer (the “Additional Issuance Subordinated Notes”), which have an initial face amount of $13,900,000. The Additional Issuance Subordinated Notes do not bear interest and are not rated. The Additional Issuance Securities have a stated maturity date of July 20, 2024 and are subject to a non-call period until the payment date on the Additional Issuance Securities occurring in July 2015. The Issuer has a reinvestment period to and including the payment date on the Additional Issuance Securities occurring in July 2017, or such earlier date as is provided in the indenture relating to the Additional Issuance Securities. In connection with the Additional Issuance Offered Securities, the Company incurred issuance costs and OID costs of approximately $679,000 and $896,000, respectively.</w:t>
      </w:r>
    </w:p>
    <w:p>
      <w:pPr>
        <w:spacing w:after="0" w:line="200" w:lineRule="exact"/>
        <w:rPr>
          <w:sz w:val="20"/>
          <w:szCs w:val="20"/>
          <w:color w:val="auto"/>
        </w:rPr>
      </w:pPr>
    </w:p>
    <w:p>
      <w:pPr>
        <w:spacing w:after="0" w:line="3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7" w:name="page128"/>
    <w:bookmarkEnd w:id="12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jc w:val="both"/>
        <w:ind w:left="60" w:right="939" w:firstLine="270"/>
        <w:spacing w:after="0" w:line="312" w:lineRule="auto"/>
        <w:rPr>
          <w:sz w:val="20"/>
          <w:szCs w:val="20"/>
          <w:color w:val="auto"/>
        </w:rPr>
      </w:pPr>
      <w:r>
        <w:rPr>
          <w:rFonts w:ascii="Arial" w:cs="Arial" w:eastAsia="Arial" w:hAnsi="Arial"/>
          <w:sz w:val="16"/>
          <w:szCs w:val="16"/>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39" w:lineRule="exact"/>
        <w:rPr>
          <w:sz w:val="20"/>
          <w:szCs w:val="20"/>
          <w:color w:val="auto"/>
        </w:rPr>
      </w:pPr>
    </w:p>
    <w:p>
      <w:pPr>
        <w:ind w:left="60" w:right="699" w:firstLine="270"/>
        <w:spacing w:after="0" w:line="271" w:lineRule="auto"/>
        <w:rPr>
          <w:sz w:val="20"/>
          <w:szCs w:val="20"/>
          <w:color w:val="auto"/>
        </w:rPr>
      </w:pPr>
      <w:r>
        <w:rPr>
          <w:rFonts w:ascii="Arial" w:cs="Arial" w:eastAsia="Arial" w:hAnsi="Arial"/>
          <w:sz w:val="17"/>
          <w:szCs w:val="17"/>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71" w:lineRule="exact"/>
        <w:rPr>
          <w:sz w:val="20"/>
          <w:szCs w:val="20"/>
          <w:color w:val="auto"/>
        </w:rPr>
      </w:pPr>
    </w:p>
    <w:p>
      <w:pPr>
        <w:ind w:left="60" w:right="719" w:firstLine="270"/>
        <w:spacing w:after="0" w:line="259" w:lineRule="auto"/>
        <w:rPr>
          <w:sz w:val="20"/>
          <w:szCs w:val="20"/>
          <w:color w:val="auto"/>
        </w:rPr>
      </w:pPr>
      <w:r>
        <w:rPr>
          <w:rFonts w:ascii="Arial" w:cs="Arial" w:eastAsia="Arial" w:hAnsi="Arial"/>
          <w:sz w:val="18"/>
          <w:szCs w:val="18"/>
          <w:color w:val="auto"/>
        </w:rPr>
        <w:t>The Company serves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79" w:lineRule="exact"/>
        <w:rPr>
          <w:sz w:val="20"/>
          <w:szCs w:val="20"/>
          <w:color w:val="auto"/>
        </w:rPr>
      </w:pPr>
    </w:p>
    <w:p>
      <w:pPr>
        <w:ind w:left="60" w:right="559" w:firstLine="270"/>
        <w:spacing w:after="0" w:line="264" w:lineRule="auto"/>
        <w:rPr>
          <w:sz w:val="20"/>
          <w:szCs w:val="20"/>
          <w:color w:val="auto"/>
        </w:rPr>
      </w:pPr>
      <w:r>
        <w:rPr>
          <w:rFonts w:ascii="Arial" w:cs="Arial" w:eastAsia="Arial" w:hAnsi="Arial"/>
          <w:sz w:val="18"/>
          <w:szCs w:val="18"/>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73" w:lineRule="exact"/>
        <w:rPr>
          <w:sz w:val="20"/>
          <w:szCs w:val="20"/>
          <w:color w:val="auto"/>
        </w:rPr>
      </w:pPr>
    </w:p>
    <w:p>
      <w:pPr>
        <w:ind w:left="60" w:right="579" w:firstLine="270"/>
        <w:spacing w:after="0" w:line="273" w:lineRule="auto"/>
        <w:rPr>
          <w:sz w:val="20"/>
          <w:szCs w:val="20"/>
          <w:color w:val="auto"/>
        </w:rPr>
      </w:pPr>
      <w:r>
        <w:rPr>
          <w:rFonts w:ascii="Arial" w:cs="Arial" w:eastAsia="Arial" w:hAnsi="Arial"/>
          <w:sz w:val="17"/>
          <w:szCs w:val="17"/>
          <w:color w:val="auto"/>
        </w:rPr>
        <w:t>As of December 31, 2016, there were 77 investments in portfolio companies with a total fair value of approximately $190.4 million plus cash of $8.5 million, collateralizing the secured notes of the Issuer. At December 31, 2016, there were unamortized issuance costs of approximately $2.5 million, and unamortized original issue discount, (“OID”) of approximately $2.3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years ended December 31, 2016, 2015, and 2014, interest expense, including the amortization of deferred debt issuance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costs and the discount on the face amount of the notes was approximately $5.6 million, $5.0 million and $3.8 million, respectively,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consisting of stated interest expense of approximately $4.4 million, $3.8 million and $2.8 million, respectively, accreted discount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approximately $621,000, $605,000 and $450,000, respectively, and deferred debt issuance costs of approximately $667,000,</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$649,000 and $525,000, respectively. As of December 31, 2016 the stated interest charged under the securitization was based 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current three month LIBOR at the reset date, which was 0.88%. The classes, stated interest rates, spread over LIBOR, and stated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475107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w w:val="92"/>
              </w:rPr>
              <w:t>Stated Interest</w:t>
            </w:r>
          </w:p>
        </w:tc>
        <w:tc>
          <w:tcPr>
            <w:tcW w:w="18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LIBOR Spread</w:t>
            </w:r>
          </w:p>
        </w:tc>
        <w:tc>
          <w:tcPr>
            <w:tcW w:w="14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Interest</w:t>
            </w: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60" w:type="dxa"/>
            <w:vAlign w:val="bottom"/>
            <w:tcBorders>
              <w:bottom w:val="single" w:sz="8" w:color="auto"/>
            </w:tcBorders>
          </w:tcPr>
          <w:p>
            <w:pPr>
              <w:ind w:left="280"/>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(basis points)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0"/>
              <w:spacing w:after="0" w:line="176" w:lineRule="exact"/>
              <w:rPr>
                <w:sz w:val="20"/>
                <w:szCs w:val="20"/>
                <w:color w:val="auto"/>
              </w:rPr>
            </w:pPr>
            <w:r>
              <w:rPr>
                <w:rFonts w:ascii="Arial" w:cs="Arial" w:eastAsia="Arial" w:hAnsi="Arial"/>
                <w:sz w:val="13"/>
                <w:szCs w:val="13"/>
                <w:b w:val="1"/>
                <w:bCs w:val="1"/>
                <w:color w:val="auto"/>
              </w:rPr>
              <w:t>Expense</w:t>
            </w:r>
            <w:r>
              <w:rPr>
                <w:rFonts w:ascii="Arial" w:cs="Arial" w:eastAsia="Arial" w:hAnsi="Arial"/>
                <w:sz w:val="20"/>
                <w:szCs w:val="20"/>
                <w:b w:val="1"/>
                <w:bCs w:val="1"/>
                <w:color w:val="auto"/>
                <w:vertAlign w:val="superscript"/>
              </w:rPr>
              <w:t>(1)</w:t>
            </w:r>
          </w:p>
        </w:tc>
      </w:tr>
      <w:tr>
        <w:trPr>
          <w:trHeight w:val="210"/>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KCAP Senior Funding LLC Class A Notes</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2.38%</w:t>
            </w:r>
          </w:p>
        </w:tc>
        <w:tc>
          <w:tcPr>
            <w:tcW w:w="11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2,573,970</w:t>
            </w:r>
          </w:p>
        </w:tc>
      </w:tr>
      <w:tr>
        <w:trPr>
          <w:trHeight w:val="216"/>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KCAP Senior Funding LLC Class B Notes</w:t>
            </w:r>
          </w:p>
        </w:tc>
        <w:tc>
          <w:tcPr>
            <w:tcW w:w="960" w:type="dxa"/>
            <w:vAlign w:val="bottom"/>
          </w:tcPr>
          <w:p>
            <w:pPr>
              <w:ind w:left="300"/>
              <w:spacing w:after="0"/>
              <w:rPr>
                <w:sz w:val="20"/>
                <w:szCs w:val="20"/>
                <w:color w:val="auto"/>
              </w:rPr>
            </w:pPr>
            <w:r>
              <w:rPr>
                <w:rFonts w:ascii="Arial" w:cs="Arial" w:eastAsia="Arial" w:hAnsi="Arial"/>
                <w:sz w:val="18"/>
                <w:szCs w:val="18"/>
                <w:color w:val="auto"/>
              </w:rPr>
              <w:t>4.13%</w:t>
            </w:r>
          </w:p>
        </w:tc>
        <w:tc>
          <w:tcPr>
            <w:tcW w:w="1120" w:type="dxa"/>
            <w:vAlign w:val="bottom"/>
            <w:gridSpan w:val="2"/>
          </w:tcPr>
          <w:p>
            <w:pPr>
              <w:jc w:val="right"/>
              <w:ind w:right="88"/>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520,380</w:t>
            </w:r>
          </w:p>
        </w:tc>
      </w:tr>
      <w:tr>
        <w:trPr>
          <w:trHeight w:val="216"/>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KCAP Senior Funding LLC Class C Notes</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5.13%</w:t>
            </w:r>
          </w:p>
        </w:tc>
        <w:tc>
          <w:tcPr>
            <w:tcW w:w="11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718,200</w:t>
            </w:r>
          </w:p>
        </w:tc>
      </w:tr>
      <w:tr>
        <w:trPr>
          <w:trHeight w:val="216"/>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KCAP Senior Funding LLC Class D Notes</w:t>
            </w:r>
          </w:p>
        </w:tc>
        <w:tc>
          <w:tcPr>
            <w:tcW w:w="960" w:type="dxa"/>
            <w:vAlign w:val="bottom"/>
          </w:tcPr>
          <w:p>
            <w:pPr>
              <w:ind w:left="300"/>
              <w:spacing w:after="0"/>
              <w:rPr>
                <w:sz w:val="20"/>
                <w:szCs w:val="20"/>
                <w:color w:val="auto"/>
              </w:rPr>
            </w:pPr>
            <w:r>
              <w:rPr>
                <w:rFonts w:ascii="Arial" w:cs="Arial" w:eastAsia="Arial" w:hAnsi="Arial"/>
                <w:sz w:val="18"/>
                <w:szCs w:val="18"/>
                <w:color w:val="auto"/>
              </w:rPr>
              <w:t>6.13%</w:t>
            </w:r>
          </w:p>
        </w:tc>
        <w:tc>
          <w:tcPr>
            <w:tcW w:w="1120" w:type="dxa"/>
            <w:vAlign w:val="bottom"/>
            <w:gridSpan w:val="2"/>
          </w:tcPr>
          <w:p>
            <w:pPr>
              <w:jc w:val="right"/>
              <w:ind w:right="88"/>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772,380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4,584,930</w:t>
            </w: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32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475107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jc w:val="center"/>
        <w:ind w:left="4500" w:right="759" w:hanging="4472"/>
        <w:spacing w:after="0" w:line="919" w:lineRule="auto"/>
        <w:tabs>
          <w:tab w:leader="none" w:pos="2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Stated Interest Rate (and thus periodic interest expense), will vary based upon prevailing 3 month LIBOR as of the reset date. 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-280670</wp:posOffset>
            </wp:positionV>
            <wp:extent cx="6114415" cy="596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8" w:name="page129"/>
    <w:bookmarkEnd w:id="12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amounts, ratings and interest rates (expressed as a spread to LIBOR) of the Class A, B, C, and 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Class A Notes</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Class B Notes</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Class C Notes</w:t>
            </w:r>
          </w:p>
        </w:tc>
        <w:tc>
          <w:tcPr>
            <w:tcW w:w="120" w:type="dxa"/>
            <w:vAlign w:val="bottom"/>
          </w:tcPr>
          <w:p>
            <w:pPr>
              <w:spacing w:after="0"/>
              <w:rPr>
                <w:sz w:val="14"/>
                <w:szCs w:val="14"/>
                <w:color w:val="auto"/>
              </w:rPr>
            </w:pPr>
          </w:p>
        </w:tc>
        <w:tc>
          <w:tcPr>
            <w:tcW w:w="14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Class D Notes</w:t>
            </w:r>
          </w:p>
        </w:tc>
      </w:tr>
      <w:tr>
        <w:trPr>
          <w:trHeight w:val="186"/>
        </w:trPr>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Type</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Secured</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Secured</w:t>
            </w:r>
          </w:p>
        </w:tc>
      </w:tr>
      <w:tr>
        <w:trPr>
          <w:trHeight w:val="203"/>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Senior Secured</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Senior Secured</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Deferrable</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3"/>
              </w:rPr>
              <w:t>Deferrable</w:t>
            </w: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2"/>
              </w:rPr>
              <w:t>Floating Rate</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Floating Rate</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Floating Rate</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Floating Rate</w:t>
            </w:r>
          </w:p>
        </w:tc>
      </w:tr>
      <w:tr>
        <w:trPr>
          <w:trHeight w:val="203"/>
        </w:trPr>
        <w:tc>
          <w:tcPr>
            <w:tcW w:w="2340" w:type="dxa"/>
            <w:vAlign w:val="bottom"/>
            <w:gridSpan w:val="3"/>
          </w:tcPr>
          <w:p>
            <w:pPr>
              <w:ind w:left="20"/>
              <w:spacing w:after="0"/>
              <w:rPr>
                <w:sz w:val="20"/>
                <w:szCs w:val="20"/>
                <w:color w:val="auto"/>
              </w:rPr>
            </w:pPr>
            <w:r>
              <w:rPr>
                <w:rFonts w:ascii="Arial" w:cs="Arial" w:eastAsia="Arial" w:hAnsi="Arial"/>
                <w:sz w:val="16"/>
                <w:szCs w:val="16"/>
                <w:color w:val="auto"/>
              </w:rPr>
              <w:t>Amount Outstanding</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  108,150,000</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   12,600,000</w:t>
            </w: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   14,000,000</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   12,600,000</w:t>
            </w:r>
          </w:p>
        </w:tc>
      </w:tr>
      <w:tr>
        <w:trPr>
          <w:trHeight w:val="203"/>
        </w:trPr>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Moody's Rating (</w:t>
            </w:r>
            <w:r>
              <w:rPr>
                <w:rFonts w:ascii="Arial" w:cs="Arial" w:eastAsia="Arial" w:hAnsi="Arial"/>
                <w:sz w:val="16"/>
                <w:szCs w:val="16"/>
                <w:b w:val="1"/>
                <w:bCs w:val="1"/>
                <w:i w:val="1"/>
                <w:iCs w:val="1"/>
                <w:color w:val="auto"/>
              </w:rPr>
              <w:t>sf</w:t>
            </w: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rPr>
              <w:t>“Aaa”</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“Aa2”</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“A2”</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“Baa2”</w:t>
            </w:r>
          </w:p>
        </w:tc>
      </w:tr>
      <w:tr>
        <w:trPr>
          <w:trHeight w:val="203"/>
        </w:trPr>
        <w:tc>
          <w:tcPr>
            <w:tcW w:w="2340" w:type="dxa"/>
            <w:vAlign w:val="bottom"/>
            <w:gridSpan w:val="3"/>
          </w:tcPr>
          <w:p>
            <w:pPr>
              <w:ind w:left="20"/>
              <w:spacing w:after="0"/>
              <w:rPr>
                <w:sz w:val="20"/>
                <w:szCs w:val="20"/>
                <w:color w:val="auto"/>
              </w:rPr>
            </w:pPr>
            <w:r>
              <w:rPr>
                <w:rFonts w:ascii="Arial" w:cs="Arial" w:eastAsia="Arial" w:hAnsi="Arial"/>
                <w:sz w:val="16"/>
                <w:szCs w:val="16"/>
                <w:color w:val="auto"/>
              </w:rPr>
              <w:t>Standard &amp; Poor's Rating (</w:t>
            </w:r>
            <w:r>
              <w:rPr>
                <w:rFonts w:ascii="Arial" w:cs="Arial" w:eastAsia="Arial" w:hAnsi="Arial"/>
                <w:sz w:val="16"/>
                <w:szCs w:val="16"/>
                <w:i w:val="1"/>
                <w:iCs w:val="1"/>
                <w:color w:val="auto"/>
              </w:rPr>
              <w:t>sf</w:t>
            </w: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“AAA”</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“AA”</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7"/>
                <w:szCs w:val="17"/>
                <w:color w:val="auto"/>
              </w:rPr>
            </w:pPr>
          </w:p>
        </w:tc>
        <w:tc>
          <w:tcPr>
            <w:tcW w:w="1400" w:type="dxa"/>
            <w:vAlign w:val="bottom"/>
          </w:tcPr>
          <w:p>
            <w:pPr>
              <w:jc w:val="center"/>
              <w:ind w:right="20"/>
              <w:spacing w:after="0"/>
              <w:rPr>
                <w:sz w:val="20"/>
                <w:szCs w:val="20"/>
                <w:color w:val="auto"/>
              </w:rPr>
            </w:pPr>
            <w:r>
              <w:rPr>
                <w:rFonts w:ascii="Arial" w:cs="Arial" w:eastAsia="Arial" w:hAnsi="Arial"/>
                <w:sz w:val="16"/>
                <w:szCs w:val="16"/>
                <w:color w:val="auto"/>
              </w:rPr>
              <w:t>“BBB”</w:t>
            </w:r>
          </w:p>
        </w:tc>
      </w:tr>
      <w:tr>
        <w:trPr>
          <w:trHeight w:val="203"/>
        </w:trPr>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LIBOR + 1.50 %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LIBOR + 3.25 %</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LIBOR + 4.25 %</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LIBOR + 5.25 %</w:t>
            </w:r>
          </w:p>
        </w:tc>
      </w:tr>
      <w:tr>
        <w:trPr>
          <w:trHeight w:val="203"/>
        </w:trPr>
        <w:tc>
          <w:tcPr>
            <w:tcW w:w="2340" w:type="dxa"/>
            <w:vAlign w:val="bottom"/>
            <w:gridSpan w:val="3"/>
          </w:tcPr>
          <w:p>
            <w:pPr>
              <w:ind w:left="20"/>
              <w:spacing w:after="0"/>
              <w:rPr>
                <w:sz w:val="20"/>
                <w:szCs w:val="20"/>
                <w:color w:val="auto"/>
              </w:rPr>
            </w:pPr>
            <w:r>
              <w:rPr>
                <w:rFonts w:ascii="Arial" w:cs="Arial" w:eastAsia="Arial" w:hAnsi="Arial"/>
                <w:sz w:val="16"/>
                <w:szCs w:val="16"/>
                <w:color w:val="auto"/>
              </w:rPr>
              <w:t>Stated Maturity</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0"/>
              </w:rPr>
              <w:t>July, 2024</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July, 2024</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July, 2024</w:t>
            </w:r>
          </w:p>
        </w:tc>
        <w:tc>
          <w:tcPr>
            <w:tcW w:w="120" w:type="dxa"/>
            <w:vAlign w:val="bottom"/>
          </w:tcPr>
          <w:p>
            <w:pPr>
              <w:spacing w:after="0"/>
              <w:rPr>
                <w:sz w:val="17"/>
                <w:szCs w:val="17"/>
                <w:color w:val="auto"/>
              </w:rPr>
            </w:pPr>
          </w:p>
        </w:tc>
        <w:tc>
          <w:tcPr>
            <w:tcW w:w="1400" w:type="dxa"/>
            <w:vAlign w:val="bottom"/>
          </w:tcPr>
          <w:p>
            <w:pPr>
              <w:jc w:val="center"/>
              <w:ind w:right="20"/>
              <w:spacing w:after="0"/>
              <w:rPr>
                <w:sz w:val="20"/>
                <w:szCs w:val="20"/>
                <w:color w:val="auto"/>
              </w:rPr>
            </w:pPr>
            <w:r>
              <w:rPr>
                <w:rFonts w:ascii="Arial" w:cs="Arial" w:eastAsia="Arial" w:hAnsi="Arial"/>
                <w:sz w:val="16"/>
                <w:szCs w:val="16"/>
                <w:color w:val="auto"/>
                <w:w w:val="90"/>
              </w:rPr>
              <w:t>July, 2024</w:t>
            </w:r>
          </w:p>
        </w:tc>
      </w:tr>
      <w:tr>
        <w:trPr>
          <w:trHeight w:val="193"/>
        </w:trPr>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Junior Classes</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B, C, D</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 D</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89"/>
              </w:rPr>
              <w:t>and</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and</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D and</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Subordinated</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Subordinated</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Subordinated</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0"/>
              </w:rPr>
              <w:t>Subordinated</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Three month LIBOR, which was .88% as of the last reset date.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outstanding principal amounts, carrying values and fair values of the Class A, B, C and D Notes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47510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620" w:type="dxa"/>
            <w:vAlign w:val="bottom"/>
            <w:tcBorders>
              <w:bottom w:val="single" w:sz="8" w:color="auto"/>
            </w:tcBorders>
            <w:gridSpan w:val="5"/>
          </w:tcPr>
          <w:p>
            <w:pPr>
              <w:jc w:val="center"/>
              <w:ind w:left="937"/>
              <w:spacing w:after="0"/>
              <w:rPr>
                <w:sz w:val="20"/>
                <w:szCs w:val="20"/>
                <w:color w:val="auto"/>
              </w:rPr>
            </w:pPr>
            <w:r>
              <w:rPr>
                <w:rFonts w:ascii="Arial" w:cs="Arial" w:eastAsia="Arial" w:hAnsi="Arial"/>
                <w:sz w:val="14"/>
                <w:szCs w:val="14"/>
                <w:b w:val="1"/>
                <w:bCs w:val="1"/>
                <w:color w:val="auto"/>
                <w:w w:val="92"/>
              </w:rPr>
              <w:t>As of December 31, 2016</w:t>
            </w: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14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Principal</w:t>
            </w:r>
          </w:p>
        </w:tc>
        <w:tc>
          <w:tcPr>
            <w:tcW w:w="8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KCAP Senior Funding LLC Class A Notes</w:t>
            </w:r>
          </w:p>
        </w:tc>
        <w:tc>
          <w:tcPr>
            <w:tcW w:w="11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2"/>
              </w:rPr>
              <w:t>$ 108,150,000</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2"/>
              </w:rPr>
              <w:t>$ 104,666,900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107,338,875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KCAP Senior Funding LLC Class B Notes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12,600,000</w:t>
            </w: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12,194,202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12,615,750</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KCAP Senior Funding LLC Class C Notes</w:t>
            </w:r>
          </w:p>
        </w:tc>
        <w:tc>
          <w:tcPr>
            <w:tcW w:w="1140" w:type="dxa"/>
            <w:vAlign w:val="bottom"/>
          </w:tcPr>
          <w:p>
            <w:pPr>
              <w:jc w:val="right"/>
              <w:spacing w:after="0"/>
              <w:rPr>
                <w:sz w:val="20"/>
                <w:szCs w:val="20"/>
                <w:color w:val="auto"/>
              </w:rPr>
            </w:pPr>
            <w:r>
              <w:rPr>
                <w:rFonts w:ascii="Arial" w:cs="Arial" w:eastAsia="Arial" w:hAnsi="Arial"/>
                <w:sz w:val="18"/>
                <w:szCs w:val="18"/>
                <w:color w:val="auto"/>
              </w:rPr>
              <w:t>14,000,000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13,549,113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KCAP Senior Funding LLC Class D Notes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12,600,000</w:t>
            </w: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12,194,204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12,379,500</w:t>
            </w: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w w:val="92"/>
              </w:rPr>
              <w:t>$ 147,350,000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w w:val="99"/>
              </w:rPr>
              <w:t>$ 142,604,419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146,334,125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639" w:firstLine="270"/>
        <w:spacing w:after="0" w:line="257" w:lineRule="auto"/>
        <w:rPr>
          <w:sz w:val="20"/>
          <w:szCs w:val="20"/>
          <w:color w:val="auto"/>
        </w:rPr>
      </w:pPr>
      <w:r>
        <w:rPr>
          <w:rFonts w:ascii="Arial" w:cs="Arial" w:eastAsia="Arial" w:hAnsi="Arial"/>
          <w:sz w:val="18"/>
          <w:szCs w:val="18"/>
          <w:i w:val="1"/>
          <w:iCs w:val="1"/>
          <w:color w:val="auto"/>
        </w:rPr>
        <w:t>Fair Value of KCAP Senior Funding I</w:t>
      </w:r>
      <w:r>
        <w:rPr>
          <w:rFonts w:ascii="Arial" w:cs="Arial" w:eastAsia="Arial" w:hAnsi="Arial"/>
          <w:sz w:val="18"/>
          <w:szCs w:val="18"/>
          <w:color w:val="auto"/>
        </w:rPr>
        <w:t>. The Company carries the KCAP Senior Funding I Notes at cost, net of unamortized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and offering costs of approximately $4.7 million and $6.0 million, respectively. The fair value of the KCAP Senior Funding I Notes was approximately $146.3 million and $143.8 million at December 31, 2016 and 2015, respectively. The fair values were determined based on third party indicative values. The KCAP Senior Funding I L.L.C. Notes are categorized as Level III under ASC 820: Fair Value.</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7.375% Notes Due 2019</w:t>
      </w:r>
    </w:p>
    <w:p>
      <w:pPr>
        <w:spacing w:after="0" w:line="117" w:lineRule="exact"/>
        <w:rPr>
          <w:sz w:val="20"/>
          <w:szCs w:val="20"/>
          <w:color w:val="auto"/>
        </w:rPr>
      </w:pPr>
    </w:p>
    <w:p>
      <w:pPr>
        <w:ind w:left="60" w:right="579" w:firstLine="270"/>
        <w:spacing w:after="0" w:line="287"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these Notes, after the payment of underwriting expenses, were approximately $39.9 million. Interest on the 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December 31, 2016, the Company was in compliance with all of its debt covenants.</w:t>
      </w:r>
    </w:p>
    <w:p>
      <w:pPr>
        <w:spacing w:after="0" w:line="61" w:lineRule="exact"/>
        <w:rPr>
          <w:sz w:val="20"/>
          <w:szCs w:val="20"/>
          <w:color w:val="auto"/>
        </w:rPr>
      </w:pPr>
    </w:p>
    <w:p>
      <w:pPr>
        <w:ind w:left="60" w:right="1359" w:firstLine="270"/>
        <w:spacing w:after="0" w:line="277" w:lineRule="auto"/>
        <w:rPr>
          <w:sz w:val="20"/>
          <w:szCs w:val="20"/>
          <w:color w:val="auto"/>
        </w:rPr>
      </w:pPr>
      <w:r>
        <w:rPr>
          <w:rFonts w:ascii="Arial" w:cs="Arial" w:eastAsia="Arial" w:hAnsi="Arial"/>
          <w:sz w:val="18"/>
          <w:szCs w:val="18"/>
          <w:color w:val="auto"/>
        </w:rPr>
        <w:t>For the years ended December 31, 2016, 2015 and 2014, interest expense related to the 7.375% Notes Due 2019 was approximately $2.9 million, $3.1 million and $3.1 million, respectively.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ind w:left="40" w:right="759" w:firstLine="270"/>
        <w:spacing w:after="0" w:line="259"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expected term of the facility on an effective yield method, of which approximately $551,000 remains to be amortized, and is included on the consolidated balance sheets as a reduction in the related debt liability.</w:t>
      </w:r>
    </w:p>
    <w:p>
      <w:pPr>
        <w:spacing w:after="0" w:line="79" w:lineRule="exact"/>
        <w:rPr>
          <w:sz w:val="20"/>
          <w:szCs w:val="20"/>
          <w:color w:val="auto"/>
        </w:rPr>
      </w:pPr>
    </w:p>
    <w:p>
      <w:pPr>
        <w:ind w:left="40" w:right="799" w:firstLine="270"/>
        <w:spacing w:after="0" w:line="264" w:lineRule="auto"/>
        <w:rPr>
          <w:sz w:val="20"/>
          <w:szCs w:val="20"/>
          <w:color w:val="auto"/>
        </w:rPr>
      </w:pPr>
      <w:r>
        <w:rPr>
          <w:rFonts w:ascii="Arial" w:cs="Arial" w:eastAsia="Arial" w:hAnsi="Arial"/>
          <w:sz w:val="18"/>
          <w:szCs w:val="18"/>
          <w:color w:val="auto"/>
        </w:rPr>
        <w:t>During the second quarter of 2016, the Company repurchased approximately $2.4 million par value of the 7.375% notes due 2019 at a weighted average price of $25.23 per $25.00 note, resulting in a realized loss on extinguishment of $71,190. KCAP subsequently surrendered these notes to the Trustee for cancellation.</w:t>
      </w:r>
    </w:p>
    <w:p>
      <w:pPr>
        <w:spacing w:after="0" w:line="73" w:lineRule="exact"/>
        <w:rPr>
          <w:sz w:val="20"/>
          <w:szCs w:val="20"/>
          <w:color w:val="auto"/>
        </w:rPr>
      </w:pPr>
    </w:p>
    <w:p>
      <w:pPr>
        <w:ind w:left="40" w:right="559" w:firstLine="270"/>
        <w:spacing w:after="0" w:line="277" w:lineRule="auto"/>
        <w:rPr>
          <w:sz w:val="20"/>
          <w:szCs w:val="20"/>
          <w:color w:val="auto"/>
        </w:rPr>
      </w:pPr>
      <w:r>
        <w:rPr>
          <w:rFonts w:ascii="Arial" w:cs="Arial" w:eastAsia="Arial" w:hAnsi="Arial"/>
          <w:sz w:val="18"/>
          <w:szCs w:val="18"/>
          <w:color w:val="auto"/>
        </w:rPr>
        <w:t>During the third quarter of 2016, $5.0 million par value of the 7.375% notes due 2019 was redeemed by the Company, resulting in a realized loss on extinguishment of $88,015.</w:t>
      </w:r>
    </w:p>
    <w:p>
      <w:pPr>
        <w:spacing w:after="0" w:line="62" w:lineRule="exact"/>
        <w:rPr>
          <w:sz w:val="20"/>
          <w:szCs w:val="20"/>
          <w:color w:val="auto"/>
        </w:rPr>
      </w:pPr>
    </w:p>
    <w:p>
      <w:pPr>
        <w:ind w:left="40" w:right="1039" w:firstLine="270"/>
        <w:spacing w:after="0" w:line="277" w:lineRule="auto"/>
        <w:rPr>
          <w:sz w:val="20"/>
          <w:szCs w:val="20"/>
          <w:color w:val="auto"/>
        </w:rPr>
      </w:pPr>
      <w:r>
        <w:rPr>
          <w:rFonts w:ascii="Arial" w:cs="Arial" w:eastAsia="Arial" w:hAnsi="Arial"/>
          <w:sz w:val="18"/>
          <w:szCs w:val="18"/>
          <w:color w:val="auto"/>
        </w:rPr>
        <w:t>During the fourth quarter of 2016, approximately $469,000 par value of the 7.375% notes due 2019 was redeemed by the Company, resulting in a realized loss on extinguishment of $15,006.</w:t>
      </w:r>
    </w:p>
    <w:p>
      <w:pPr>
        <w:spacing w:after="0" w:line="62"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i w:val="1"/>
          <w:iCs w:val="1"/>
          <w:color w:val="auto"/>
        </w:rPr>
        <w:t xml:space="preserve">Fair Value of 7.375% Notes Due 2019. </w:t>
      </w:r>
      <w:r>
        <w:rPr>
          <w:rFonts w:ascii="Arial" w:cs="Arial" w:eastAsia="Arial" w:hAnsi="Arial"/>
          <w:sz w:val="18"/>
          <w:szCs w:val="18"/>
          <w:color w:val="auto"/>
        </w:rPr>
        <w:t>The 7.375% Notes Due 2019 were issued in a public offering on October 10,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carried at cost. For the years ended December 31, 2016 and 2015, the fair value of the Company’s outstanding 7.375% Notes Due 2019 was approximately $34.2 million and $41.1 million, respectively. The fair value was determined based on the closing price on December 31, 2016 and 2015 for the 7.375% Notes Due 2019. The 7.375% Notes Due 2019 are categorized as Level I under the ASC 820 Fair Value.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after the payment of underwriting expenses, were approximately $57.7 million. Interest on the Convertible Notes is due semi-annually in arrears on March 15 and September 15, at a rate of 8.75%, commencing September 15, 2011. The Convertible Notes matured and were repaid on March 15, 2016. The Convertible Notes were senior unsecured obligations of the Company.</w:t>
      </w:r>
    </w:p>
    <w:p>
      <w:pPr>
        <w:spacing w:after="0" w:line="81"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color w:val="auto"/>
        </w:rPr>
        <w:t>In connection with the issuance of the Convertible Notes, the Company incurred approximately $2.4 million of debt offering costs, which were amortized over the term of the Convertible Notes on an effective yield method. On April 4, 2013, approximately $9 million of the Company’s 8.75% Convertible Notes were converted at a price per share of $8.159 into 1,102,093 shares of KCAP common stock. On September 4, 2013, the Company purchased $2.0 million face value of its own Convertible Notes at a price of $114.50, plus accrued interest. KCAP subsequently surrendered these notes to the trustee for cancellation effective September 13, 2013. During 2015, the Company repurchased approximately $19.3 million face value of its own Convertible Notes at a price ranging from $101.500 to $102.375. KCAP subsequently surrendered these notes to the Trustee for cancellation. Due to the cash conversion option embedded in the Convertible Notes, the Company applied the guidance in ASC 470-20-40, Debt with Conversion and Other Options and realized a loss on the extinguishment of this debt. The indenture governing the Convertible Notes contains certain restrictive covenants, including compliance with certain provisions of the 1940 Act and conditions governing the undertaking of new debt. The Convertible Notes matured and were fully repaid on March 15, 2016.</w:t>
      </w:r>
    </w:p>
    <w:p>
      <w:pPr>
        <w:spacing w:after="0" w:line="65"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For the years ended the years ended December 31, 2016, 2015, and 2014, interest expense related to the Convertible Notes was $378,000, $3.1 million and $4.1 million, respectively.</w:t>
      </w: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0" w:name="page131"/>
    <w:bookmarkEnd w:id="13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ind w:left="60" w:right="719" w:firstLine="270"/>
        <w:spacing w:after="0" w:line="302" w:lineRule="auto"/>
        <w:rPr>
          <w:sz w:val="20"/>
          <w:szCs w:val="20"/>
          <w:color w:val="auto"/>
        </w:rPr>
      </w:pPr>
      <w:r>
        <w:rPr>
          <w:rFonts w:ascii="Arial" w:cs="Arial" w:eastAsia="Arial" w:hAnsi="Arial"/>
          <w:sz w:val="16"/>
          <w:szCs w:val="16"/>
          <w:i w:val="1"/>
          <w:iCs w:val="1"/>
          <w:color w:val="auto"/>
        </w:rPr>
        <w:t xml:space="preserve">Fair Value of Convertible Notes. </w:t>
      </w:r>
      <w:r>
        <w:rPr>
          <w:rFonts w:ascii="Arial" w:cs="Arial" w:eastAsia="Arial" w:hAnsi="Arial"/>
          <w:sz w:val="16"/>
          <w:szCs w:val="16"/>
          <w:color w:val="auto"/>
        </w:rPr>
        <w:t>The Company carries the Convertible Notes at cost. The Convertible Notes were issued in a</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placement and there was no active trading of these notes. The estimated fair value of the Company’s outstanding Convertible Notes was approximately $19.5 million at December 31, 2015. The fair value was determined based on an indicative closing price as of that date. The Convertible Notes are categorized as Level III following ASC 820: Fair Value.</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DISTRIBUTABLE TAXABLE INCOME</w:t>
      </w:r>
    </w:p>
    <w:p>
      <w:pPr>
        <w:spacing w:after="0" w:line="121" w:lineRule="exact"/>
        <w:rPr>
          <w:sz w:val="20"/>
          <w:szCs w:val="20"/>
          <w:color w:val="auto"/>
        </w:rPr>
      </w:pPr>
    </w:p>
    <w:p>
      <w:pPr>
        <w:ind w:left="60" w:right="559" w:firstLine="270"/>
        <w:spacing w:after="0" w:line="290"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2016).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58"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Book and tax basis differences relating to stockholder dividends and distributions and other permanent book and tax differences are typically reclassified among the Company’s capital accounts. In addition, the character of income and gains to be distributed is determined in accordance with income tax regulations that may differ from GAAP; accordingly at calendar years ended December 31, 2016 and 2015, the Company reclassified for book purposes amounts arising from permanent book/tax differences related to the tax treatment of return of capital distributions and non-deductible expenses,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47250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0"/>
              </w:rPr>
              <w:t>(10,491,016)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1"/>
              </w:rPr>
              <w:t>(2,850,376)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undistributed 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5"/>
              </w:rPr>
              <w:t>10,587,127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2,744,870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Accumulated net realized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(96,111)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105,506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559" w:firstLine="270"/>
        <w:spacing w:after="0" w:line="277" w:lineRule="auto"/>
        <w:rPr>
          <w:sz w:val="20"/>
          <w:szCs w:val="20"/>
          <w:color w:val="auto"/>
        </w:rPr>
      </w:pPr>
      <w:r>
        <w:rPr>
          <w:rFonts w:ascii="Arial" w:cs="Arial" w:eastAsia="Arial" w:hAnsi="Arial"/>
          <w:sz w:val="18"/>
          <w:szCs w:val="18"/>
          <w:color w:val="auto"/>
        </w:rPr>
        <w:t>The following reconciles net increase in net assets resulting from operations to taxable income for the year ended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167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4"/>
                <w:szCs w:val="14"/>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(1,039,731)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(18,634,558)</w:t>
            </w: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Net change in unrealized appreciation from investments</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13,188,048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36,169,870</w:t>
            </w: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6,341,678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6,647,477</w:t>
            </w: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Book tax differences on CLO equity investments</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(3,193,602)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(991,297)</w:t>
            </w: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book tax differences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(534,714)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142,721</w:t>
            </w:r>
          </w:p>
        </w:tc>
      </w:tr>
      <w:tr>
        <w:trPr>
          <w:trHeight w:val="20"/>
        </w:trPr>
        <w:tc>
          <w:tcPr>
            <w:tcW w:w="5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Taxable income before deductions for distributions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14,761,679</w:t>
            </w: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23,334,213</w:t>
            </w:r>
          </w:p>
        </w:tc>
      </w:tr>
      <w:tr>
        <w:trPr>
          <w:trHeight w:val="21"/>
        </w:trPr>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51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Taxable income before deductions for distributions per weighted</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basic shares for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-454025</wp:posOffset>
            </wp:positionV>
            <wp:extent cx="4751070" cy="1803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57" w:lineRule="auto"/>
        <w:rPr>
          <w:sz w:val="20"/>
          <w:szCs w:val="20"/>
          <w:color w:val="auto"/>
        </w:rPr>
      </w:pPr>
      <w:r>
        <w:rPr>
          <w:rFonts w:ascii="Arial" w:cs="Arial" w:eastAsia="Arial" w:hAnsi="Arial"/>
          <w:sz w:val="18"/>
          <w:szCs w:val="18"/>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years ended</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1" w:name="page132"/>
    <w:bookmarkEnd w:id="13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7. DISTRIBUTABLE TAXABLE INCOME – (continued)</w:t>
      </w:r>
    </w:p>
    <w:p>
      <w:pPr>
        <w:spacing w:after="0" w:line="1" w:lineRule="exact"/>
        <w:rPr>
          <w:sz w:val="20"/>
          <w:szCs w:val="20"/>
          <w:color w:val="auto"/>
        </w:rPr>
      </w:pPr>
    </w:p>
    <w:p>
      <w:pPr>
        <w:ind w:left="60" w:right="679"/>
        <w:spacing w:after="0" w:line="272" w:lineRule="auto"/>
        <w:rPr>
          <w:sz w:val="20"/>
          <w:szCs w:val="20"/>
          <w:color w:val="auto"/>
        </w:rPr>
      </w:pPr>
      <w:r>
        <w:rPr>
          <w:rFonts w:ascii="Arial" w:cs="Arial" w:eastAsia="Arial" w:hAnsi="Arial"/>
          <w:sz w:val="17"/>
          <w:szCs w:val="17"/>
          <w:color w:val="auto"/>
        </w:rPr>
        <w:t>the years ended December 31, 2016, 2015, and 2014, the Asset Manager Affiliates declared cash distributions of approximately $2.7 million $9.1 million, and $11.9 million to the Company, respectively. The Company recognized approximately $1.4 million, $5.3 million, and $5.5 million, respectively, of dividends from Asset Manager Affiliates in the Statement of Operations for the years ended the years ended December 31, 2016, 2015, and 2014. The difference of $1.3 million, $3.8 million, and $6.4 million, respectively, between cash distributions received and the tax-basis earnings and profits of the distributing affiliate, are recorded as an adjustment to the cost basis in the Asset Manager Affiliate (i.e. tax-basis return of capital), for the years ended the years ended December 31, 2016, 2015, and 2014, respectively.</w:t>
      </w:r>
    </w:p>
    <w:p>
      <w:pPr>
        <w:spacing w:after="0" w:line="70" w:lineRule="exact"/>
        <w:rPr>
          <w:sz w:val="20"/>
          <w:szCs w:val="20"/>
          <w:color w:val="auto"/>
        </w:rPr>
      </w:pPr>
    </w:p>
    <w:p>
      <w:pPr>
        <w:jc w:val="both"/>
        <w:ind w:left="60" w:right="639" w:firstLine="270"/>
        <w:spacing w:after="0" w:line="297"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518858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360" w:type="dxa"/>
            <w:vAlign w:val="bottom"/>
            <w:tcBorders>
              <w:bottom w:val="single" w:sz="8" w:color="auto"/>
            </w:tcBorders>
            <w:gridSpan w:val="7"/>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4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Distributions paid from:</w:t>
            </w:r>
          </w:p>
        </w:tc>
        <w:tc>
          <w:tcPr>
            <w:tcW w:w="9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11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$14,761,679</w:t>
            </w:r>
          </w:p>
        </w:tc>
        <w:tc>
          <w:tcPr>
            <w:tcW w:w="11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$22,985,978</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26,807,154</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Return of Capital</w:t>
            </w:r>
          </w:p>
        </w:tc>
        <w:tc>
          <w:tcPr>
            <w:tcW w:w="920" w:type="dxa"/>
            <w:vAlign w:val="bottom"/>
          </w:tcPr>
          <w:p>
            <w:pPr>
              <w:jc w:val="right"/>
              <w:spacing w:after="0"/>
              <w:rPr>
                <w:sz w:val="20"/>
                <w:szCs w:val="20"/>
                <w:color w:val="auto"/>
              </w:rPr>
            </w:pPr>
            <w:r>
              <w:rPr>
                <w:rFonts w:ascii="Arial" w:cs="Arial" w:eastAsia="Arial" w:hAnsi="Arial"/>
                <w:sz w:val="18"/>
                <w:szCs w:val="18"/>
                <w:color w:val="auto"/>
              </w:rPr>
              <w:t>7,307,578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7,972,633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22,069,257</w:t>
            </w:r>
          </w:p>
        </w:tc>
        <w:tc>
          <w:tcPr>
            <w:tcW w:w="11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22,985,978</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34,779,787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and 2015, the components of accumulated earnings on a tax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9361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Distributable ordinary income</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348,235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loss carryforward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(91,050,249)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(83,133,721)</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Other temporary differences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(1,059,735)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(1,609,485)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(66,741,029)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(61,838,068)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2016, the Company had a net capital loss carryforward of approximately $91.1 million to offset net capital</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gains, to the extent provided by federal tax law. $0.6 million of net capital loss carryforward expired in 2016. $13.5 million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$17.9 million of net capital loss carryforward is subject to expiration in 2017 and 2018, respectively. $59.7 million of the net capital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carryforward is not subject to expiration under the RIC Modernization Act of 2010.</w:t>
      </w:r>
    </w:p>
    <w:p>
      <w:pPr>
        <w:spacing w:after="0" w:line="103" w:lineRule="exact"/>
        <w:rPr>
          <w:sz w:val="20"/>
          <w:szCs w:val="20"/>
          <w:color w:val="auto"/>
        </w:rPr>
      </w:pPr>
    </w:p>
    <w:p>
      <w:pPr>
        <w:ind w:left="60" w:right="619" w:firstLine="270"/>
        <w:spacing w:after="0" w:line="342" w:lineRule="auto"/>
        <w:rPr>
          <w:sz w:val="20"/>
          <w:szCs w:val="20"/>
          <w:color w:val="auto"/>
        </w:rPr>
      </w:pPr>
      <w:r>
        <w:rPr>
          <w:rFonts w:ascii="Arial" w:cs="Arial" w:eastAsia="Arial" w:hAnsi="Arial"/>
          <w:sz w:val="16"/>
          <w:szCs w:val="16"/>
          <w:color w:val="auto"/>
        </w:rPr>
        <w:t>On December 14, 2016, the Company’s Board of Directors declared a distribution to shareholders of $0.12 per share for a total of approximately $4.4 million. The record date was January 6, 2017 and the distribution was paid on January 27, 2017.</w:t>
      </w:r>
    </w:p>
    <w:p>
      <w:pPr>
        <w:spacing w:after="0" w:line="16" w:lineRule="exact"/>
        <w:rPr>
          <w:sz w:val="20"/>
          <w:szCs w:val="20"/>
          <w:color w:val="auto"/>
        </w:rPr>
      </w:pPr>
    </w:p>
    <w:p>
      <w:pPr>
        <w:ind w:left="60" w:right="639" w:firstLine="270"/>
        <w:spacing w:after="0" w:line="271" w:lineRule="auto"/>
        <w:rPr>
          <w:sz w:val="20"/>
          <w:szCs w:val="20"/>
          <w:color w:val="auto"/>
        </w:rPr>
      </w:pPr>
      <w:r>
        <w:rPr>
          <w:rFonts w:ascii="Arial" w:cs="Arial" w:eastAsia="Arial" w:hAnsi="Arial"/>
          <w:sz w:val="17"/>
          <w:szCs w:val="17"/>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w:t>
      </w:r>
    </w:p>
    <w:p>
      <w:pPr>
        <w:spacing w:after="0" w:line="200" w:lineRule="exact"/>
        <w:rPr>
          <w:sz w:val="20"/>
          <w:szCs w:val="20"/>
          <w:color w:val="auto"/>
        </w:rPr>
      </w:pPr>
    </w:p>
    <w:p>
      <w:pPr>
        <w:spacing w:after="0" w:line="3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7. DISTRIBUTABLE TAXABLE INCOME – (continued)</w:t>
      </w:r>
    </w:p>
    <w:p>
      <w:pPr>
        <w:spacing w:after="0" w:line="1" w:lineRule="exact"/>
        <w:rPr>
          <w:sz w:val="20"/>
          <w:szCs w:val="20"/>
          <w:color w:val="auto"/>
        </w:rPr>
      </w:pPr>
    </w:p>
    <w:p>
      <w:pPr>
        <w:ind w:left="40" w:right="579"/>
        <w:spacing w:after="0" w:line="257" w:lineRule="auto"/>
        <w:rPr>
          <w:sz w:val="20"/>
          <w:szCs w:val="20"/>
          <w:color w:val="auto"/>
        </w:rPr>
      </w:pPr>
      <w:r>
        <w:rPr>
          <w:rFonts w:ascii="Arial" w:cs="Arial" w:eastAsia="Arial" w:hAnsi="Arial"/>
          <w:sz w:val="18"/>
          <w:szCs w:val="18"/>
          <w:color w:val="auto"/>
        </w:rPr>
        <w:t>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December 31, 2016 and December 31, 2015, the Company had $565,000 and $360,000 commitments to fund investments, respectively.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STOCKHOLDERS’ EQUITY</w:t>
      </w:r>
    </w:p>
    <w:p>
      <w:pPr>
        <w:spacing w:after="0" w:line="121"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During the years ended December 31, 2016 and December 31, 2015, the Company issued 174,396 and 175,922 shares, respectively, of common stock under its dividend reinvestment plan. For the year ended December 31, 2016, the Company issued 6,000 shares of restricted stock, 34,453 shares were forfeited, and 260,607 shares vested. On October 6, 2014, the Company priced a follow-on public offering of 3.0 million shares of its common stock at a price of $8.02 per share. The offering raised net proceeds were approximately $23.8 million, after deducting underwriting discounts and offering expenses. The total number of shares of the Company’s common stock outstanding as of December 31, 2016 and 2015 was 37,178,294 and 37,100,005, respectively. During the year ended December 31, 2016, the Company repurchased 67,654 shares at an aggregate cost of approximately $248,000 in connection with the vesting of restricted stock awards.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EQUITY INCENTIVE PLAN</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Company has an equity incentive plan, established in 2006 and as amended in 2008, 2014 and most recently in June 2015 (the “Equity Incentive Plan”). The Company reserved 2,000,000 shares of common stock for issuance under the Equity Incentive Plan. The purpose of the Equity Incentive Plan is to provide officers and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subsequent to the 2014 amendment of the Equity Incentive Plan will vest in four equal installments of 25%, on each of the first four anniversaries of the grant date.</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On June 20, 2014, the Company’s Board of Directors approved the amended and restated the Non-Employee Director Plan (the “Non-Employee Director Plan”), which was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200" w:lineRule="exact"/>
        <w:rPr>
          <w:sz w:val="20"/>
          <w:szCs w:val="20"/>
          <w:color w:val="auto"/>
        </w:rPr>
      </w:pPr>
    </w:p>
    <w:p>
      <w:pPr>
        <w:spacing w:after="0" w:line="3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3" w:name="page134"/>
    <w:bookmarkEnd w:id="13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10. EQUITY INCENTIVE PLAN – (continued)</w:t>
      </w:r>
    </w:p>
    <w:p>
      <w:pPr>
        <w:spacing w:after="0" w:line="1" w:lineRule="exact"/>
        <w:rPr>
          <w:sz w:val="20"/>
          <w:szCs w:val="20"/>
          <w:color w:val="auto"/>
        </w:rPr>
      </w:pPr>
    </w:p>
    <w:p>
      <w:pPr>
        <w:ind w:left="60" w:right="759" w:firstLine="270"/>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2015 through December 31,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4"/>
              </w:rPr>
              <w:t>Shares</w:t>
            </w:r>
          </w:p>
        </w:tc>
        <w:tc>
          <w:tcPr>
            <w:tcW w:w="220" w:type="dxa"/>
            <w:vAlign w:val="bottom"/>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 Term</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per Share</w:t>
            </w:r>
          </w:p>
        </w:tc>
        <w:tc>
          <w:tcPr>
            <w:tcW w:w="1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5"/>
                <w:szCs w:val="15"/>
                <w:color w:val="auto"/>
              </w:rPr>
            </w:pPr>
          </w:p>
        </w:tc>
        <w:tc>
          <w:tcPr>
            <w:tcW w:w="118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rPr>
              <w:t>Intrinsic Value</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January 1, 2015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2.4</w:t>
            </w:r>
          </w:p>
        </w:tc>
        <w:tc>
          <w:tcPr>
            <w:tcW w:w="34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tcPr>
          <w:p>
            <w:pPr>
              <w:ind w:left="20"/>
              <w:spacing w:after="0"/>
              <w:rPr>
                <w:sz w:val="20"/>
                <w:szCs w:val="20"/>
                <w:color w:val="auto"/>
              </w:rPr>
            </w:pPr>
            <w:r>
              <w:rPr>
                <w:rFonts w:ascii="Arial" w:cs="Arial" w:eastAsia="Arial" w:hAnsi="Arial"/>
                <w:sz w:val="18"/>
                <w:szCs w:val="18"/>
                <w:color w:val="auto"/>
              </w:rPr>
              <w:t>Total vested at December 31, 2016</w:t>
            </w:r>
          </w:p>
        </w:tc>
        <w:tc>
          <w:tcPr>
            <w:tcW w:w="620" w:type="dxa"/>
            <w:vAlign w:val="bottom"/>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7.72</w:t>
            </w:r>
          </w:p>
        </w:tc>
        <w:tc>
          <w:tcPr>
            <w:tcW w:w="1260" w:type="dxa"/>
            <w:vAlign w:val="bottom"/>
            <w:gridSpan w:val="2"/>
          </w:tcPr>
          <w:p>
            <w:pPr>
              <w:jc w:val="right"/>
              <w:ind w:right="128"/>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714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Represents the difference between the market value of shares of the Company and the exercise price of the options.</w:t>
      </w:r>
    </w:p>
    <w:p>
      <w:pPr>
        <w:spacing w:after="0" w:line="129" w:lineRule="exact"/>
        <w:rPr>
          <w:sz w:val="20"/>
          <w:szCs w:val="20"/>
          <w:color w:val="auto"/>
        </w:rPr>
      </w:pPr>
    </w:p>
    <w:p>
      <w:pPr>
        <w:ind w:left="60" w:right="779" w:firstLine="270"/>
        <w:spacing w:after="0" w:line="259"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years ended December 31, 2016, 2015 and 2014 the Company did not recognize any non-cash compensation expense related to stock options. At December 31, 2016, the Company had no remaining compensation costs related to unvested stock based awards.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62" w:lineRule="exact"/>
        <w:rPr>
          <w:sz w:val="20"/>
          <w:szCs w:val="20"/>
          <w:color w:val="auto"/>
        </w:rPr>
      </w:pPr>
    </w:p>
    <w:p>
      <w:pPr>
        <w:ind w:left="560" w:hanging="222"/>
        <w:spacing w:after="0"/>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117" w:lineRule="exact"/>
        <w:rPr>
          <w:rFonts w:ascii="Arial" w:cs="Arial" w:eastAsia="Arial" w:hAnsi="Arial"/>
          <w:sz w:val="18"/>
          <w:szCs w:val="18"/>
          <w:color w:val="auto"/>
        </w:rPr>
      </w:pPr>
    </w:p>
    <w:p>
      <w:pPr>
        <w:ind w:left="600" w:hanging="262"/>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117" w:lineRule="exact"/>
        <w:rPr>
          <w:sz w:val="20"/>
          <w:szCs w:val="20"/>
          <w:color w:val="auto"/>
        </w:rPr>
      </w:pPr>
    </w:p>
    <w:p>
      <w:pPr>
        <w:jc w:val="both"/>
        <w:ind w:left="60" w:right="679" w:firstLine="270"/>
        <w:spacing w:after="0" w:line="286" w:lineRule="auto"/>
        <w:rPr>
          <w:sz w:val="20"/>
          <w:szCs w:val="20"/>
          <w:color w:val="auto"/>
        </w:rPr>
      </w:pPr>
      <w:r>
        <w:rPr>
          <w:rFonts w:ascii="Arial" w:cs="Arial" w:eastAsia="Arial" w:hAnsi="Arial"/>
          <w:sz w:val="17"/>
          <w:szCs w:val="17"/>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117" w:lineRule="exact"/>
        <w:rPr>
          <w:sz w:val="20"/>
          <w:szCs w:val="20"/>
          <w:color w:val="auto"/>
        </w:rPr>
      </w:pPr>
    </w:p>
    <w:p>
      <w:pPr>
        <w:ind w:left="60" w:right="599" w:firstLine="270"/>
        <w:spacing w:after="0" w:line="264"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 2016, 6,000 shares of restricted stock were awarded to the Company’s Board of Directors.</w:t>
      </w:r>
    </w:p>
    <w:p>
      <w:pPr>
        <w:spacing w:after="0" w:line="117" w:lineRule="exact"/>
        <w:rPr>
          <w:sz w:val="20"/>
          <w:szCs w:val="20"/>
          <w:color w:val="auto"/>
        </w:rPr>
      </w:pPr>
    </w:p>
    <w:p>
      <w:pPr>
        <w:ind w:left="60" w:right="779" w:firstLine="270"/>
        <w:spacing w:after="0" w:line="259" w:lineRule="auto"/>
        <w:rPr>
          <w:sz w:val="20"/>
          <w:szCs w:val="20"/>
          <w:color w:val="auto"/>
        </w:rPr>
      </w:pPr>
      <w:r>
        <w:rPr>
          <w:rFonts w:ascii="Arial" w:cs="Arial" w:eastAsia="Arial" w:hAnsi="Arial"/>
          <w:sz w:val="18"/>
          <w:szCs w:val="18"/>
          <w:color w:val="auto"/>
        </w:rPr>
        <w:t>On June 16, 2015, the Company received exemptive relief to repurchase shares of its common stock from its employees in connection with certain equity compensation plan arrangements. During the years ended December 31, 2016 and 2015, the Company repurchased 67,654 and 36,348 shares, respectively, of common stock at an aggregate cost of approximately $248,000 and $220,000, respectively, in connection with the</w:t>
      </w:r>
    </w:p>
    <w:p>
      <w:pPr>
        <w:spacing w:after="0" w:line="200" w:lineRule="exact"/>
        <w:rPr>
          <w:sz w:val="20"/>
          <w:szCs w:val="20"/>
          <w:color w:val="auto"/>
        </w:rPr>
      </w:pPr>
    </w:p>
    <w:p>
      <w:pPr>
        <w:spacing w:after="0" w:line="3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4" w:name="page135"/>
    <w:bookmarkEnd w:id="13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10. EQUITY INCENTIVE PLAN – (continued)</w:t>
      </w:r>
    </w:p>
    <w:p>
      <w:pPr>
        <w:spacing w:after="0" w:line="1"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vesting of employee’s restricted stock, which is reflected as Treasury Stock at cost on the Consolidated Balance Sheet. These shares are not available to be reissued under the Company’s Equity Incentive Plan.</w:t>
      </w:r>
    </w:p>
    <w:p>
      <w:pPr>
        <w:spacing w:after="0" w:line="62" w:lineRule="exact"/>
        <w:rPr>
          <w:sz w:val="20"/>
          <w:szCs w:val="20"/>
          <w:color w:val="auto"/>
        </w:rPr>
      </w:pPr>
    </w:p>
    <w:p>
      <w:pPr>
        <w:ind w:left="60" w:right="659" w:firstLine="270"/>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73" w:lineRule="exact"/>
        <w:rPr>
          <w:sz w:val="20"/>
          <w:szCs w:val="20"/>
          <w:color w:val="auto"/>
        </w:rPr>
      </w:pPr>
    </w:p>
    <w:p>
      <w:pPr>
        <w:ind w:left="60" w:right="559" w:firstLine="270"/>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plan reserve and could not be reissued under the Company’s Equity Incentive Plan.</w:t>
      </w:r>
    </w:p>
    <w:p>
      <w:pPr>
        <w:spacing w:after="0" w:line="73" w:lineRule="exact"/>
        <w:rPr>
          <w:sz w:val="20"/>
          <w:szCs w:val="20"/>
          <w:color w:val="auto"/>
        </w:rPr>
      </w:pPr>
    </w:p>
    <w:p>
      <w:pPr>
        <w:ind w:left="60" w:right="1039" w:firstLine="270"/>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2015 through December 31,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421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Non-Vested</w:t>
            </w:r>
          </w:p>
        </w:tc>
      </w:tr>
      <w:tr>
        <w:trPr>
          <w:trHeight w:val="149"/>
        </w:trPr>
        <w:tc>
          <w:tcPr>
            <w:tcW w:w="66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r>
      <w:tr>
        <w:trPr>
          <w:trHeight w:val="171"/>
        </w:trPr>
        <w:tc>
          <w:tcPr>
            <w:tcW w:w="66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January 1, 2015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619,785</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196,166</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(104,550)</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(10,862)</w:t>
            </w:r>
          </w:p>
        </w:tc>
      </w:tr>
      <w:tr>
        <w:trPr>
          <w:trHeight w:val="20"/>
        </w:trPr>
        <w:tc>
          <w:tcPr>
            <w:tcW w:w="6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December 31, 2015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700,539</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6,000</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(260,607)</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(34,453)</w:t>
            </w:r>
          </w:p>
        </w:tc>
      </w:tr>
      <w:tr>
        <w:trPr>
          <w:trHeight w:val="20"/>
        </w:trPr>
        <w:tc>
          <w:tcPr>
            <w:tcW w:w="6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December 31, 2016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411,479</w:t>
            </w:r>
          </w:p>
        </w:tc>
      </w:tr>
      <w:tr>
        <w:trPr>
          <w:trHeight w:val="20"/>
        </w:trPr>
        <w:tc>
          <w:tcPr>
            <w:tcW w:w="66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619" w:firstLine="270"/>
        <w:spacing w:after="0" w:line="254" w:lineRule="auto"/>
        <w:rPr>
          <w:sz w:val="20"/>
          <w:szCs w:val="20"/>
          <w:color w:val="auto"/>
        </w:rPr>
      </w:pPr>
      <w:r>
        <w:rPr>
          <w:rFonts w:ascii="Arial" w:cs="Arial" w:eastAsia="Arial" w:hAnsi="Arial"/>
          <w:sz w:val="18"/>
          <w:szCs w:val="18"/>
          <w:color w:val="auto"/>
        </w:rPr>
        <w:t>For the year ended December 31, 2016, non-cash compensation expense related to restricted stock was approximately $1.6 million; of this amount approximately $659,000 was expensed at the Company and approximately $909,000 was a reimbursable expense allocated to the Asset Manager Affiliates. For the year ended December 31, 2015, non-cash compensation expense related to restricted stock was approximately $1.6 million; of this amount approximately $676,000 was expensed at the Company and approximately $897,000 was a reimbursable expense allocated to the Asset Manager Affiliates. For the year ended December 31, 2014, non-cash compensation expense related to restricted stock was approximately $1.1 million; of this amount approximately $534,000 was expensed at the Company and approximately $589,000 was a reimbursable expense allocated to the Asset Manager Affiliates.</w:t>
      </w:r>
    </w:p>
    <w:p>
      <w:pPr>
        <w:spacing w:after="0" w:line="84" w:lineRule="exact"/>
        <w:rPr>
          <w:sz w:val="20"/>
          <w:szCs w:val="20"/>
          <w:color w:val="auto"/>
        </w:rPr>
      </w:pPr>
    </w:p>
    <w:p>
      <w:pPr>
        <w:ind w:left="60" w:right="579" w:firstLine="270"/>
        <w:spacing w:after="0" w:line="279" w:lineRule="auto"/>
        <w:rPr>
          <w:sz w:val="20"/>
          <w:szCs w:val="20"/>
          <w:color w:val="auto"/>
        </w:rPr>
      </w:pPr>
      <w:r>
        <w:rPr>
          <w:rFonts w:ascii="Arial" w:cs="Arial" w:eastAsia="Arial" w:hAnsi="Arial"/>
          <w:sz w:val="17"/>
          <w:szCs w:val="17"/>
          <w:color w:val="auto"/>
        </w:rPr>
        <w:t>Distributions are paid on all outstanding shares of restricted stock, whether or not vested. In general, shares of unvested restricted stock are forfeited upon the recipient’s termination of employment. At December 31, 2016 and 2015, the Company had approximately $1.8 million and $3.6 million of total unrecognized compensation cost related to non-vested restricted share awards, respectively. That cost is expected to be recognized over the remaining weighted average period of 1.5 years.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OTHER EMPLOYEE COMPENSATION</w:t>
      </w:r>
    </w:p>
    <w:p>
      <w:pPr>
        <w:spacing w:after="0" w:line="121" w:lineRule="exact"/>
        <w:rPr>
          <w:sz w:val="20"/>
          <w:szCs w:val="20"/>
          <w:color w:val="auto"/>
        </w:rPr>
      </w:pPr>
    </w:p>
    <w:p>
      <w:pPr>
        <w:ind w:left="60" w:right="739" w:firstLine="270"/>
        <w:spacing w:after="0" w:line="255"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$19,000, $25,000 and $38,000 was expensed during the years ended December 31, 2016, 2015, and 2014, respectively, related to the 401K Plan.</w:t>
      </w:r>
    </w:p>
    <w:p>
      <w:pPr>
        <w:spacing w:after="0" w:line="200" w:lineRule="exact"/>
        <w:rPr>
          <w:sz w:val="20"/>
          <w:szCs w:val="20"/>
          <w:color w:val="auto"/>
        </w:rPr>
      </w:pPr>
    </w:p>
    <w:p>
      <w:pPr>
        <w:spacing w:after="0" w:line="3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5" w:name="page136"/>
    <w:bookmarkEnd w:id="13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11. OTHER EMPLOYEE COMPENSATION – (continued)</w:t>
      </w:r>
    </w:p>
    <w:p>
      <w:pPr>
        <w:spacing w:after="0" w:line="1" w:lineRule="exact"/>
        <w:rPr>
          <w:sz w:val="20"/>
          <w:szCs w:val="20"/>
          <w:color w:val="auto"/>
        </w:rPr>
      </w:pPr>
    </w:p>
    <w:p>
      <w:pPr>
        <w:ind w:left="60" w:right="519" w:firstLine="270"/>
        <w:spacing w:after="0" w:line="290" w:lineRule="auto"/>
        <w:rPr>
          <w:sz w:val="20"/>
          <w:szCs w:val="20"/>
          <w:color w:val="auto"/>
        </w:rPr>
      </w:pPr>
      <w:r>
        <w:rPr>
          <w:rFonts w:ascii="Arial" w:cs="Arial" w:eastAsia="Arial" w:hAnsi="Arial"/>
          <w:sz w:val="16"/>
          <w:szCs w:val="16"/>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$184,000, $151,000 and $244,000 was expensed during the years ended December 31, 2016, 2015, and 2014, respectively, related to the Profit-Sharing Plan.</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SELECTED QUARTERLY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Q1 2016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Q2 2016</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Q3 2016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Q4 2016</w:t>
            </w: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and related portfolio income</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$ 9,510,321</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9,579,400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9,018,789</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8,091,587</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w w:val="94"/>
              </w:rPr>
              <w:t>$ 4,764,770</w:t>
            </w:r>
          </w:p>
        </w:tc>
        <w:tc>
          <w:tcPr>
            <w:tcW w:w="4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5,108,020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4,523,027</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4,094,177</w:t>
            </w:r>
          </w:p>
        </w:tc>
      </w:tr>
      <w:tr>
        <w:trPr>
          <w:trHeight w:val="202"/>
        </w:trPr>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Net (decrease) increase in net assets resulting from</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$(6,842,699)</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3,007,484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2,716,613</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78,869</w:t>
            </w:r>
          </w:p>
        </w:tc>
      </w:tr>
      <w:tr>
        <w:trPr>
          <w:trHeight w:val="202"/>
        </w:trPr>
        <w:tc>
          <w:tcPr>
            <w:tcW w:w="3900" w:type="dxa"/>
            <w:vAlign w:val="bottom"/>
          </w:tcPr>
          <w:p>
            <w:pPr>
              <w:ind w:left="20"/>
              <w:spacing w:after="0" w:line="201" w:lineRule="exact"/>
              <w:rPr>
                <w:sz w:val="20"/>
                <w:szCs w:val="20"/>
                <w:color w:val="auto"/>
              </w:rPr>
            </w:pPr>
            <w:r>
              <w:rPr>
                <w:rFonts w:ascii="Arial" w:cs="Arial" w:eastAsia="Arial" w:hAnsi="Arial"/>
                <w:sz w:val="18"/>
                <w:szCs w:val="18"/>
                <w:color w:val="auto"/>
                <w:w w:val="93"/>
              </w:rPr>
              <w:t>Net (decrease) increase in net assets resulting from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operations per share – basic</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40" w:type="dxa"/>
            <w:vAlign w:val="bottom"/>
          </w:tcPr>
          <w:p>
            <w:pPr>
              <w:spacing w:after="0"/>
              <w:rPr>
                <w:sz w:val="20"/>
                <w:szCs w:val="20"/>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Net (decrease) increase in net assets resulting from</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per share – diluted</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Net investment income per share – basic</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0.13</w:t>
            </w:r>
          </w:p>
        </w:tc>
        <w:tc>
          <w:tcPr>
            <w:tcW w:w="4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per share – diluted</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365"/>
        </w:trPr>
        <w:tc>
          <w:tcPr>
            <w:tcW w:w="39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Q1 2015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Q2 2015</w:t>
            </w: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Q3 2015</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Q4 2015</w:t>
            </w: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and related portfolio income</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$12,342,129</w:t>
            </w: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$ 11,171,386</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w w:val="91"/>
              </w:rPr>
              <w:t>$ 11,779,348</w:t>
            </w:r>
          </w:p>
        </w:tc>
        <w:tc>
          <w:tcPr>
            <w:tcW w:w="1140" w:type="dxa"/>
            <w:vAlign w:val="bottom"/>
            <w:gridSpan w:val="4"/>
            <w:shd w:val="clear" w:color="auto" w:fill="CCEEFF"/>
          </w:tcPr>
          <w:p>
            <w:pPr>
              <w:jc w:val="right"/>
              <w:ind w:right="13"/>
              <w:spacing w:after="0"/>
              <w:rPr>
                <w:sz w:val="20"/>
                <w:szCs w:val="20"/>
                <w:color w:val="auto"/>
              </w:rPr>
            </w:pPr>
            <w:r>
              <w:rPr>
                <w:rFonts w:ascii="Arial" w:cs="Arial" w:eastAsia="Arial" w:hAnsi="Arial"/>
                <w:sz w:val="18"/>
                <w:szCs w:val="18"/>
                <w:color w:val="auto"/>
                <w:w w:val="97"/>
              </w:rPr>
              <w:t>$ 10,234,108</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6,506,948</w:t>
            </w:r>
          </w:p>
        </w:tc>
        <w:tc>
          <w:tcPr>
            <w:tcW w:w="40" w:type="dxa"/>
            <w:vAlign w:val="bottom"/>
          </w:tcPr>
          <w:p>
            <w:pPr>
              <w:spacing w:after="0"/>
              <w:rPr>
                <w:sz w:val="18"/>
                <w:szCs w:val="18"/>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5,832,252</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w w:val="92"/>
              </w:rPr>
              <w:t>6,541,080</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w w:val="94"/>
              </w:rPr>
              <w:t>5,302,509</w:t>
            </w:r>
          </w:p>
        </w:tc>
      </w:tr>
      <w:tr>
        <w:trPr>
          <w:trHeight w:val="202"/>
        </w:trPr>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Net increase (decrease) in net assets resulting from</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7,672,290</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1,232,705</w:t>
            </w:r>
          </w:p>
        </w:tc>
        <w:tc>
          <w:tcPr>
            <w:tcW w:w="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$(16,050,865)</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$(11,488,691)</w:t>
            </w:r>
          </w:p>
        </w:tc>
      </w:tr>
      <w:tr>
        <w:trPr>
          <w:trHeight w:val="202"/>
        </w:trPr>
        <w:tc>
          <w:tcPr>
            <w:tcW w:w="3900" w:type="dxa"/>
            <w:vAlign w:val="bottom"/>
          </w:tcPr>
          <w:p>
            <w:pPr>
              <w:ind w:left="20"/>
              <w:spacing w:after="0" w:line="201" w:lineRule="exact"/>
              <w:rPr>
                <w:sz w:val="20"/>
                <w:szCs w:val="20"/>
                <w:color w:val="auto"/>
              </w:rPr>
            </w:pPr>
            <w:r>
              <w:rPr>
                <w:rFonts w:ascii="Arial" w:cs="Arial" w:eastAsia="Arial" w:hAnsi="Arial"/>
                <w:sz w:val="18"/>
                <w:szCs w:val="18"/>
                <w:color w:val="auto"/>
                <w:w w:val="93"/>
              </w:rPr>
              <w:t>Net increase (decrease) in net assets resulting from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operations per share – basic and diluted</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20"/>
                <w:szCs w:val="20"/>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02"/>
        </w:trPr>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Net increase (decrease) in net assets resulting from</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per share – diluted</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Net investment income per share – basic</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40" w:type="dxa"/>
            <w:vAlign w:val="bottom"/>
          </w:tcPr>
          <w:p>
            <w:pPr>
              <w:spacing w:after="0"/>
              <w:rPr>
                <w:sz w:val="18"/>
                <w:szCs w:val="18"/>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0.18</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0.14</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per share – diluted</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0.18</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-1585595</wp:posOffset>
            </wp:positionV>
            <wp:extent cx="518858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10" w:lineRule="exact"/>
        <w:rPr>
          <w:sz w:val="20"/>
          <w:szCs w:val="20"/>
          <w:color w:val="auto"/>
        </w:rPr>
      </w:pPr>
    </w:p>
    <w:p>
      <w:pPr>
        <w:ind w:left="340" w:hanging="27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On January 26, 2017, Trimaran Advisors, LLC drew $10 million under the Trimaran Credit Facility.</w:t>
      </w:r>
    </w:p>
    <w:p>
      <w:pPr>
        <w:spacing w:after="0" w:line="117" w:lineRule="exact"/>
        <w:rPr>
          <w:sz w:val="20"/>
          <w:szCs w:val="20"/>
          <w:color w:val="auto"/>
        </w:rPr>
      </w:pPr>
    </w:p>
    <w:p>
      <w:pPr>
        <w:ind w:left="60" w:right="679" w:firstLine="270"/>
        <w:spacing w:after="0" w:line="312" w:lineRule="auto"/>
        <w:rPr>
          <w:sz w:val="20"/>
          <w:szCs w:val="20"/>
          <w:color w:val="auto"/>
        </w:rPr>
      </w:pPr>
      <w:r>
        <w:rPr>
          <w:rFonts w:ascii="Arial" w:cs="Arial" w:eastAsia="Arial" w:hAnsi="Arial"/>
          <w:sz w:val="16"/>
          <w:szCs w:val="16"/>
          <w:color w:val="auto"/>
        </w:rPr>
        <w:t>The Company has evaluated events and transactions occurring subsequent to December 31, 2016 for items that should potentially be recognized or disclosed in these financial statements. Other than described above, management has determined that there are no material subsequent events that would require adjustment to, or disclosure in, these consolidated financial statements.</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6" w:name="page137"/>
    <w:bookmarkEnd w:id="13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INDEX TO OTHER FINANCIAL STATEMENTS AND FINANCIAL STATEMENT SCHEDULES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gridSpan w:val="16"/>
          </w:tcPr>
          <w:p>
            <w:pPr>
              <w:ind w:left="40"/>
              <w:spacing w:after="0"/>
              <w:rPr>
                <w:sz w:val="20"/>
                <w:szCs w:val="20"/>
                <w:color w:val="auto"/>
              </w:rPr>
            </w:pPr>
            <w:r>
              <w:rPr>
                <w:rFonts w:ascii="Arial" w:cs="Arial" w:eastAsia="Arial" w:hAnsi="Arial"/>
                <w:sz w:val="18"/>
                <w:szCs w:val="18"/>
                <w:b w:val="1"/>
                <w:bCs w:val="1"/>
                <w:color w:val="auto"/>
              </w:rPr>
              <w:t>ASSET MANAGER AFFILIATES</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7380" w:type="dxa"/>
            <w:vAlign w:val="bottom"/>
            <w:gridSpan w:val="16"/>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Report of Independent Certified Public Accountants</w:t>
              </w:r>
            </w:hyperlink>
          </w:p>
        </w:tc>
        <w:tc>
          <w:tcPr>
            <w:tcW w:w="420" w:type="dxa"/>
            <w:vAlign w:val="bottom"/>
          </w:tcPr>
          <w:p>
            <w:pPr>
              <w:spacing w:after="0"/>
              <w:rPr>
                <w:sz w:val="24"/>
                <w:szCs w:val="24"/>
                <w:color w:val="auto"/>
              </w:rPr>
            </w:pPr>
          </w:p>
        </w:tc>
        <w:tc>
          <w:tcPr>
            <w:tcW w:w="400" w:type="dxa"/>
            <w:vAlign w:val="bottom"/>
            <w:gridSpan w:val="2"/>
          </w:tcPr>
          <w:p>
            <w:pPr>
              <w:jc w:val="center"/>
              <w:ind w:right="160"/>
              <w:spacing w:after="0"/>
              <w:rPr>
                <w:rFonts w:ascii="Arial" w:cs="Arial" w:eastAsia="Arial" w:hAnsi="Arial"/>
                <w:sz w:val="18"/>
                <w:szCs w:val="18"/>
                <w:color w:val="0000EE"/>
                <w:w w:val="85"/>
              </w:rPr>
            </w:pPr>
            <w:hyperlink w:anchor="page138">
              <w:r>
                <w:rPr>
                  <w:rFonts w:ascii="Arial" w:cs="Arial" w:eastAsia="Arial" w:hAnsi="Arial"/>
                  <w:sz w:val="18"/>
                  <w:szCs w:val="18"/>
                  <w:color w:val="0000EE"/>
                  <w:w w:val="85"/>
                </w:rPr>
                <w:t>S-2</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00" w:type="dxa"/>
            <w:vAlign w:val="bottom"/>
            <w:gridSpan w:val="10"/>
            <w:shd w:val="clear" w:color="auto" w:fill="CCEEFF"/>
          </w:tcPr>
          <w:p>
            <w:pPr>
              <w:spacing w:after="0" w:line="17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Combined Balance Sheets as of December 31, 2016 and December 31, 2015</w:t>
              </w:r>
            </w:hyperlink>
          </w:p>
        </w:tc>
        <w:tc>
          <w:tcPr>
            <w:tcW w:w="1880" w:type="dxa"/>
            <w:vAlign w:val="bottom"/>
            <w:gridSpan w:val="6"/>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400" w:type="dxa"/>
            <w:vAlign w:val="bottom"/>
            <w:gridSpan w:val="2"/>
            <w:shd w:val="clear" w:color="auto" w:fill="CCEEFF"/>
          </w:tcPr>
          <w:p>
            <w:pPr>
              <w:jc w:val="center"/>
              <w:ind w:right="160"/>
              <w:spacing w:after="0" w:line="176" w:lineRule="exact"/>
              <w:rPr>
                <w:rFonts w:ascii="Arial" w:cs="Arial" w:eastAsia="Arial" w:hAnsi="Arial"/>
                <w:sz w:val="18"/>
                <w:szCs w:val="18"/>
                <w:color w:val="0000EE"/>
                <w:w w:val="85"/>
              </w:rPr>
            </w:pPr>
            <w:hyperlink w:anchor="page139">
              <w:r>
                <w:rPr>
                  <w:rFonts w:ascii="Arial" w:cs="Arial" w:eastAsia="Arial" w:hAnsi="Arial"/>
                  <w:sz w:val="18"/>
                  <w:szCs w:val="18"/>
                  <w:color w:val="0000EE"/>
                  <w:w w:val="85"/>
                </w:rPr>
                <w:t>S-3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0" w:type="dxa"/>
            <w:vAlign w:val="bottom"/>
            <w:tcBorders>
              <w:bottom w:val="single" w:sz="8" w:color="0000EE"/>
            </w:tcBorders>
            <w:gridSpan w:val="15"/>
          </w:tcPr>
          <w:p>
            <w:pPr>
              <w:spacing w:after="0" w:line="17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Combined Statements of Operations for the years ended December 31, 2016, December 31, 2015</w:t>
              </w:r>
            </w:hyperlink>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380" w:type="dxa"/>
            <w:vAlign w:val="bottom"/>
            <w:gridSpan w:val="16"/>
          </w:tcPr>
          <w:p>
            <w:pPr>
              <w:ind w:left="18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and December 31, 2014</w:t>
              </w:r>
            </w:hyperlink>
          </w:p>
        </w:tc>
        <w:tc>
          <w:tcPr>
            <w:tcW w:w="420" w:type="dxa"/>
            <w:vAlign w:val="bottom"/>
          </w:tcPr>
          <w:p>
            <w:pPr>
              <w:spacing w:after="0"/>
              <w:rPr>
                <w:sz w:val="17"/>
                <w:szCs w:val="17"/>
                <w:color w:val="auto"/>
              </w:rPr>
            </w:pPr>
          </w:p>
        </w:tc>
        <w:tc>
          <w:tcPr>
            <w:tcW w:w="400" w:type="dxa"/>
            <w:vAlign w:val="bottom"/>
            <w:gridSpan w:val="2"/>
          </w:tcPr>
          <w:p>
            <w:pPr>
              <w:jc w:val="center"/>
              <w:ind w:right="160"/>
              <w:spacing w:after="0" w:line="196" w:lineRule="exact"/>
              <w:rPr>
                <w:rFonts w:ascii="Arial" w:cs="Arial" w:eastAsia="Arial" w:hAnsi="Arial"/>
                <w:sz w:val="18"/>
                <w:szCs w:val="18"/>
                <w:color w:val="0000EE"/>
                <w:w w:val="85"/>
              </w:rPr>
            </w:pPr>
            <w:hyperlink w:anchor="page140">
              <w:r>
                <w:rPr>
                  <w:rFonts w:ascii="Arial" w:cs="Arial" w:eastAsia="Arial" w:hAnsi="Arial"/>
                  <w:sz w:val="18"/>
                  <w:szCs w:val="18"/>
                  <w:color w:val="0000EE"/>
                  <w:w w:val="85"/>
                </w:rPr>
                <w:t>S-4</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68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Combined Statements of Changes in Member’s Equity for the years ended December 31, 2016,</w:t>
              </w:r>
            </w:hyperlink>
          </w:p>
        </w:tc>
        <w:tc>
          <w:tcPr>
            <w:tcW w:w="520" w:type="dxa"/>
            <w:vAlign w:val="bottom"/>
            <w:tcBorders>
              <w:bottom w:val="single" w:sz="8" w:color="CCEEFF"/>
            </w:tcBorders>
            <w:gridSpan w:val="2"/>
            <w:shd w:val="clear" w:color="auto" w:fill="CCEEFF"/>
          </w:tcPr>
          <w:p>
            <w:pPr>
              <w:spacing w:after="0"/>
              <w:rPr>
                <w:sz w:val="15"/>
                <w:szCs w:val="15"/>
                <w:color w:val="auto"/>
              </w:rPr>
            </w:pPr>
          </w:p>
        </w:tc>
        <w:tc>
          <w:tcPr>
            <w:tcW w:w="420" w:type="dxa"/>
            <w:vAlign w:val="bottom"/>
            <w:tcBorders>
              <w:bottom w:val="single" w:sz="8" w:color="CCEEFF"/>
              <w:right w:val="single" w:sz="8" w:color="CCEEFF"/>
            </w:tcBorders>
            <w:shd w:val="clear" w:color="auto" w:fill="CCEEFF"/>
          </w:tcPr>
          <w:p>
            <w:pPr>
              <w:spacing w:after="0"/>
              <w:rPr>
                <w:sz w:val="15"/>
                <w:szCs w:val="15"/>
                <w:color w:val="auto"/>
              </w:rPr>
            </w:pPr>
          </w:p>
        </w:tc>
        <w:tc>
          <w:tcPr>
            <w:tcW w:w="28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7380" w:type="dxa"/>
            <w:vAlign w:val="bottom"/>
            <w:gridSpan w:val="16"/>
            <w:shd w:val="clear" w:color="auto" w:fill="CCEEFF"/>
          </w:tcPr>
          <w:p>
            <w:pPr>
              <w:ind w:left="18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December 31, 2015, and December 31, 2014</w:t>
              </w:r>
            </w:hyperlink>
          </w:p>
        </w:tc>
        <w:tc>
          <w:tcPr>
            <w:tcW w:w="42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center"/>
              <w:ind w:right="160"/>
              <w:spacing w:after="0" w:line="196" w:lineRule="exact"/>
              <w:rPr>
                <w:rFonts w:ascii="Arial" w:cs="Arial" w:eastAsia="Arial" w:hAnsi="Arial"/>
                <w:sz w:val="18"/>
                <w:szCs w:val="18"/>
                <w:color w:val="0000EE"/>
                <w:w w:val="85"/>
              </w:rPr>
            </w:pPr>
            <w:hyperlink w:anchor="page141">
              <w:r>
                <w:rPr>
                  <w:rFonts w:ascii="Arial" w:cs="Arial" w:eastAsia="Arial" w:hAnsi="Arial"/>
                  <w:sz w:val="18"/>
                  <w:szCs w:val="18"/>
                  <w:color w:val="0000EE"/>
                  <w:w w:val="85"/>
                </w:rPr>
                <w:t>S-5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gridSpan w:val="16"/>
          </w:tcPr>
          <w:p>
            <w:pPr>
              <w:spacing w:after="0" w:line="176" w:lineRule="exact"/>
              <w:rPr>
                <w:rFonts w:ascii="Arial" w:cs="Arial" w:eastAsia="Arial" w:hAnsi="Arial"/>
                <w:sz w:val="18"/>
                <w:szCs w:val="18"/>
                <w:color w:val="0000EE"/>
                <w:w w:val="99"/>
              </w:rPr>
            </w:pPr>
            <w:hyperlink w:anchor="page142">
              <w:r>
                <w:rPr>
                  <w:rFonts w:ascii="Arial" w:cs="Arial" w:eastAsia="Arial" w:hAnsi="Arial"/>
                  <w:sz w:val="18"/>
                  <w:szCs w:val="18"/>
                  <w:color w:val="0000EE"/>
                  <w:w w:val="99"/>
                </w:rPr>
                <w:t>Combined Statements of Cash Flows for the years ended December 31, 2016, December 31,</w:t>
              </w:r>
            </w:hyperlink>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0000EE"/>
            </w:tcBorders>
            <w:gridSpan w:val="13"/>
          </w:tcPr>
          <w:p>
            <w:pPr>
              <w:ind w:left="18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2015, and December 31, 2014</w:t>
              </w:r>
            </w:hyperlink>
          </w:p>
        </w:tc>
        <w:tc>
          <w:tcPr>
            <w:tcW w:w="74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jc w:val="center"/>
              <w:ind w:right="160"/>
              <w:spacing w:after="0" w:line="196" w:lineRule="exact"/>
              <w:rPr>
                <w:rFonts w:ascii="Arial" w:cs="Arial" w:eastAsia="Arial" w:hAnsi="Arial"/>
                <w:sz w:val="18"/>
                <w:szCs w:val="18"/>
                <w:color w:val="0000EE"/>
                <w:w w:val="85"/>
              </w:rPr>
            </w:pPr>
            <w:hyperlink w:anchor="page142">
              <w:r>
                <w:rPr>
                  <w:rFonts w:ascii="Arial" w:cs="Arial" w:eastAsia="Arial" w:hAnsi="Arial"/>
                  <w:sz w:val="18"/>
                  <w:szCs w:val="18"/>
                  <w:color w:val="0000EE"/>
                  <w:w w:val="85"/>
                </w:rPr>
                <w:t>S-6</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Notes to Combined Financial Statements</w:t>
              </w:r>
            </w:hyperlink>
          </w:p>
        </w:tc>
        <w:tc>
          <w:tcPr>
            <w:tcW w:w="42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center"/>
              <w:ind w:right="160"/>
              <w:spacing w:after="0" w:line="176" w:lineRule="exact"/>
              <w:rPr>
                <w:rFonts w:ascii="Arial" w:cs="Arial" w:eastAsia="Arial" w:hAnsi="Arial"/>
                <w:sz w:val="18"/>
                <w:szCs w:val="18"/>
                <w:color w:val="0000EE"/>
                <w:w w:val="85"/>
              </w:rPr>
            </w:pPr>
            <w:hyperlink w:anchor="page143">
              <w:r>
                <w:rPr>
                  <w:rFonts w:ascii="Arial" w:cs="Arial" w:eastAsia="Arial" w:hAnsi="Arial"/>
                  <w:sz w:val="18"/>
                  <w:szCs w:val="18"/>
                  <w:color w:val="0000EE"/>
                  <w:w w:val="85"/>
                </w:rPr>
                <w:t>S-7</w:t>
              </w:r>
            </w:hyperlink>
          </w:p>
        </w:tc>
      </w:tr>
      <w:tr>
        <w:trPr>
          <w:trHeight w:val="365"/>
        </w:trPr>
        <w:tc>
          <w:tcPr>
            <w:tcW w:w="20" w:type="dxa"/>
            <w:vAlign w:val="bottom"/>
            <w:tcBorders>
              <w:top w:val="single" w:sz="8" w:color="CCEEFF"/>
            </w:tcBorders>
          </w:tcPr>
          <w:p>
            <w:pPr>
              <w:spacing w:after="0"/>
              <w:rPr>
                <w:sz w:val="24"/>
                <w:szCs w:val="24"/>
                <w:color w:val="auto"/>
              </w:rPr>
            </w:pPr>
          </w:p>
        </w:tc>
        <w:tc>
          <w:tcPr>
            <w:tcW w:w="2940" w:type="dxa"/>
            <w:vAlign w:val="bottom"/>
            <w:tcBorders>
              <w:top w:val="single" w:sz="8" w:color="0000EE"/>
            </w:tcBorders>
            <w:gridSpan w:val="5"/>
          </w:tcPr>
          <w:p>
            <w:pPr>
              <w:ind w:left="40"/>
              <w:spacing w:after="0"/>
              <w:rPr>
                <w:sz w:val="20"/>
                <w:szCs w:val="20"/>
                <w:color w:val="auto"/>
              </w:rPr>
            </w:pPr>
            <w:r>
              <w:rPr>
                <w:rFonts w:ascii="Arial" w:cs="Arial" w:eastAsia="Arial" w:hAnsi="Arial"/>
                <w:sz w:val="18"/>
                <w:szCs w:val="18"/>
                <w:b w:val="1"/>
                <w:bCs w:val="1"/>
                <w:color w:val="auto"/>
              </w:rPr>
              <w:t>KATONAH 2007-I CLO LTD.</w:t>
            </w:r>
          </w:p>
        </w:tc>
        <w:tc>
          <w:tcPr>
            <w:tcW w:w="4440" w:type="dxa"/>
            <w:vAlign w:val="bottom"/>
            <w:tcBorders>
              <w:top w:val="single" w:sz="8" w:color="CCEEFF"/>
            </w:tcBorders>
            <w:gridSpan w:val="11"/>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7380" w:type="dxa"/>
            <w:vAlign w:val="bottom"/>
            <w:gridSpan w:val="16"/>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Report of Independent Certified Public Accountants</w:t>
              </w:r>
            </w:hyperlink>
          </w:p>
        </w:tc>
        <w:tc>
          <w:tcPr>
            <w:tcW w:w="820" w:type="dxa"/>
            <w:vAlign w:val="bottom"/>
            <w:gridSpan w:val="3"/>
          </w:tcPr>
          <w:p>
            <w:pPr>
              <w:jc w:val="center"/>
              <w:ind w:left="150"/>
              <w:spacing w:after="0"/>
              <w:rPr>
                <w:rFonts w:ascii="Arial" w:cs="Arial" w:eastAsia="Arial" w:hAnsi="Arial"/>
                <w:sz w:val="18"/>
                <w:szCs w:val="18"/>
                <w:color w:val="0000EE"/>
                <w:w w:val="89"/>
              </w:rPr>
            </w:pPr>
            <w:hyperlink w:anchor="page152">
              <w:r>
                <w:rPr>
                  <w:rFonts w:ascii="Arial" w:cs="Arial" w:eastAsia="Arial" w:hAnsi="Arial"/>
                  <w:sz w:val="18"/>
                  <w:szCs w:val="18"/>
                  <w:color w:val="0000EE"/>
                  <w:w w:val="89"/>
                </w:rPr>
                <w:t>S-16</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Statement of Net Assets as of December 31, 2016 and December 31, 2015</w:t>
              </w:r>
            </w:hyperlink>
          </w:p>
        </w:tc>
        <w:tc>
          <w:tcPr>
            <w:tcW w:w="820" w:type="dxa"/>
            <w:vAlign w:val="bottom"/>
            <w:gridSpan w:val="3"/>
            <w:shd w:val="clear" w:color="auto" w:fill="CCEEFF"/>
          </w:tcPr>
          <w:p>
            <w:pPr>
              <w:jc w:val="center"/>
              <w:ind w:left="150"/>
              <w:spacing w:after="0" w:line="176"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S-17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Borders>
              <w:bottom w:val="single" w:sz="8" w:color="0000EE"/>
            </w:tcBorders>
            <w:gridSpan w:val="11"/>
          </w:tcPr>
          <w:p>
            <w:pPr>
              <w:spacing w:after="0" w:line="176" w:lineRule="exact"/>
              <w:rPr>
                <w:rFonts w:ascii="Arial" w:cs="Arial" w:eastAsia="Arial" w:hAnsi="Arial"/>
                <w:sz w:val="18"/>
                <w:szCs w:val="18"/>
                <w:color w:val="0000EE"/>
                <w:w w:val="88"/>
              </w:rPr>
            </w:pPr>
            <w:hyperlink w:anchor="page154">
              <w:r>
                <w:rPr>
                  <w:rFonts w:ascii="Arial" w:cs="Arial" w:eastAsia="Arial" w:hAnsi="Arial"/>
                  <w:sz w:val="18"/>
                  <w:szCs w:val="18"/>
                  <w:color w:val="0000EE"/>
                  <w:w w:val="88"/>
                </w:rPr>
                <w:t>Statement of Operations for the years ended December 31, 2016, December 31, 2015 and</w:t>
              </w:r>
            </w:hyperlink>
          </w:p>
        </w:tc>
        <w:tc>
          <w:tcPr>
            <w:tcW w:w="940" w:type="dxa"/>
            <w:vAlign w:val="bottom"/>
            <w:gridSpan w:val="5"/>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380" w:type="dxa"/>
            <w:vAlign w:val="bottom"/>
            <w:gridSpan w:val="16"/>
          </w:tcPr>
          <w:p>
            <w:pPr>
              <w:ind w:left="180"/>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December 31, 2014</w:t>
              </w:r>
            </w:hyperlink>
          </w:p>
        </w:tc>
        <w:tc>
          <w:tcPr>
            <w:tcW w:w="820" w:type="dxa"/>
            <w:vAlign w:val="bottom"/>
            <w:gridSpan w:val="3"/>
          </w:tcPr>
          <w:p>
            <w:pPr>
              <w:jc w:val="center"/>
              <w:ind w:left="150"/>
              <w:spacing w:after="0" w:line="196" w:lineRule="exact"/>
              <w:rPr>
                <w:rFonts w:ascii="Arial" w:cs="Arial" w:eastAsia="Arial" w:hAnsi="Arial"/>
                <w:sz w:val="18"/>
                <w:szCs w:val="18"/>
                <w:color w:val="0000EE"/>
                <w:w w:val="89"/>
              </w:rPr>
            </w:pPr>
            <w:hyperlink w:anchor="page154">
              <w:r>
                <w:rPr>
                  <w:rFonts w:ascii="Arial" w:cs="Arial" w:eastAsia="Arial" w:hAnsi="Arial"/>
                  <w:sz w:val="18"/>
                  <w:szCs w:val="18"/>
                  <w:color w:val="0000EE"/>
                  <w:w w:val="89"/>
                </w:rPr>
                <w:t>S-18</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w w:val="93"/>
              </w:rPr>
            </w:pPr>
            <w:hyperlink w:anchor="page155">
              <w:r>
                <w:rPr>
                  <w:rFonts w:ascii="Arial" w:cs="Arial" w:eastAsia="Arial" w:hAnsi="Arial"/>
                  <w:sz w:val="18"/>
                  <w:szCs w:val="18"/>
                  <w:color w:val="0000EE"/>
                  <w:w w:val="93"/>
                </w:rPr>
                <w:t>Statement of Changes in Net Assets for the years ended December 31, 2016, December 31, 2015,</w:t>
              </w:r>
            </w:hyperlink>
          </w:p>
        </w:tc>
        <w:tc>
          <w:tcPr>
            <w:tcW w:w="420" w:type="dxa"/>
            <w:vAlign w:val="bottom"/>
            <w:tcBorders>
              <w:right w:val="single" w:sz="8" w:color="CCEEFF"/>
            </w:tcBorders>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7000" w:type="dxa"/>
            <w:vAlign w:val="bottom"/>
            <w:tcBorders>
              <w:top w:val="single" w:sz="8" w:color="0000EE"/>
            </w:tcBorders>
            <w:gridSpan w:val="15"/>
            <w:shd w:val="clear" w:color="auto" w:fill="CCEEFF"/>
          </w:tcPr>
          <w:p>
            <w:pPr>
              <w:ind w:left="180"/>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and December 31, 2014</w:t>
              </w:r>
            </w:hyperlink>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gridSpan w:val="3"/>
            <w:shd w:val="clear" w:color="auto" w:fill="CCEEFF"/>
          </w:tcPr>
          <w:p>
            <w:pPr>
              <w:jc w:val="center"/>
              <w:ind w:left="150"/>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S-19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gridSpan w:val="16"/>
          </w:tcPr>
          <w:p>
            <w:pPr>
              <w:spacing w:after="0" w:line="176" w:lineRule="exact"/>
              <w:rPr>
                <w:rFonts w:ascii="Arial" w:cs="Arial" w:eastAsia="Arial" w:hAnsi="Arial"/>
                <w:sz w:val="18"/>
                <w:szCs w:val="18"/>
                <w:color w:val="0000EE"/>
              </w:rPr>
            </w:pPr>
            <w:hyperlink w:anchor="page156">
              <w:r>
                <w:rPr>
                  <w:rFonts w:ascii="Arial" w:cs="Arial" w:eastAsia="Arial" w:hAnsi="Arial"/>
                  <w:sz w:val="18"/>
                  <w:szCs w:val="18"/>
                  <w:color w:val="0000EE"/>
                </w:rPr>
                <w:t>Statement of Cash Flows for the year ended December 31, 2016, December 31, 2015, and</w:t>
              </w:r>
            </w:hyperlink>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460" w:type="dxa"/>
            <w:vAlign w:val="bottom"/>
            <w:tcBorders>
              <w:top w:val="single" w:sz="8" w:color="0000EE"/>
            </w:tcBorders>
            <w:gridSpan w:val="12"/>
          </w:tcPr>
          <w:p>
            <w:pPr>
              <w:ind w:left="180"/>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December 31, 2014</w:t>
              </w:r>
            </w:hyperlink>
          </w:p>
        </w:tc>
        <w:tc>
          <w:tcPr>
            <w:tcW w:w="920" w:type="dxa"/>
            <w:vAlign w:val="bottom"/>
            <w:gridSpan w:val="4"/>
          </w:tcPr>
          <w:p>
            <w:pPr>
              <w:spacing w:after="0"/>
              <w:rPr>
                <w:sz w:val="17"/>
                <w:szCs w:val="17"/>
                <w:color w:val="auto"/>
              </w:rPr>
            </w:pPr>
          </w:p>
        </w:tc>
        <w:tc>
          <w:tcPr>
            <w:tcW w:w="820" w:type="dxa"/>
            <w:vAlign w:val="bottom"/>
            <w:gridSpan w:val="3"/>
          </w:tcPr>
          <w:p>
            <w:pPr>
              <w:jc w:val="center"/>
              <w:ind w:left="150"/>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S-20</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rPr>
            </w:pPr>
            <w:hyperlink w:anchor="page157">
              <w:r>
                <w:rPr>
                  <w:rFonts w:ascii="Arial" w:cs="Arial" w:eastAsia="Arial" w:hAnsi="Arial"/>
                  <w:sz w:val="18"/>
                  <w:szCs w:val="18"/>
                  <w:color w:val="0000EE"/>
                </w:rPr>
                <w:t>Schedule of Investment as of December 31, 2016 and December 31, 2015</w:t>
              </w:r>
            </w:hyperlink>
          </w:p>
        </w:tc>
        <w:tc>
          <w:tcPr>
            <w:tcW w:w="820" w:type="dxa"/>
            <w:vAlign w:val="bottom"/>
            <w:gridSpan w:val="3"/>
            <w:shd w:val="clear" w:color="auto" w:fill="CCEEFF"/>
          </w:tcPr>
          <w:p>
            <w:pPr>
              <w:jc w:val="center"/>
              <w:ind w:left="150"/>
              <w:spacing w:after="0" w:line="176"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S-21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gridSpan w:val="8"/>
          </w:tcPr>
          <w:p>
            <w:pPr>
              <w:spacing w:after="0" w:line="176" w:lineRule="exact"/>
              <w:rPr>
                <w:rFonts w:ascii="Arial" w:cs="Arial" w:eastAsia="Arial" w:hAnsi="Arial"/>
                <w:sz w:val="18"/>
                <w:szCs w:val="18"/>
                <w:color w:val="0000EE"/>
              </w:rPr>
            </w:pPr>
            <w:hyperlink w:anchor="page166">
              <w:r>
                <w:rPr>
                  <w:rFonts w:ascii="Arial" w:cs="Arial" w:eastAsia="Arial" w:hAnsi="Arial"/>
                  <w:sz w:val="18"/>
                  <w:szCs w:val="18"/>
                  <w:color w:val="0000EE"/>
                </w:rPr>
                <w:t>Notes to Combined Financial Statements</w:t>
              </w:r>
            </w:hyperlink>
          </w:p>
        </w:tc>
        <w:tc>
          <w:tcPr>
            <w:tcW w:w="2080" w:type="dxa"/>
            <w:vAlign w:val="bottom"/>
            <w:gridSpan w:val="8"/>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jc w:val="center"/>
              <w:ind w:right="120"/>
              <w:spacing w:after="0" w:line="176" w:lineRule="exact"/>
              <w:rPr>
                <w:rFonts w:ascii="Arial" w:cs="Arial" w:eastAsia="Arial" w:hAnsi="Arial"/>
                <w:sz w:val="18"/>
                <w:szCs w:val="18"/>
                <w:color w:val="0000EE"/>
                <w:w w:val="73"/>
              </w:rPr>
            </w:pPr>
            <w:hyperlink w:anchor="page166">
              <w:r>
                <w:rPr>
                  <w:rFonts w:ascii="Arial" w:cs="Arial" w:eastAsia="Arial" w:hAnsi="Arial"/>
                  <w:sz w:val="18"/>
                  <w:szCs w:val="18"/>
                  <w:color w:val="0000EE"/>
                  <w:w w:val="73"/>
                </w:rPr>
                <w:t>S-30</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-3001010</wp:posOffset>
            </wp:positionV>
            <wp:extent cx="521398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-1431290</wp:posOffset>
            </wp:positionV>
            <wp:extent cx="521398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u w:val="single" w:color="auto"/>
          <w:color w:val="auto"/>
        </w:rPr>
        <w:t>IMPORTANT NOTE</w:t>
      </w:r>
    </w:p>
    <w:p>
      <w:pPr>
        <w:spacing w:after="0" w:line="121" w:lineRule="exact"/>
        <w:rPr>
          <w:sz w:val="20"/>
          <w:szCs w:val="20"/>
          <w:color w:val="auto"/>
        </w:rPr>
      </w:pPr>
    </w:p>
    <w:p>
      <w:pPr>
        <w:ind w:left="60" w:right="559" w:firstLine="270"/>
        <w:spacing w:after="0" w:line="297" w:lineRule="auto"/>
        <w:rPr>
          <w:sz w:val="20"/>
          <w:szCs w:val="20"/>
          <w:color w:val="auto"/>
        </w:rPr>
      </w:pPr>
      <w:r>
        <w:rPr>
          <w:rFonts w:ascii="Arial" w:cs="Arial" w:eastAsia="Arial" w:hAnsi="Arial"/>
          <w:sz w:val="16"/>
          <w:szCs w:val="16"/>
          <w:color w:val="auto"/>
        </w:rPr>
        <w:t>In accordance with certain SEC rules, KCAP Financial, Inc. (the “Company”) is providing additional information regarding the following three portfolio companies: Katonah Debt Advisers, L.L.C., Trimaran Advisors, L.L.C. (collectively the Asset Manager Affiliates), Katonah 2007-I CLO Ltd and Katonah X CLO Ltd. However, pursuant to SEC rules, the Company does not consolidate portfolio company investments, including those in which it has a controlling interest. As a result, the additional financial information regarding these entities does not directly impact the Company’s financial position, results of operations or cash flows.</w:t>
      </w:r>
    </w:p>
    <w:p>
      <w:pPr>
        <w:spacing w:after="0" w:line="200" w:lineRule="exact"/>
        <w:rPr>
          <w:sz w:val="20"/>
          <w:szCs w:val="20"/>
          <w:color w:val="auto"/>
        </w:rPr>
      </w:pPr>
    </w:p>
    <w:p>
      <w:pPr>
        <w:spacing w:after="0" w:line="29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Manager Affiliates</w:t>
      </w:r>
    </w:p>
    <w:p>
      <w:pPr>
        <w:spacing w:after="0" w:line="103" w:lineRule="exact"/>
        <w:rPr>
          <w:sz w:val="20"/>
          <w:szCs w:val="20"/>
          <w:color w:val="auto"/>
        </w:rPr>
      </w:pPr>
    </w:p>
    <w:p>
      <w:pPr>
        <w:ind w:left="40" w:right="539"/>
        <w:spacing w:after="0" w:line="259" w:lineRule="auto"/>
        <w:rPr>
          <w:sz w:val="20"/>
          <w:szCs w:val="20"/>
          <w:color w:val="auto"/>
        </w:rPr>
      </w:pPr>
      <w:r>
        <w:rPr>
          <w:rFonts w:ascii="Arial" w:cs="Arial" w:eastAsia="Arial" w:hAnsi="Arial"/>
          <w:sz w:val="18"/>
          <w:szCs w:val="18"/>
          <w:color w:val="auto"/>
        </w:rPr>
        <w:t>We have audited the accompanying combined financial statements of Asset Manager Affiliates, which comprise the combined balance sheets, as of December 31, 2016 and 2015, and the related combined statements of operations, changes in member’s equity, and cash flows for each of the three years in the period ended December 31, 2016, and the related notes to the combined financial statements.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40" w:right="579"/>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left="40" w:right="719"/>
        <w:spacing w:after="0" w:line="286"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57"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84" w:lineRule="exact"/>
        <w:rPr>
          <w:sz w:val="20"/>
          <w:szCs w:val="20"/>
          <w:color w:val="auto"/>
        </w:rPr>
      </w:pPr>
    </w:p>
    <w:p>
      <w:pPr>
        <w:ind w:left="40" w:right="1299"/>
        <w:spacing w:after="0" w:line="399"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b w:val="1"/>
          <w:bCs w:val="1"/>
          <w:color w:val="auto"/>
        </w:rPr>
        <w:t>Opinion</w:t>
      </w:r>
    </w:p>
    <w:p>
      <w:pPr>
        <w:spacing w:after="0" w:line="1" w:lineRule="exact"/>
        <w:rPr>
          <w:sz w:val="20"/>
          <w:szCs w:val="20"/>
          <w:color w:val="auto"/>
        </w:rPr>
      </w:pPr>
    </w:p>
    <w:p>
      <w:pPr>
        <w:ind w:left="40" w:right="679"/>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combined financial position of Asset Manager Affiliates at December 31, 2016 and 2015, and the combined results of their operations and their cash flows for each of the three years in the period ended December 31, 2016, in conformity with U.S. generally accepted accounting principles.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Adoption of ASU No. 2015-02 Consolidation (Topic 810): Amendments to the Consolidation Analysis</w:t>
      </w:r>
    </w:p>
    <w:p>
      <w:pPr>
        <w:spacing w:after="0" w:line="121" w:lineRule="exact"/>
        <w:rPr>
          <w:sz w:val="20"/>
          <w:szCs w:val="20"/>
          <w:color w:val="auto"/>
        </w:rPr>
      </w:pPr>
    </w:p>
    <w:p>
      <w:pPr>
        <w:ind w:left="40" w:right="679"/>
        <w:spacing w:after="0" w:line="259" w:lineRule="auto"/>
        <w:rPr>
          <w:sz w:val="20"/>
          <w:szCs w:val="20"/>
          <w:color w:val="auto"/>
        </w:rPr>
      </w:pPr>
      <w:r>
        <w:rPr>
          <w:rFonts w:ascii="Arial" w:cs="Arial" w:eastAsia="Arial" w:hAnsi="Arial"/>
          <w:sz w:val="18"/>
          <w:szCs w:val="18"/>
          <w:color w:val="auto"/>
        </w:rPr>
        <w:t>As discussed in Note 2 to the combined financial statements, Asset Manager Affiliates deconsolidated the collateralized loan obligation funds as a result of the adoption of the amendments to Accounting Standards Codification resulting from Accounting Standards Update 2015-2, “Consolidation (Topic 810)” effective January 1, 2016. Our opinion is not modified with respect to this matter.</w:t>
      </w:r>
    </w:p>
    <w:p>
      <w:pPr>
        <w:spacing w:after="0" w:line="7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2017</w:t>
      </w:r>
    </w:p>
    <w:p>
      <w:pPr>
        <w:spacing w:after="0" w:line="200" w:lineRule="exact"/>
        <w:rPr>
          <w:sz w:val="20"/>
          <w:szCs w:val="20"/>
          <w:color w:val="auto"/>
        </w:rPr>
      </w:pPr>
    </w:p>
    <w:p>
      <w:pPr>
        <w:spacing w:after="0" w:line="36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8" w:name="page139"/>
    <w:bookmarkEnd w:id="13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COMBINED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auto"/>
            </w:tcBorders>
          </w:tcPr>
          <w:p>
            <w:pPr>
              <w:spacing w:after="0"/>
              <w:rPr>
                <w:sz w:val="14"/>
                <w:szCs w:val="14"/>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Investments, at fair value (cost: 2016 – $0; 2015 – $22,000,000)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23,089,679</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3,425,709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4,085,464</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Accrued management fees receivable</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2,176,833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3,422,409</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643,352</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23,157,541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24,467,705</w:t>
            </w:r>
          </w:p>
        </w:tc>
      </w:tr>
      <w:tr>
        <w:trPr>
          <w:trHeight w:val="21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2,760,726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2,805,977</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31,607,424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58,514,586</w:t>
            </w:r>
          </w:p>
        </w:tc>
      </w:tr>
      <w:tr>
        <w:trPr>
          <w:trHeight w:val="21"/>
        </w:trPr>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23,000,000</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178,250</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3,431,496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4,297,851</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612,983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2,117,095</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2,575,140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649,970</w:t>
            </w:r>
          </w:p>
        </w:tc>
        <w:tc>
          <w:tcPr>
            <w:tcW w:w="140" w:type="dxa"/>
            <w:vAlign w:val="bottom"/>
          </w:tcPr>
          <w:p>
            <w:pPr>
              <w:spacing w:after="0"/>
              <w:rPr>
                <w:sz w:val="18"/>
                <w:szCs w:val="18"/>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6,619,619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30,243,166</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Member's contributions</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52,519,916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52,519,916</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(27,532,111)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(24,248,496)</w:t>
            </w:r>
          </w:p>
        </w:tc>
      </w:tr>
      <w:tr>
        <w:trPr>
          <w:trHeight w:val="210"/>
        </w:trPr>
        <w:tc>
          <w:tcPr>
            <w:tcW w:w="54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member's equity</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24,987,805</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28,271,420</w:t>
            </w:r>
          </w:p>
        </w:tc>
        <w:tc>
          <w:tcPr>
            <w:tcW w:w="140" w:type="dxa"/>
            <w:vAlign w:val="bottom"/>
            <w:tcBorders>
              <w:top w:val="single" w:sz="8" w:color="CCEEFF"/>
            </w:tcBorders>
          </w:tcPr>
          <w:p>
            <w:pPr>
              <w:spacing w:after="0"/>
              <w:rPr>
                <w:sz w:val="18"/>
                <w:szCs w:val="18"/>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member's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31,607,424</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58,514,586</w:t>
            </w: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-2023110</wp:posOffset>
            </wp:positionV>
            <wp:extent cx="5213985" cy="1803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54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9" w:name="page140"/>
    <w:bookmarkEnd w:id="13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COMBINED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8858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Incentive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12,835,603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22,617,240</w:t>
            </w:r>
          </w:p>
        </w:tc>
        <w:tc>
          <w:tcPr>
            <w:tcW w:w="38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27,467,068</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1,024,760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2,787,334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4,049,281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13,860,363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25,404,574</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31,516,349</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1,821,517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1,726,781</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2,033,473</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7,596,726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9,441,607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8,921,240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408,959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450,460</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460,969</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980,605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903,119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1,070,993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1,310,164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2,308,123</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5,290,437</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Administrative and other</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2,457,029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2,391,184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2,296,193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14,575,000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17,221,274</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20,073,305</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(Loss)/income before tax</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(714,637)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8,183,300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11,443,044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5,642,225</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4,153,598</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Net (loss)/income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(633,615)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2,541,075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7,289,446</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-471170</wp:posOffset>
            </wp:positionV>
            <wp:extent cx="5213985" cy="1543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0" w:name="page141"/>
    <w:bookmarkEnd w:id="14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COMBINED STATEMENTS OF CHANGES IN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8858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Member's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Total Member's</w:t>
            </w:r>
          </w:p>
        </w:tc>
      </w:tr>
      <w:tr>
        <w:trPr>
          <w:trHeight w:val="171"/>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3"/>
              </w:rPr>
              <w:t>Contributions</w:t>
            </w:r>
          </w:p>
        </w:tc>
        <w:tc>
          <w:tcPr>
            <w:tcW w:w="160" w:type="dxa"/>
            <w:vAlign w:val="bottom"/>
          </w:tcPr>
          <w:p>
            <w:pPr>
              <w:spacing w:after="0"/>
              <w:rPr>
                <w:sz w:val="14"/>
                <w:szCs w:val="14"/>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Earnings (Deficit)</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at January 1,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51,984,116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(13,129,017)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38,855,099</w:t>
            </w: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7,289,446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7,289,446</w:t>
            </w: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(11,900,000)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(11,900,000)</w:t>
            </w: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535,800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535,800</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at December 31, 2014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52,519,916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(17,739,571)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34,780,345</w:t>
            </w: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2,541,075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2,541,075</w:t>
            </w: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(9,050,000)</w:t>
            </w:r>
          </w:p>
        </w:tc>
      </w:tr>
      <w:tr>
        <w:trPr>
          <w:trHeight w:val="20"/>
        </w:trPr>
        <w:tc>
          <w:tcPr>
            <w:tcW w:w="4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Total at December 31, 2015</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52,519,916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(24,248,496)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28,271,420</w:t>
            </w: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(633,615)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(633,615)</w:t>
            </w: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(2,650,000)</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at 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52,519,916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(27,532,111)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24,987,805</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-599440</wp:posOffset>
            </wp:positionV>
            <wp:extent cx="5213985" cy="1460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1" w:name="page142"/>
    <w:bookmarkEnd w:id="14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COMBINED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9"/>
          </w:tcPr>
          <w:p>
            <w:pPr>
              <w:jc w:val="center"/>
              <w:ind w:right="96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96"/>
        </w:trPr>
        <w:tc>
          <w:tcPr>
            <w:tcW w:w="462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(633,615)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2,541,075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7,289,446</w:t>
            </w:r>
          </w:p>
        </w:tc>
        <w:tc>
          <w:tcPr>
            <w:tcW w:w="0" w:type="dxa"/>
            <w:vAlign w:val="bottom"/>
          </w:tcPr>
          <w:p>
            <w:pPr>
              <w:spacing w:after="0"/>
              <w:rPr>
                <w:sz w:val="1"/>
                <w:szCs w:val="1"/>
                <w:color w:val="auto"/>
              </w:rPr>
            </w:pPr>
          </w:p>
        </w:tc>
      </w:tr>
      <w:tr>
        <w:trPr>
          <w:trHeight w:val="198"/>
        </w:trPr>
        <w:tc>
          <w:tcPr>
            <w:tcW w:w="4620" w:type="dxa"/>
            <w:vAlign w:val="bottom"/>
          </w:tcPr>
          <w:p>
            <w:pPr>
              <w:ind w:left="200"/>
              <w:spacing w:after="0" w:line="198" w:lineRule="exact"/>
              <w:rPr>
                <w:sz w:val="20"/>
                <w:szCs w:val="20"/>
                <w:color w:val="auto"/>
              </w:rPr>
            </w:pPr>
            <w:r>
              <w:rPr>
                <w:rFonts w:ascii="Arial" w:cs="Arial" w:eastAsia="Arial" w:hAnsi="Arial"/>
                <w:sz w:val="18"/>
                <w:szCs w:val="18"/>
                <w:b w:val="1"/>
                <w:bCs w:val="1"/>
                <w:color w:val="auto"/>
                <w:w w:val="93"/>
              </w:rPr>
              <w:t>Adjustments to reconcile net (loss) income to net cash</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380"/>
              <w:spacing w:after="0"/>
              <w:rPr>
                <w:sz w:val="20"/>
                <w:szCs w:val="20"/>
                <w:color w:val="auto"/>
              </w:rPr>
            </w:pPr>
            <w:r>
              <w:rPr>
                <w:rFonts w:ascii="Arial" w:cs="Arial" w:eastAsia="Arial" w:hAnsi="Arial"/>
                <w:sz w:val="18"/>
                <w:szCs w:val="18"/>
                <w:b w:val="1"/>
                <w:bCs w:val="1"/>
                <w:color w:val="auto"/>
              </w:rPr>
              <w:t>provided by (used in) operating activities: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1,925,170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4,226,118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(1,008,957)</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1,310,164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2,308,123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5,290,437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interest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(1,016,614)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(1,089,679)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(506,854)</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accrued management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1,245,576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3,236,504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(3,536,430)</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Decrease (increase) in due from affiliates</w:t>
            </w:r>
          </w:p>
        </w:tc>
        <w:tc>
          <w:tcPr>
            <w:tcW w:w="10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556,737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(389,848)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(178,450)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other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45,251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(2,341,414)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(99,598)</w:t>
            </w:r>
          </w:p>
        </w:tc>
        <w:tc>
          <w:tcPr>
            <w:tcW w:w="0" w:type="dxa"/>
            <w:vAlign w:val="bottom"/>
          </w:tcPr>
          <w:p>
            <w:pPr>
              <w:spacing w:after="0"/>
              <w:rPr>
                <w:sz w:val="1"/>
                <w:szCs w:val="1"/>
                <w:color w:val="auto"/>
              </w:rPr>
            </w:pPr>
          </w:p>
        </w:tc>
      </w:tr>
      <w:tr>
        <w:trPr>
          <w:trHeight w:val="202"/>
        </w:trPr>
        <w:tc>
          <w:tcPr>
            <w:tcW w:w="4620" w:type="dxa"/>
            <w:vAlign w:val="bottom"/>
          </w:tcPr>
          <w:p>
            <w:pPr>
              <w:ind w:left="200"/>
              <w:spacing w:after="0" w:line="201" w:lineRule="exact"/>
              <w:rPr>
                <w:sz w:val="20"/>
                <w:szCs w:val="20"/>
                <w:color w:val="auto"/>
              </w:rPr>
            </w:pPr>
            <w:r>
              <w:rPr>
                <w:rFonts w:ascii="Arial" w:cs="Arial" w:eastAsia="Arial" w:hAnsi="Arial"/>
                <w:sz w:val="18"/>
                <w:szCs w:val="18"/>
                <w:color w:val="auto"/>
              </w:rPr>
              <w:t>(Decrease) increase in accounts payable and accrued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8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(866,355)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(5,505,086)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2,497,387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accrued interest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11,333</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(Decrease) increase in due to affiliates</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(1,504,112)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1,889,707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227,387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883,952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4,875,500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9,985,701</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investment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(22,000,000)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(22,000,000)</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Proceeds from sales/redemptions of investment</w:t>
            </w:r>
          </w:p>
        </w:tc>
        <w:tc>
          <w:tcPr>
            <w:tcW w:w="10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w w:val="95"/>
              </w:rPr>
              <w:t>31,106,293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22,506,850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23,000,000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5"/>
              </w:rPr>
              <w:t>24,106,293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506,850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Member's contributions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535,800</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Member's distributions</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(2,650,000)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(9,050,000)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(11,900,000)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offering proceeds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36,000,000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47,500,000</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Repayments of Debt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0"/>
              </w:rPr>
              <w:t>(30,000,000)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(36,000,000)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(47,500,000)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(25,650,000)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(9,050,000)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(11,364,200)</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color w:val="auto"/>
              </w:rPr>
              <w:t>CHANGE IN CASH</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(659,755)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(3,667,650)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(378,499)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BEGINNING OF YEAR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4,085,464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7,753,114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8,131,613</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color w:val="auto"/>
              </w:rPr>
              <w:t>CASH,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3,425,709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4,085,464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7,753,114</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Supplemental Information: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1,999,767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1,817,480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2,022,132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170,000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5,477,493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2,978,613</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Non-cash transactions: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Member's contributions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-2555240</wp:posOffset>
            </wp:positionV>
            <wp:extent cx="5213985" cy="1460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-1988820</wp:posOffset>
            </wp:positionV>
            <wp:extent cx="5213985" cy="1460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-1148715</wp:posOffset>
            </wp:positionV>
            <wp:extent cx="5213985" cy="1460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-865505</wp:posOffset>
            </wp:positionV>
            <wp:extent cx="5213985" cy="1803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40" w:right="519" w:firstLine="270"/>
        <w:spacing w:after="0" w:line="267" w:lineRule="auto"/>
        <w:rPr>
          <w:sz w:val="20"/>
          <w:szCs w:val="20"/>
          <w:color w:val="auto"/>
        </w:rPr>
      </w:pPr>
      <w:r>
        <w:rPr>
          <w:rFonts w:ascii="Arial" w:cs="Arial" w:eastAsia="Arial" w:hAnsi="Arial"/>
          <w:sz w:val="17"/>
          <w:szCs w:val="17"/>
          <w:color w:val="auto"/>
        </w:rPr>
        <w:t>Katonah Debt Advisors, L.L.C. (“Katonah Debt Advisors”), a registered investment adviser under the Investment Advisors Act of 1940 (“the IA Act of 1940”), is a wholly-owned portfolio company of KCAP Financial, Inc. (“KCAP Financial” or the “Company”), which is an internally managed, non-diversified closed-end publicly traded investment company that is regulated as a business development company (“BDC”) under the Investment Company Act of 1940 (the “1940 Act”). Katonah Debt Advisors manages collateralized loan obligation funds (“CLO Funds”) which invest in broadly syndicated loans, high-yield bonds and other credit instruments. On February 29, 2012, KCAP Financial, through its newly formed wholly-owned subsidiary Commodore Holdings LLC (“Commodore”) purchased Trimaran Advisors, L.L.C. (“Trimaran Advisors”), a registered investment adviser and CLO manager similar to Katonah Debt Advisors, for total consideration of $13.0 million in cash and 3,600,000 shares of KCAP Financial’s common stock. Contemporaneous with the acquisition of Trimaran Advisors, KCAP Financial acquired from Trimaran Advisors equity interests in certain CLO Funds managed by Trimaran Advisors for an aggregate purchase price of $12.0 million in cash. As of December 31, 2016, Commodore and its wholly-owned subsidiaries Katonah Debt Advisors, Trimaran Advisors and Trimaran Advisors Management, L.L.C., as well as affiliated management companies Katonah 2007-1 Management, L.L.C., and Katonah X Management, L.L.C. (collectively, the “Asset Manager Affiliates”) had approximately $3.0 billion of par value assets under management. The Asset Manager Affiliates are each managed independently from KCAP Financial by a separate management team. The Asset Manager Affiliates provide investment management services to CLO Funds, making day-to-day investment decisions concerning the assets of the CLO Funds. The Asset Manager Affiliates do not have any investment interests in the CLO Funds they manage; however, KCAP Financial holds investments in a portion of the securities issued by the CLO Funds managed by the Asset Manager Affiliates.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21"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The combined financial statements have been prepared in accordance with Accounting Principles Generally Accepted in the United States (“U.S. GAAP”) and include the financial statements of the Asset Manager Affiliates. The Asset Manager Affiliates provide investment management services to various CLO Funds, making day-to-day investment decisions concerning the assets of the CLO Funds. The Asset Manager Affiliates are all under the common control of the Company and have similar business characteristics; therefore they report on a combined basis for financial reporting purposes.</w:t>
      </w:r>
    </w:p>
    <w:p>
      <w:pPr>
        <w:spacing w:after="0" w:line="64"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In the opinion of management, the combined financial statements reflect all adjustments, consisting of normal recurring accruals, which are necessary for the fair presentation of the financial condition and results of operations for the periods presented. All significant intercompany transactions, balances, revenues and expenses are eliminated upon combination. Certain prior-year amounts have been reclassified to conform to the current year presentation. Furthermore, the preparation of the financial statements requires management to make significant estimates and assumptions including the fair value of investments that do not have a readily available market value. Actual results could differ from those estimates, and the differences could be material.</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August 2014, the FASB issued Accounting Standards Update (“ASU”) 2014-15, “Presentation of Financial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Statements — Going Concern (Subtopic 205-40): Disclosure of Uncertainties about an Entity’s Ability to Continue as a Going</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Concern” (“ASU 2014-15”). The standard requires management to evaluate, at each interim and annual reporting period, whether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there are conditions or events that raise substantial doubt about the entity’s ability to continue as a going concern within one year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after the date the financial statements are issued, and provide related disclosures. ASU 2014-15 is effective for annual periods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after December 15, 2016, and for annual and interim periods thereafter. We have adopted ASU 2014-15, and there was no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material impact on our financial statements.</w:t>
      </w:r>
    </w:p>
    <w:p>
      <w:pPr>
        <w:spacing w:after="0" w:line="103"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color w:val="auto"/>
        </w:rPr>
        <w:t>On February 18, 2015, the FASB issued Accounting Standards Update 2015-2 (“ASU 2015-2”), which updated consolidation standards under ASC Topic 810, “Consolidation”. Under this update, a new</w:t>
      </w:r>
    </w:p>
    <w:p>
      <w:pPr>
        <w:spacing w:after="0" w:line="200" w:lineRule="exact"/>
        <w:rPr>
          <w:sz w:val="20"/>
          <w:szCs w:val="20"/>
          <w:color w:val="auto"/>
        </w:rPr>
      </w:pPr>
    </w:p>
    <w:p>
      <w:pPr>
        <w:spacing w:after="0" w:line="3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539"/>
        <w:spacing w:after="0" w:line="272" w:lineRule="auto"/>
        <w:rPr>
          <w:sz w:val="20"/>
          <w:szCs w:val="20"/>
          <w:color w:val="auto"/>
        </w:rPr>
      </w:pPr>
      <w:r>
        <w:rPr>
          <w:rFonts w:ascii="Arial" w:cs="Arial" w:eastAsia="Arial" w:hAnsi="Arial"/>
          <w:sz w:val="17"/>
          <w:szCs w:val="17"/>
          <w:color w:val="auto"/>
        </w:rPr>
        <w:t>consolidation analysis is required for variable interest entities (“VIEs”), which limits the circumstances in which investment managers and similar entities are required to consolidate the entities that they manage. ASU 2015-02 eliminates some of the criteria under which the fees of investment managers and similar entities are considered a variable interest and limit the circumstances in which variable interests in a VIE held by related parties of a reporting enterprise require the reporting enterprise to consolidate the VIE. During 2016, the AMAs adopted ASU 2015-02 on a retrospective basis for all periods presented. The consolidated financial statements and related note disclosures have been adjusted for the impact of the adoption. The adoption did not result in a cumulative effect adjustment to the AMA’s accumulated deficit.</w:t>
      </w:r>
    </w:p>
    <w:p>
      <w:pPr>
        <w:spacing w:after="0" w:line="70" w:lineRule="exact"/>
        <w:rPr>
          <w:sz w:val="20"/>
          <w:szCs w:val="20"/>
          <w:color w:val="auto"/>
        </w:rPr>
      </w:pPr>
    </w:p>
    <w:p>
      <w:pPr>
        <w:ind w:left="40" w:right="619" w:firstLine="270"/>
        <w:spacing w:after="0" w:line="288" w:lineRule="auto"/>
        <w:rPr>
          <w:sz w:val="20"/>
          <w:szCs w:val="20"/>
          <w:color w:val="auto"/>
        </w:rPr>
      </w:pPr>
      <w:r>
        <w:rPr>
          <w:rFonts w:ascii="Arial" w:cs="Arial" w:eastAsia="Arial" w:hAnsi="Arial"/>
          <w:sz w:val="16"/>
          <w:szCs w:val="16"/>
          <w:color w:val="auto"/>
        </w:rPr>
        <w:t>Prior to the adoption of ASU 2015-02, during the years ended December 31, 2015 and 2014, the AMAs consolidated several managed CLO Funds, collectively referred to as the “previously consolidated CLO Funds”. The financial results of the previously consolidated CLO Funds were included in the AMA’s consolidated financial statements based on the then existing consolidation guidance. The adoption of ASU 2015-02 resulted in the deconsolidation of the previously consolidated CLO Funds as the AMAs determined that under ASU 2015-02, it was not the primary beneficiary of these entities. The fee arrangements with these entities are both commensurate with the level of effort required for the services provided and include only customary terms and the AMAs do not hold other interests in these entities that could absorb losses or receive benefits that could potentially be significant to these entities. Under ASU 2015-02, the AMAs and their related parties under common control as a group, where applicable, do not have the obligation to absorb losses or the right to receive benefits from these entities that could potentially be significant to these entities. Therefore, the AMAs no longer consider these fee arrangements to be variable interests.</w:t>
      </w:r>
    </w:p>
    <w:p>
      <w:pPr>
        <w:spacing w:after="0" w:line="61"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The effect of the deconsolidation of these previously consolidated CLO Funds as of and for the year ended December 31, 2015, was a decrease in total assets and total liabilities of $2.7 billion; and an increase in total member’s equity of $67.5 million; and a decrease in total revenues and total expenses of $108.2 million and $157.5 million, respectively, and an increase in income before tax of $64.5 million. The effect of the deconsolidation for the year ended December 31, 2014, was a decrease in total revenues and total expenses of $94.7 million and $154.8 million, respectively, and an increase in income before tax of $87.3 million.</w:t>
      </w:r>
    </w:p>
    <w:p>
      <w:pPr>
        <w:spacing w:after="0" w:line="50"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The 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US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Management is still evaluating the effect of the new standard.</w:t>
      </w:r>
    </w:p>
    <w:p>
      <w:pPr>
        <w:spacing w:after="0" w:line="71"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On February 25, 2016, the FASB issued Accounting Standards Update 2016-02, Leases (Topic 842). This update will require organizations to recognize leased assets and liabilities on the balance sheet for the rights and obligations created by those leases. The recognition, measurement, presentation and cash flows arising from a lease by a lessee will primarily depend on its classification as a finance or operating lease. The ASU will require that both types of leases to be recognized on the balance sheet. For public business entities, this guidance is effective for fiscal years beginning after December 15, 2018. Management is still evaluating the effect of the new standard.</w:t>
      </w:r>
    </w:p>
    <w:p>
      <w:pPr>
        <w:spacing w:after="0" w:line="85"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b w:val="1"/>
          <w:bCs w:val="1"/>
          <w:i w:val="1"/>
          <w:iCs w:val="1"/>
          <w:color w:val="auto"/>
        </w:rPr>
        <w:t xml:space="preserve">Investments at Fair Value. </w:t>
      </w:r>
      <w:r>
        <w:rPr>
          <w:rFonts w:ascii="Arial" w:cs="Arial" w:eastAsia="Arial" w:hAnsi="Arial"/>
          <w:sz w:val="18"/>
          <w:szCs w:val="18"/>
          <w:color w:val="auto"/>
        </w:rPr>
        <w:t>Investment transactions are recorded on the applicable trade date. Realized gains or losses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using the specific identification method. Investments held by the Asset Manager Affiliates are stated at fair value. Accounting Standards Codification (“ASC”) 820 — Fair Value Measurements and Disclosures (“ASC 820: Fair Value”), requires, among other things, disclosures about assets and liabilities that are measured and reported at fair value. Investments are generally comprise of</w:t>
      </w:r>
    </w:p>
    <w:p>
      <w:pPr>
        <w:spacing w:after="0" w:line="200" w:lineRule="exact"/>
        <w:rPr>
          <w:sz w:val="20"/>
          <w:szCs w:val="20"/>
          <w:color w:val="auto"/>
        </w:rPr>
      </w:pPr>
    </w:p>
    <w:p>
      <w:pPr>
        <w:spacing w:after="0" w:line="3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539"/>
        <w:spacing w:after="0" w:line="259" w:lineRule="auto"/>
        <w:rPr>
          <w:sz w:val="20"/>
          <w:szCs w:val="20"/>
          <w:color w:val="auto"/>
        </w:rPr>
      </w:pPr>
      <w:r>
        <w:rPr>
          <w:rFonts w:ascii="Arial" w:cs="Arial" w:eastAsia="Arial" w:hAnsi="Arial"/>
          <w:sz w:val="18"/>
          <w:szCs w:val="18"/>
          <w:color w:val="auto"/>
        </w:rPr>
        <w:t>investments in first loss position in facilities which warehouse assets for a new CLO. Fair value is determined via a present value analysis of estimated future cash flows and is deemed to be a Level III asset as defined in ASC 820: Fair Value. The Asset Manager Affiliates’ assessment of the significance of a particular input to the Fair Value measurement in its entirety requires judgment and considers factors specific to the financial instrument.</w:t>
      </w:r>
    </w:p>
    <w:p>
      <w:pPr>
        <w:spacing w:after="0" w:line="79"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b w:val="1"/>
          <w:bCs w:val="1"/>
          <w:i w:val="1"/>
          <w:iCs w:val="1"/>
          <w:color w:val="auto"/>
        </w:rPr>
        <w:t xml:space="preserve">Hierarchy of Fair Value Inputs. </w:t>
      </w:r>
      <w:r>
        <w:rPr>
          <w:rFonts w:ascii="Arial" w:cs="Arial" w:eastAsia="Arial" w:hAnsi="Arial"/>
          <w:sz w:val="17"/>
          <w:szCs w:val="17"/>
          <w:color w:val="auto"/>
        </w:rPr>
        <w:t>The provisions of ASC 820: Fair Value establish a hierarchy that prioritizes inputs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valuation techniques used to measure fair value and require companies to disclose the fair value of their financial instruments according to the fair value hierarchy (i.e., Level I, II and III inputs, as defined). The fair value hierarchy gives the highest priority to quoted prices (unadjusted) in active markets for identical assets or liabilities and the lowest priority to unobservable inputs. Additionally, companies are required to provide additional disclosure regarding instruments in the Level III category (which have inputs to the valuation techniques that are unobservable and require significant management judgment), including a reconciliation of the beginning and ending balances separately for each major category of assets and liabilities.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Assets and liabilities measured and reported at fair value are classified and disclosed in one of the following categories: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I Inputs: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Quoted prices (unadjusted) in active markets for identical assets or liabilities at the reporting date.</w:t>
      </w:r>
    </w:p>
    <w:p>
      <w:pPr>
        <w:spacing w:after="0" w:line="117" w:lineRule="exact"/>
        <w:rPr>
          <w:sz w:val="20"/>
          <w:szCs w:val="20"/>
          <w:color w:val="auto"/>
        </w:rPr>
      </w:pPr>
    </w:p>
    <w:p>
      <w:pPr>
        <w:ind w:left="320" w:right="3299" w:hanging="42"/>
        <w:spacing w:after="0" w:line="375" w:lineRule="auto"/>
        <w:tabs>
          <w:tab w:leader="none" w:pos="6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Level I assets may include listed mutual funds, ETFs, equities and certain derivatives. </w:t>
      </w:r>
      <w:r>
        <w:rPr>
          <w:rFonts w:ascii="Arial" w:cs="Arial" w:eastAsia="Arial" w:hAnsi="Arial"/>
          <w:sz w:val="18"/>
          <w:szCs w:val="18"/>
          <w:u w:val="single" w:color="auto"/>
          <w:color w:val="auto"/>
        </w:rPr>
        <w:t>Level II Inputs:</w:t>
      </w:r>
    </w:p>
    <w:p>
      <w:pPr>
        <w:spacing w:after="0" w:line="1" w:lineRule="exact"/>
        <w:rPr>
          <w:sz w:val="20"/>
          <w:szCs w:val="20"/>
          <w:color w:val="auto"/>
        </w:rPr>
      </w:pPr>
    </w:p>
    <w:p>
      <w:pPr>
        <w:ind w:left="320" w:right="639"/>
        <w:spacing w:after="0" w:line="279" w:lineRule="auto"/>
        <w:rPr>
          <w:sz w:val="20"/>
          <w:szCs w:val="20"/>
          <w:color w:val="auto"/>
        </w:rPr>
      </w:pPr>
      <w:r>
        <w:rPr>
          <w:rFonts w:ascii="Arial" w:cs="Arial" w:eastAsia="Arial" w:hAnsi="Arial"/>
          <w:sz w:val="17"/>
          <w:szCs w:val="17"/>
          <w:color w:val="auto"/>
        </w:rPr>
        <w:t>Quoted prices for similar assets or liabilities in active markets; quoted prices for identical or similar assets or liabilities that are not active; quotes from pricing services or brokers, for which the Asset Manager Affiliates can determine that orderly transactions took place at the quoted price or that the inputs used to arrive at the price were observable; and inputs other than quoted prices that are observable, such as models or other valuation methodologies.</w:t>
      </w:r>
    </w:p>
    <w:p>
      <w:pPr>
        <w:spacing w:after="0" w:line="63" w:lineRule="exact"/>
        <w:rPr>
          <w:sz w:val="20"/>
          <w:szCs w:val="20"/>
          <w:color w:val="auto"/>
        </w:rPr>
      </w:pPr>
    </w:p>
    <w:p>
      <w:pPr>
        <w:ind w:left="600" w:right="819" w:hanging="322"/>
        <w:spacing w:after="0" w:line="259"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II assets in this category may include debt securities, bank loans, short-term floating rate notes and asset-backed securities, restricted public securities valued at a discount, as well as over-the-counter derivatives, including interest and inflation rate swaps and foreign currency exchange contracts that have inputs to the valuations that generally can be corroborated by observable market data.</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III Inputs:</w:t>
      </w:r>
    </w:p>
    <w:p>
      <w:pPr>
        <w:spacing w:after="0" w:line="117" w:lineRule="exact"/>
        <w:rPr>
          <w:sz w:val="20"/>
          <w:szCs w:val="20"/>
          <w:color w:val="auto"/>
        </w:rPr>
      </w:pPr>
    </w:p>
    <w:p>
      <w:pPr>
        <w:jc w:val="both"/>
        <w:ind w:left="320" w:right="739"/>
        <w:spacing w:after="0" w:line="264" w:lineRule="auto"/>
        <w:rPr>
          <w:sz w:val="20"/>
          <w:szCs w:val="20"/>
          <w:color w:val="auto"/>
        </w:rPr>
      </w:pPr>
      <w:r>
        <w:rPr>
          <w:rFonts w:ascii="Arial" w:cs="Arial" w:eastAsia="Arial" w:hAnsi="Arial"/>
          <w:sz w:val="18"/>
          <w:szCs w:val="18"/>
          <w:color w:val="auto"/>
        </w:rPr>
        <w:t>Unobservable inputs for the valuation of the asset or liability, which may include non-binding broker quotes. Level III assets include investments for which there is little, if any, market activity. These inputs require significant management judgment or estimation.</w:t>
      </w:r>
    </w:p>
    <w:p>
      <w:pPr>
        <w:spacing w:after="0" w:line="73" w:lineRule="exact"/>
        <w:rPr>
          <w:sz w:val="20"/>
          <w:szCs w:val="20"/>
          <w:color w:val="auto"/>
        </w:rPr>
      </w:pPr>
    </w:p>
    <w:p>
      <w:pPr>
        <w:ind w:left="600" w:right="599" w:hanging="322"/>
        <w:spacing w:after="0" w:line="312" w:lineRule="auto"/>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Level III assets in this category may include general and limited partnership interests in private equity funds, funds of private equity funds, real estate funds, hedge funds, and funds of hedge funds, direct private equity investments held within consolidated funds, bank loans, bonds issued by CLO Funds and certain held for sale real estate disposal assets.</w:t>
      </w:r>
    </w:p>
    <w:p>
      <w:pPr>
        <w:spacing w:after="0" w:line="38" w:lineRule="exact"/>
        <w:rPr>
          <w:rFonts w:ascii="Arial" w:cs="Arial" w:eastAsia="Arial" w:hAnsi="Arial"/>
          <w:sz w:val="16"/>
          <w:szCs w:val="16"/>
          <w:color w:val="auto"/>
        </w:rPr>
      </w:pPr>
    </w:p>
    <w:p>
      <w:pPr>
        <w:ind w:left="600" w:right="559" w:hanging="322"/>
        <w:spacing w:after="0" w:line="342" w:lineRule="auto"/>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Level III liabilities included in this category include borrowings of consolidated collateralized loan obligation funds and are valued based upon non-binding broker quotes or discounted cash flow models based on a discount margin calculation.</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Significance of Inputs:</w:t>
      </w:r>
    </w:p>
    <w:p>
      <w:pPr>
        <w:spacing w:after="0" w:line="117" w:lineRule="exact"/>
        <w:rPr>
          <w:sz w:val="20"/>
          <w:szCs w:val="20"/>
          <w:color w:val="auto"/>
        </w:rPr>
      </w:pPr>
    </w:p>
    <w:p>
      <w:pPr>
        <w:ind w:left="320" w:right="699"/>
        <w:spacing w:after="0" w:line="277" w:lineRule="auto"/>
        <w:rPr>
          <w:sz w:val="20"/>
          <w:szCs w:val="20"/>
          <w:color w:val="auto"/>
        </w:rPr>
      </w:pPr>
      <w:r>
        <w:rPr>
          <w:rFonts w:ascii="Arial" w:cs="Arial" w:eastAsia="Arial" w:hAnsi="Arial"/>
          <w:sz w:val="18"/>
          <w:szCs w:val="18"/>
          <w:color w:val="auto"/>
        </w:rPr>
        <w:t>The Asset Manager Affiliates’ assessment of the significance of a particular input to the fair value measurement in its entirety requires judgment and considers factors specific to the financial instrument.</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679" w:firstLine="270"/>
        <w:spacing w:after="0" w:line="285"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Debt and equity securities for which market quotations are readily available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valued at such market quotations. Debt and equity securities that are not publicly traded or whose market price is not readily available are valued based on detailed analyses prepared by management, and, in certain circumstances, may utilize third parties with valuation expertise. The Asset Manager Affiliates follow the provisions of ASC 820: Fair Value which defines fair value, establishes a framework for measuring fair value, and expands disclosures about assets and liabilities measured at fair value. ASC</w:t>
      </w:r>
    </w:p>
    <w:p>
      <w:pPr>
        <w:spacing w:after="0" w:line="2" w:lineRule="exact"/>
        <w:rPr>
          <w:sz w:val="20"/>
          <w:szCs w:val="20"/>
          <w:color w:val="auto"/>
        </w:rPr>
      </w:pPr>
    </w:p>
    <w:p>
      <w:pPr>
        <w:jc w:val="both"/>
        <w:ind w:left="40" w:right="799" w:firstLine="8"/>
        <w:spacing w:after="0" w:line="255" w:lineRule="auto"/>
        <w:tabs>
          <w:tab w:leader="none" w:pos="4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82"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ASC 820: Fair value requires the disclosure of the inputs and valuation techniques used to measure fair value and a discussion of changes in valuation techniques and related inputs, if any, during the period.</w:t>
      </w:r>
    </w:p>
    <w:p>
      <w:pPr>
        <w:spacing w:after="0" w:line="62" w:lineRule="exact"/>
        <w:rPr>
          <w:sz w:val="20"/>
          <w:szCs w:val="20"/>
          <w:color w:val="auto"/>
        </w:rPr>
      </w:pPr>
    </w:p>
    <w:p>
      <w:pPr>
        <w:ind w:left="40" w:right="539" w:firstLine="270"/>
        <w:spacing w:after="0" w:line="342" w:lineRule="auto"/>
        <w:rPr>
          <w:sz w:val="20"/>
          <w:szCs w:val="20"/>
          <w:color w:val="auto"/>
        </w:rPr>
      </w:pPr>
      <w:r>
        <w:rPr>
          <w:rFonts w:ascii="Arial" w:cs="Arial" w:eastAsia="Arial" w:hAnsi="Arial"/>
          <w:sz w:val="16"/>
          <w:szCs w:val="16"/>
          <w:b w:val="1"/>
          <w:bCs w:val="1"/>
          <w:i w:val="1"/>
          <w:iCs w:val="1"/>
          <w:color w:val="auto"/>
        </w:rPr>
        <w:t xml:space="preserve">Cash. </w:t>
      </w:r>
      <w:r>
        <w:rPr>
          <w:rFonts w:ascii="Arial" w:cs="Arial" w:eastAsia="Arial" w:hAnsi="Arial"/>
          <w:sz w:val="16"/>
          <w:szCs w:val="16"/>
          <w:color w:val="auto"/>
        </w:rPr>
        <w:t>The Asset Manager Affiliates define cash as demand deposits. The Asset Manager Affiliates place their cash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and, at times, cash held in these accounts may exceed the Federal Deposit Insurance Corporation insured limit.</w:t>
      </w:r>
    </w:p>
    <w:p>
      <w:pPr>
        <w:spacing w:after="0" w:line="16"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Other assets are generally comprised of prepaid expenses and current income taxes receivable (if any). Prepaid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are amortized over their terms or expected useful life.</w:t>
      </w:r>
    </w:p>
    <w:p>
      <w:pPr>
        <w:spacing w:after="0" w:line="62" w:lineRule="exact"/>
        <w:rPr>
          <w:sz w:val="20"/>
          <w:szCs w:val="20"/>
          <w:color w:val="auto"/>
        </w:rPr>
      </w:pPr>
    </w:p>
    <w:p>
      <w:pPr>
        <w:ind w:left="40" w:right="859" w:firstLine="270"/>
        <w:spacing w:after="0" w:line="308" w:lineRule="auto"/>
        <w:rPr>
          <w:sz w:val="20"/>
          <w:szCs w:val="20"/>
          <w:color w:val="auto"/>
        </w:rPr>
      </w:pPr>
      <w:r>
        <w:rPr>
          <w:rFonts w:ascii="Arial" w:cs="Arial" w:eastAsia="Arial" w:hAnsi="Arial"/>
          <w:sz w:val="17"/>
          <w:szCs w:val="17"/>
          <w:b w:val="1"/>
          <w:bCs w:val="1"/>
          <w:i w:val="1"/>
          <w:iCs w:val="1"/>
          <w:color w:val="auto"/>
        </w:rPr>
        <w:t xml:space="preserve">Interest Income. </w:t>
      </w:r>
      <w:r>
        <w:rPr>
          <w:rFonts w:ascii="Arial" w:cs="Arial" w:eastAsia="Arial" w:hAnsi="Arial"/>
          <w:sz w:val="17"/>
          <w:szCs w:val="17"/>
          <w:color w:val="auto"/>
        </w:rPr>
        <w:t>Interest income is recorded on the accrual basis on interest-bearing assets. Investment income on residual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beneficial interest in warehouse facilities is recognized using the effective interest method under ASC 325-40.</w:t>
      </w:r>
    </w:p>
    <w:p>
      <w:pPr>
        <w:spacing w:after="0" w:line="147" w:lineRule="exact"/>
        <w:rPr>
          <w:sz w:val="20"/>
          <w:szCs w:val="20"/>
          <w:color w:val="auto"/>
        </w:rPr>
      </w:pPr>
    </w:p>
    <w:p>
      <w:pPr>
        <w:ind w:left="40" w:right="519" w:firstLine="270"/>
        <w:spacing w:after="0" w:line="276" w:lineRule="auto"/>
        <w:rPr>
          <w:sz w:val="20"/>
          <w:szCs w:val="20"/>
          <w:color w:val="auto"/>
        </w:rPr>
      </w:pPr>
      <w:r>
        <w:rPr>
          <w:rFonts w:ascii="Arial" w:cs="Arial" w:eastAsia="Arial" w:hAnsi="Arial"/>
          <w:sz w:val="17"/>
          <w:szCs w:val="17"/>
          <w:b w:val="1"/>
          <w:bCs w:val="1"/>
          <w:i w:val="1"/>
          <w:iCs w:val="1"/>
          <w:color w:val="auto"/>
        </w:rPr>
        <w:t xml:space="preserve">Management Fees. </w:t>
      </w:r>
      <w:r>
        <w:rPr>
          <w:rFonts w:ascii="Arial" w:cs="Arial" w:eastAsia="Arial" w:hAnsi="Arial"/>
          <w:sz w:val="17"/>
          <w:szCs w:val="17"/>
          <w:color w:val="auto"/>
        </w:rPr>
        <w:t>As a manager of CLO Funds, the Asset Manager Affiliates receive contractual and recurring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fees (and may receive one-time structuring fees) from the CLO Funds for their management and advisory services. The periodic fees which the Asset Manager Affiliates receive are generally based on a fixed percentage of assets under management (at par value and not subject to changes in market value). The periodic management fees the Asset Manager Affiliates receive have two components — a senior management fee and a subordinated management fee.</w:t>
      </w:r>
    </w:p>
    <w:p>
      <w:pPr>
        <w:spacing w:after="0" w:line="64"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b w:val="1"/>
          <w:bCs w:val="1"/>
          <w:i w:val="1"/>
          <w:iCs w:val="1"/>
          <w:color w:val="auto"/>
        </w:rPr>
        <w:t xml:space="preserve">Incentive Fees. </w:t>
      </w:r>
      <w:r>
        <w:rPr>
          <w:rFonts w:ascii="Arial" w:cs="Arial" w:eastAsia="Arial" w:hAnsi="Arial"/>
          <w:sz w:val="18"/>
          <w:szCs w:val="18"/>
          <w:color w:val="auto"/>
        </w:rPr>
        <w:t>As a manager of CLO Funds, the Asset Manager Affiliates may receive incentive fees upon exceeding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relative and/or absolute investment return thresholds. Such fees are recorded upon completion of the measurement period, which varies by CLO Fund.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 xml:space="preserve">Distributions to Member. </w:t>
      </w:r>
      <w:r>
        <w:rPr>
          <w:rFonts w:ascii="Arial" w:cs="Arial" w:eastAsia="Arial" w:hAnsi="Arial"/>
          <w:sz w:val="16"/>
          <w:szCs w:val="16"/>
          <w:color w:val="auto"/>
        </w:rPr>
        <w:t>Distributions to the Asset Manager Affiliates’ sole member are recognized on the ex-dividend 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Generally, distributions have been declared and paid on a quarterly basis.</w:t>
      </w:r>
    </w:p>
    <w:p>
      <w:pPr>
        <w:spacing w:after="0" w:line="103" w:lineRule="exact"/>
        <w:rPr>
          <w:sz w:val="20"/>
          <w:szCs w:val="20"/>
          <w:color w:val="auto"/>
        </w:rPr>
      </w:pPr>
    </w:p>
    <w:p>
      <w:pPr>
        <w:ind w:left="40" w:right="579" w:firstLine="270"/>
        <w:spacing w:after="0" w:line="289" w:lineRule="auto"/>
        <w:rPr>
          <w:sz w:val="20"/>
          <w:szCs w:val="20"/>
          <w:color w:val="auto"/>
        </w:rPr>
      </w:pPr>
      <w:r>
        <w:rPr>
          <w:rFonts w:ascii="Arial" w:cs="Arial" w:eastAsia="Arial" w:hAnsi="Arial"/>
          <w:sz w:val="16"/>
          <w:szCs w:val="16"/>
          <w:b w:val="1"/>
          <w:bCs w:val="1"/>
          <w:i w:val="1"/>
          <w:iCs w:val="1"/>
          <w:color w:val="auto"/>
        </w:rPr>
        <w:t xml:space="preserve">Expenses. </w:t>
      </w:r>
      <w:r>
        <w:rPr>
          <w:rFonts w:ascii="Arial" w:cs="Arial" w:eastAsia="Arial" w:hAnsi="Arial"/>
          <w:sz w:val="16"/>
          <w:szCs w:val="16"/>
          <w:color w:val="auto"/>
        </w:rPr>
        <w:t>The Asset Manager Affiliates expense costs, as incurred, with regard to the running of their operations.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expenses include employee compensation and benefits, the costs of identifying, evaluating, monitoring and servicing the CLO Fund investments managed by the Asset Manager Affiliates, and related overhead charges and expenses, including rental expense. The Asset Manager Affiliates share office space and certain other operating expenses. Katonah Debt Advisors has entered into an Overhead Allocation Agreement with its sole member, KCAP Financial. Trimaran Advisors has entered into such an allocation agreement with Katonah Debt Advisors. The Agreements provide for the sharing of such expenses based on an equal sharing of office lease costs and the ratable usage of other shared resources. Katonah Debt Advisors accounts for its operating leases, which may include escalations, in accordance with ASC 840-10, Leases, and expenses the lease payments associated with operating leases evenly during the lease term (including rent-free periods), beginning on the commencement of the lease term.</w:t>
      </w:r>
    </w:p>
    <w:p>
      <w:pPr>
        <w:spacing w:after="0" w:line="59" w:lineRule="exact"/>
        <w:rPr>
          <w:sz w:val="20"/>
          <w:szCs w:val="20"/>
          <w:color w:val="auto"/>
        </w:rPr>
      </w:pPr>
    </w:p>
    <w:p>
      <w:pPr>
        <w:ind w:left="40" w:right="999" w:firstLine="27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Expenses. </w:t>
      </w:r>
      <w:r>
        <w:rPr>
          <w:rFonts w:ascii="Arial" w:cs="Arial" w:eastAsia="Arial" w:hAnsi="Arial"/>
          <w:sz w:val="17"/>
          <w:szCs w:val="17"/>
          <w:color w:val="auto"/>
        </w:rPr>
        <w:t>Interest expense related to borrowings of the Asset Manager Affiliates is recorded on an accrual basis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the terms of the related borrowing agreements. Interest is accrued and generally paid quarterly.</w:t>
      </w:r>
    </w:p>
    <w:p>
      <w:pPr>
        <w:spacing w:after="0" w:line="200" w:lineRule="exact"/>
        <w:rPr>
          <w:sz w:val="20"/>
          <w:szCs w:val="20"/>
          <w:color w:val="auto"/>
        </w:rPr>
      </w:pPr>
    </w:p>
    <w:p>
      <w:pPr>
        <w:spacing w:after="0" w:line="29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Asset Manager Affiliates account for income taxes under the liability method prescribed by ASC 740,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Taxes (“ASC 740”). Deferred income tax assets and liabilities are recognized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The effect of a change in tax rates on deferred income tax assets and liabilities is recognized in income in the period that includes the enactment date.</w:t>
      </w:r>
    </w:p>
    <w:p>
      <w:pPr>
        <w:spacing w:after="0" w:line="50" w:lineRule="exact"/>
        <w:rPr>
          <w:sz w:val="20"/>
          <w:szCs w:val="20"/>
          <w:color w:val="auto"/>
        </w:rPr>
      </w:pPr>
    </w:p>
    <w:p>
      <w:pPr>
        <w:ind w:left="40" w:right="699" w:firstLine="270"/>
        <w:spacing w:after="0" w:line="293" w:lineRule="auto"/>
        <w:rPr>
          <w:sz w:val="20"/>
          <w:szCs w:val="20"/>
          <w:color w:val="auto"/>
        </w:rPr>
      </w:pPr>
      <w:r>
        <w:rPr>
          <w:rFonts w:ascii="Arial" w:cs="Arial" w:eastAsia="Arial" w:hAnsi="Arial"/>
          <w:sz w:val="16"/>
          <w:szCs w:val="16"/>
          <w:color w:val="auto"/>
        </w:rPr>
        <w:t>Management periodically assesses the recoverability of its deferred income tax assets based upon expected future earnings, taxable income in prior carryback years, future deductibility of the asset, changes in applicable tax laws and other factors. If management determines that it is not more likely than not that the deferred tax asset will be fully recoverable in the future, a valuation allowance will be established for the difference between the asset balance and the amount expected to be recoverable in the future. This allowance will result in a charge to income tax expense on the combined statements of operations. The Asset Manager Affiliate record their income taxes receivables and payables based upon their estimated income tax liability.</w:t>
      </w:r>
    </w:p>
    <w:p>
      <w:pPr>
        <w:spacing w:after="0" w:line="5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ASC 740 clarifies the accounting for uncertainty in income taxes recognized in a company’s financial statements by prescribing a threshold for measurement and recognition in the financial statements of an asset or liability resulting from a tax position taken or expected to be taken in an income tax return. ASC 740 also provides guidance on derecognition, classification, interest and penalties, accounting in interim periods, disclosure and transition.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CLO FUNDS</w:t>
      </w:r>
    </w:p>
    <w:p>
      <w:pPr>
        <w:spacing w:after="0" w:line="121"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A CLO Fund generally refers to a special purpose vehicle that owns a portfolio of investments and issues various tranches of debt and subordinated securities to finance the purchase of those investments. Investments purchased by the CLO Funds are governed by extensive investment guidelines, including limits on exposure to any single industry or issuer and limits on the ratings of the CLO Fund’s assets. The CLO Funds managed by the Asset Manager Affiliates have a defined investment period during which they are allowed to make investments or reinvest capital as it becomes available.</w:t>
      </w:r>
    </w:p>
    <w:p>
      <w:pPr>
        <w:spacing w:after="0" w:line="64" w:lineRule="exact"/>
        <w:rPr>
          <w:sz w:val="20"/>
          <w:szCs w:val="20"/>
          <w:color w:val="auto"/>
        </w:rPr>
      </w:pPr>
    </w:p>
    <w:p>
      <w:pPr>
        <w:ind w:left="40" w:right="619" w:firstLine="270"/>
        <w:spacing w:after="0" w:line="312" w:lineRule="auto"/>
        <w:rPr>
          <w:sz w:val="20"/>
          <w:szCs w:val="20"/>
          <w:color w:val="auto"/>
        </w:rPr>
      </w:pPr>
      <w:r>
        <w:rPr>
          <w:rFonts w:ascii="Arial" w:cs="Arial" w:eastAsia="Arial" w:hAnsi="Arial"/>
          <w:sz w:val="16"/>
          <w:szCs w:val="16"/>
          <w:color w:val="auto"/>
        </w:rPr>
        <w:t>The Asset Manager Affiliates manage CLO Funds primarily for third party investors. The CLO Funds invest in broadly syndicated loans, high yield bonds and other credit instruments issued by corporations. At December 31, 2016 and 2015, the Asset Manager Affiliates had approximately $3.0 billion and $2.7 billion of par value of assets under management, respectively.</w:t>
      </w:r>
    </w:p>
    <w:p>
      <w:pPr>
        <w:spacing w:after="0" w:line="39" w:lineRule="exact"/>
        <w:rPr>
          <w:sz w:val="20"/>
          <w:szCs w:val="20"/>
          <w:color w:val="auto"/>
        </w:rPr>
      </w:pPr>
    </w:p>
    <w:p>
      <w:pPr>
        <w:ind w:left="40" w:right="679" w:firstLine="270"/>
        <w:spacing w:after="0" w:line="302" w:lineRule="auto"/>
        <w:rPr>
          <w:sz w:val="20"/>
          <w:szCs w:val="20"/>
          <w:color w:val="auto"/>
        </w:rPr>
      </w:pPr>
      <w:r>
        <w:rPr>
          <w:rFonts w:ascii="Arial" w:cs="Arial" w:eastAsia="Arial" w:hAnsi="Arial"/>
          <w:sz w:val="16"/>
          <w:szCs w:val="16"/>
          <w:color w:val="auto"/>
        </w:rPr>
        <w:t>The CLO Funds are primarily financed via capital contributed by subordinated noteholders and debt holders. Other than any investment in warehouse facilities in connection with the formation of a new CLO Fund, the Asset Manager Affiliates’ risk with respect to each investment in the CLO Funds they manage is limited to any uncollected management fees (as the Asset Manager Affiliates have no investment in the CLO Funds they have no exposure or benefits in the ownership of the CLO Funds securities).</w:t>
      </w:r>
    </w:p>
    <w:p>
      <w:pPr>
        <w:spacing w:after="0" w:line="46"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CLO Funds are investment vehicles created for the sole purpose of issuing collateralized loan instruments that offer investors the opportunity for returns that vary with the risk level of their investment. The securities issued by the CLO Funds are backed by diversified collateral asset portfolios consisting primarily of loans. For managing the collateral for the CLO Fund entities, the Asset Manager Affiliates earn investment management fees, including senior and subordinated management fees, as well as contingent incentive fees. For the years ending December 31, 2016, 2015 and 2014, management fee revenues included incentive fees earned of approximately $983,000, $8.0 million, and $12.0 million, respectively. The Asset Manager Affiliates have no investment in the CLO Funds they manage. However, their sole direct or indirect shareholder, KCAP Financial, has invested in certain of the CLO Funds, generally taking a portion of the unrated, junior subordinated position (generally subordinated to other interests in the entities and entitle KCAP Financial and other subordinated tranche investors to receive the residual cash flows, if any, from the entities).</w:t>
      </w:r>
    </w:p>
    <w:p>
      <w:pPr>
        <w:spacing w:after="0" w:line="200" w:lineRule="exact"/>
        <w:rPr>
          <w:sz w:val="20"/>
          <w:szCs w:val="20"/>
          <w:color w:val="auto"/>
        </w:rPr>
      </w:pPr>
    </w:p>
    <w:p>
      <w:pPr>
        <w:spacing w:after="0" w:line="3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BUSINESS COMBINATION</w:t>
      </w:r>
    </w:p>
    <w:p>
      <w:pPr>
        <w:spacing w:after="0" w:line="121"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On February 29, 2012, KCAP Financial and Commodore Holdings, L.L.C. (“Commodore”), a newly-formed, wholly-owned subsidiary of KCAP Financial, acquired all of the outstanding equity interests in Trimaran Advisors for $13.0 million in cash and 3,600,000 shares of KCAP Financial’s common stock, which were valued at the opening price on the closing date of the acquisition. Contemporaneously with the acquisition, KCAP Financial acquired the equity interests in four CLO Funds managed by Trimaran Advisors, at fair value, for $12.0 million in cash. The aggregate purchase price was $50.6 million.</w:t>
      </w:r>
    </w:p>
    <w:p>
      <w:pPr>
        <w:spacing w:after="0" w:line="64" w:lineRule="exact"/>
        <w:rPr>
          <w:sz w:val="20"/>
          <w:szCs w:val="20"/>
          <w:color w:val="auto"/>
        </w:rPr>
      </w:pPr>
    </w:p>
    <w:p>
      <w:pPr>
        <w:ind w:left="40" w:right="599" w:firstLine="270"/>
        <w:spacing w:after="0" w:line="268" w:lineRule="auto"/>
        <w:rPr>
          <w:sz w:val="20"/>
          <w:szCs w:val="20"/>
          <w:color w:val="auto"/>
        </w:rPr>
      </w:pPr>
      <w:r>
        <w:rPr>
          <w:rFonts w:ascii="Arial" w:cs="Arial" w:eastAsia="Arial" w:hAnsi="Arial"/>
          <w:sz w:val="17"/>
          <w:szCs w:val="17"/>
          <w:color w:val="auto"/>
        </w:rPr>
        <w:t>In accordance with the purchase agreement, Commodore was deemed the acquirer of Trimaran Advisors and accounted for the acquisition as a business combination. The assets acquired (no liabilities were assumed) by Commodore through this acquisition were “pushed-down” to Trimaran. The purchase price allocation included the fair value of the identifiable intangible assets acquired, which consist of four CLO management contracts, of approximately $15.7 million, resulting in goodwill of $22.8 million which is included in Intangible Assets at December 31, 2016 and 2015, respectively. The CLO management contracts are being amortized over the estimated lives of the contracts (3 – 5 years). For the years ended December 31, 2016, 2015 and 2014, the Company recognized amortization expense of approximately $1.3 million, $2.3 million and $5.3 million, respectively, relating to the management contracts, which resulted in a net carrying amount of approximately $328,000, $1.6 million and $3.9 million as of December 31, 2016, 2015 and 2014, respectively. Additionally, one managed CLO Fund was called in 2015 and as a result, the remaining unamortized intangible asset of $599,000 was fully expensed. During 2014, two managed CLO Funds were called, and as a result the remaining unamortized intangible asset of $1.7 million was fully expensed. The unamortized balance of approximately $328,000 relating to another managed CLO Fund, Trimaran VII CLO Ltd., will be fully amortized in 2017 in connection with its full liquidation.</w:t>
      </w:r>
    </w:p>
    <w:p>
      <w:pPr>
        <w:spacing w:after="0" w:line="80"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Commodore, a taxable entity (corporation), has recognized the acquisition as an asset acquisition for tax purposes. The book and tax basis of the intangible assets and goodwill were identical; accordingly, Trimaran did not provide for any deferred taxes at the closing date of the acquisition. The tax basis of the intangible assets and goodwill will be amortized over 15 years, which gives rise to deferred taxes.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Asset Manager Affiliates are taxed at normal corporate rates.</w:t>
      </w:r>
    </w:p>
    <w:p>
      <w:pPr>
        <w:spacing w:after="0" w:line="117" w:lineRule="exact"/>
        <w:rPr>
          <w:sz w:val="20"/>
          <w:szCs w:val="20"/>
          <w:color w:val="auto"/>
        </w:rPr>
      </w:pPr>
    </w:p>
    <w:p>
      <w:pPr>
        <w:jc w:val="both"/>
        <w:ind w:left="40" w:right="739" w:firstLine="270"/>
        <w:spacing w:after="0" w:line="302" w:lineRule="auto"/>
        <w:rPr>
          <w:sz w:val="20"/>
          <w:szCs w:val="20"/>
          <w:color w:val="auto"/>
        </w:rPr>
      </w:pPr>
      <w:r>
        <w:rPr>
          <w:rFonts w:ascii="Arial" w:cs="Arial" w:eastAsia="Arial" w:hAnsi="Arial"/>
          <w:sz w:val="16"/>
          <w:szCs w:val="16"/>
          <w:color w:val="auto"/>
        </w:rPr>
        <w:t>For tax purposes, the Asset Manager Affiliates taxable net income will differ from GAAP net income because of deferred tax timing adjustments and permanent tax adjustments. Deferred tax timing adjustments may include differences for the recognition and timing of depreciation, bonuses to employees and restricted stock expense. Permanent differences may include adjustments, limitations or disallowances for meals and entertainment expenses, penalties, and tax goodwill amortization.</w:t>
      </w:r>
    </w:p>
    <w:p>
      <w:pPr>
        <w:spacing w:after="0" w:line="46"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Goodwill amortization for tax purposes was created upon the purchase of 100% of the equity interests in Katonah Debt Advisors by its sole member, KCAP Financial, in exchange for shares of the KCAP Financial’s stock valued at $33 million. Although this transaction was a stock transaction rather than an asset purchase and thus no goodwill was recognized for GAAP purposes, such exchange was considered an asset purchase under Section 351(a) of the Internal Revenue Code (the “Code”). At the time of the transfer, Katonah Debt Advisors had equity of approximately $1 million resulting in tax goodwill of approximately $32 million which is being amortized for tax purposes on a straight-line basis over 15 years, which accounts for an annual difference between GAAP income and taxable income by approximately $2 million per year over such period. As of December 31, 2016, there was approximately $10.8 million of remaining unamortized tax-basis goodwill from the KDA acquisition.</w:t>
      </w:r>
    </w:p>
    <w:p>
      <w:pPr>
        <w:spacing w:after="0" w:line="58"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As discussed in Note 4, additional goodwill amortization for tax purposes was created upon the purchase of Trimaran Advisors. The transaction was considered an asset purchase and resulted in tax goodwill of approximately $22.8 million which is being amortized for tax purposes on a straight-line basis over 15 years, which accounts for an annual difference between GAAP income and taxable income by approximately</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8" w:name="page149"/>
    <w:bookmarkEnd w:id="148"/>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 INCOME TAXES – (continued)</w:t>
      </w:r>
    </w:p>
    <w:p>
      <w:pPr>
        <w:spacing w:after="0" w:line="121" w:lineRule="exact"/>
        <w:rPr>
          <w:sz w:val="20"/>
          <w:szCs w:val="20"/>
          <w:color w:val="auto"/>
        </w:rPr>
      </w:pPr>
    </w:p>
    <w:p>
      <w:pPr>
        <w:ind w:left="180" w:right="639"/>
        <w:spacing w:after="0" w:line="277" w:lineRule="auto"/>
        <w:rPr>
          <w:sz w:val="20"/>
          <w:szCs w:val="20"/>
          <w:color w:val="auto"/>
        </w:rPr>
      </w:pPr>
      <w:r>
        <w:rPr>
          <w:rFonts w:ascii="Arial" w:cs="Arial" w:eastAsia="Arial" w:hAnsi="Arial"/>
          <w:sz w:val="18"/>
          <w:szCs w:val="18"/>
          <w:color w:val="auto"/>
        </w:rPr>
        <w:t>$1.5 million per year over such period. As of December 31, 2016, there was approximately $7.5 million of remaining unamortized tax-basis goodwill from the Trimaran Advisors acquisition.</w:t>
      </w:r>
    </w:p>
    <w:p>
      <w:pPr>
        <w:spacing w:after="0" w:line="62" w:lineRule="exact"/>
        <w:rPr>
          <w:sz w:val="20"/>
          <w:szCs w:val="20"/>
          <w:color w:val="auto"/>
        </w:rPr>
      </w:pPr>
    </w:p>
    <w:p>
      <w:pPr>
        <w:ind w:left="180" w:right="519" w:firstLine="270"/>
        <w:spacing w:after="0" w:line="259" w:lineRule="auto"/>
        <w:rPr>
          <w:sz w:val="20"/>
          <w:szCs w:val="20"/>
          <w:color w:val="auto"/>
        </w:rPr>
      </w:pPr>
      <w:r>
        <w:rPr>
          <w:rFonts w:ascii="Arial" w:cs="Arial" w:eastAsia="Arial" w:hAnsi="Arial"/>
          <w:sz w:val="18"/>
          <w:szCs w:val="18"/>
          <w:color w:val="auto"/>
        </w:rPr>
        <w:t>During the second quarter of 2016, KCAP contributed 100% of its ownership interests in Katonah Debt Advisors and Trimaran Advisors Management to Commodore Holdings. These transactions simplify the tax structure of the Asset Manager Affiliates and facilitate the consolidation of tax basis goodwill deductions for the Asset Manager Affiliates, which may impact the tax character of distributions from the Asset Manager Affiliates.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income tax expense (benefit) for the years ended December 31, 2016, 2015, and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47625</wp:posOffset>
            </wp:positionV>
            <wp:extent cx="473392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4200" w:type="dxa"/>
            <w:vAlign w:val="bottom"/>
            <w:vMerge w:val="restart"/>
          </w:tcPr>
          <w:p>
            <w:pPr>
              <w:ind w:left="20"/>
              <w:spacing w:after="0"/>
              <w:rPr>
                <w:sz w:val="20"/>
                <w:szCs w:val="20"/>
                <w:color w:val="auto"/>
              </w:rPr>
            </w:pPr>
            <w:r>
              <w:rPr>
                <w:rFonts w:ascii="Arial" w:cs="Arial" w:eastAsia="Arial" w:hAnsi="Arial"/>
                <w:sz w:val="18"/>
                <w:szCs w:val="18"/>
                <w:color w:val="auto"/>
              </w:rPr>
              <w:t>Current income tax (benefit) expense:</w:t>
            </w:r>
          </w:p>
        </w:tc>
        <w:tc>
          <w:tcPr>
            <w:tcW w:w="100" w:type="dxa"/>
            <w:vAlign w:val="bottom"/>
          </w:tcPr>
          <w:p>
            <w:pPr>
              <w:spacing w:after="0"/>
              <w:rPr>
                <w:sz w:val="17"/>
                <w:szCs w:val="17"/>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(1,957,900)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$ 1,290,664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2,792,440</w:t>
            </w: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State &amp; local</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(48,292)</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125,443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2,370,115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current income tax (benefit)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(2,006,192)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1,416,107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5,162,555</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2,011,068</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3,250,138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(590,934)</w:t>
            </w: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State &amp; local</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(85,898)</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975,980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(418,023)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deferred income tax expense (benefit)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1,925,170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4,226,118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(1,008,957)</w:t>
            </w:r>
          </w:p>
        </w:tc>
        <w:tc>
          <w:tcPr>
            <w:tcW w:w="0" w:type="dxa"/>
            <w:vAlign w:val="bottom"/>
          </w:tcPr>
          <w:p>
            <w:pPr>
              <w:spacing w:after="0"/>
              <w:rPr>
                <w:sz w:val="1"/>
                <w:szCs w:val="1"/>
                <w:color w:val="auto"/>
              </w:rPr>
            </w:pPr>
          </w:p>
        </w:tc>
      </w:tr>
      <w:tr>
        <w:trPr>
          <w:trHeight w:val="20"/>
        </w:trPr>
        <w:tc>
          <w:tcPr>
            <w:tcW w:w="4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ind w:left="200"/>
              <w:spacing w:after="0"/>
              <w:rPr>
                <w:sz w:val="20"/>
                <w:szCs w:val="20"/>
                <w:color w:val="auto"/>
              </w:rPr>
            </w:pPr>
            <w:r>
              <w:rPr>
                <w:rFonts w:ascii="Arial" w:cs="Arial" w:eastAsia="Arial" w:hAnsi="Arial"/>
                <w:sz w:val="18"/>
                <w:szCs w:val="18"/>
                <w:color w:val="auto"/>
              </w:rPr>
              <w:t>Total income tax (benefit)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(81,022)</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$ 5,642,225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4,153,598</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-179705</wp:posOffset>
            </wp:positionV>
            <wp:extent cx="4751070" cy="1803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180" w:right="599" w:firstLine="270"/>
        <w:spacing w:after="0" w:line="312" w:lineRule="auto"/>
        <w:rPr>
          <w:sz w:val="20"/>
          <w:szCs w:val="20"/>
          <w:color w:val="auto"/>
        </w:rPr>
      </w:pPr>
      <w:r>
        <w:rPr>
          <w:rFonts w:ascii="Arial" w:cs="Arial" w:eastAsia="Arial" w:hAnsi="Arial"/>
          <w:sz w:val="16"/>
          <w:szCs w:val="16"/>
          <w:color w:val="auto"/>
        </w:rPr>
        <w:t>The Asset Manager Affiliates’ effective income tax rate was (11.3)%, 68.9% and 36.3% for tax years 2016, 2015 and 2014, respectively. The difference between the Company’s reported provision for income taxes and the U.S. federal statutory rate of 35% is primarily due to tax goodwill amortization, and a change in the deferred tax valuation allowance during the year.</w:t>
      </w:r>
    </w:p>
    <w:p>
      <w:pPr>
        <w:spacing w:after="0" w:line="39" w:lineRule="exact"/>
        <w:rPr>
          <w:sz w:val="20"/>
          <w:szCs w:val="20"/>
          <w:color w:val="auto"/>
        </w:rPr>
      </w:pPr>
    </w:p>
    <w:p>
      <w:pPr>
        <w:ind w:left="180" w:right="619" w:firstLine="270"/>
        <w:spacing w:after="0" w:line="264"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combined financial statements. These temporary differences result in taxable or deductible amounts in future years.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deferred income tax assets and liabilities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3392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1"/>
              </w:rPr>
              <w:t>For the year ended December 31,</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000" w:type="dxa"/>
            <w:vAlign w:val="bottom"/>
            <w:vMerge w:val="restart"/>
          </w:tcPr>
          <w:p>
            <w:pPr>
              <w:ind w:left="20"/>
              <w:spacing w:after="0"/>
              <w:rPr>
                <w:sz w:val="20"/>
                <w:szCs w:val="20"/>
                <w:color w:val="auto"/>
              </w:rPr>
            </w:pPr>
            <w:r>
              <w:rPr>
                <w:rFonts w:ascii="Arial" w:cs="Arial" w:eastAsia="Arial" w:hAnsi="Arial"/>
                <w:sz w:val="18"/>
                <w:szCs w:val="18"/>
                <w:color w:val="auto"/>
              </w:rPr>
              <w:t>Deferred income tax assets:</w:t>
            </w:r>
          </w:p>
        </w:tc>
        <w:tc>
          <w:tcPr>
            <w:tcW w:w="1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and tax credit carryforward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44,125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Restricted stock</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322,008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481,847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depreciation/amortization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3,522,391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3,524,376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715,400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1,092,024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79,399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Less: Valuation allowance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(4,677,152)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(3,630,872)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1,546,774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Amortization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(2,575,140)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(2,144,287)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(52,457)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(2,575,140)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(2,196,744)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1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(2,575,140)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(649,970)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gridSpan w:val="2"/>
          </w:tcPr>
          <w:p>
            <w:pPr>
              <w:jc w:val="right"/>
              <w:ind w:right="410"/>
              <w:spacing w:after="0"/>
              <w:rPr>
                <w:sz w:val="20"/>
                <w:szCs w:val="20"/>
                <w:color w:val="auto"/>
              </w:rPr>
            </w:pPr>
            <w:r>
              <w:rPr>
                <w:rFonts w:ascii="Arial" w:cs="Arial" w:eastAsia="Arial" w:hAnsi="Arial"/>
                <w:sz w:val="18"/>
                <w:szCs w:val="18"/>
                <w:color w:val="auto"/>
              </w:rPr>
              <w:t>S-13</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00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00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-814070</wp:posOffset>
            </wp:positionV>
            <wp:extent cx="4751070" cy="1803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9" w:name="page150"/>
    <w:bookmarkEnd w:id="14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INCOME TAXES – (continued)</w:t>
      </w:r>
    </w:p>
    <w:p>
      <w:pPr>
        <w:spacing w:after="0" w:line="121" w:lineRule="exact"/>
        <w:rPr>
          <w:sz w:val="20"/>
          <w:szCs w:val="20"/>
          <w:color w:val="auto"/>
        </w:rPr>
      </w:pPr>
    </w:p>
    <w:p>
      <w:pPr>
        <w:ind w:left="60" w:right="639" w:firstLine="270"/>
        <w:spacing w:after="0" w:line="286" w:lineRule="auto"/>
        <w:rPr>
          <w:sz w:val="20"/>
          <w:szCs w:val="20"/>
          <w:color w:val="auto"/>
        </w:rPr>
      </w:pPr>
      <w:r>
        <w:rPr>
          <w:rFonts w:ascii="Arial" w:cs="Arial" w:eastAsia="Arial" w:hAnsi="Arial"/>
          <w:sz w:val="17"/>
          <w:szCs w:val="17"/>
          <w:color w:val="auto"/>
        </w:rPr>
        <w:t>The ultimate realization of deferred income tax assets is dependent upon the generation of future taxable income during the periods in which the temporary differences become deductible. If it is not more likely than not that some portion or all of the gross deferred income tax assets will be realized in future years, a valuation allowance is recorded.</w:t>
      </w:r>
    </w:p>
    <w:p>
      <w:pPr>
        <w:spacing w:after="0" w:line="57" w:lineRule="exact"/>
        <w:rPr>
          <w:sz w:val="20"/>
          <w:szCs w:val="20"/>
          <w:color w:val="auto"/>
        </w:rPr>
      </w:pPr>
    </w:p>
    <w:p>
      <w:pPr>
        <w:ind w:left="60" w:right="739" w:firstLine="270"/>
        <w:spacing w:after="0" w:line="259" w:lineRule="auto"/>
        <w:rPr>
          <w:sz w:val="20"/>
          <w:szCs w:val="20"/>
          <w:color w:val="auto"/>
        </w:rPr>
      </w:pPr>
      <w:r>
        <w:rPr>
          <w:rFonts w:ascii="Arial" w:cs="Arial" w:eastAsia="Arial" w:hAnsi="Arial"/>
          <w:sz w:val="18"/>
          <w:szCs w:val="18"/>
          <w:color w:val="auto"/>
        </w:rPr>
        <w:t>At December 31, 2016, the Asset Manager Affiliates had approximately $1,754 and $765,528 of net operating loss carryforwards available to offset future state and local taxable income, respectively. Such net operating loss carryforwards will expire in 2036. At December 31, 2015, the Asset Manager Affiliates had no federal or state net loss carryovers available to offset future taxable income.</w:t>
      </w:r>
    </w:p>
    <w:p>
      <w:pPr>
        <w:spacing w:after="0" w:line="79" w:lineRule="exact"/>
        <w:rPr>
          <w:sz w:val="20"/>
          <w:szCs w:val="20"/>
          <w:color w:val="auto"/>
        </w:rPr>
      </w:pPr>
    </w:p>
    <w:p>
      <w:pPr>
        <w:ind w:left="60" w:right="559" w:firstLine="270"/>
        <w:spacing w:after="0" w:line="293" w:lineRule="auto"/>
        <w:rPr>
          <w:sz w:val="20"/>
          <w:szCs w:val="20"/>
          <w:color w:val="auto"/>
        </w:rPr>
      </w:pPr>
      <w:r>
        <w:rPr>
          <w:rFonts w:ascii="Arial" w:cs="Arial" w:eastAsia="Arial" w:hAnsi="Arial"/>
          <w:sz w:val="16"/>
          <w:szCs w:val="16"/>
          <w:color w:val="auto"/>
        </w:rPr>
        <w:t>ASC 740 provides guidance for how uncertain tax positions should be recognized, measured, presented, and disclosed in the financial statements. ASC 740 requires the evaluation of tax positions taken or expected to be taken in the course of preparing the tax returns to determine whether the tax positions are “more-likely-than-not” of being sustained by the applicable tax authority. Tax positions not deemed to meet the more-likely-than-not threshold are recorded as a tax benefit or expense in the current year. The Asset Manager Affiliates has not recorded a liability for any unrecognized tax benefits nor are they aware of any tax positions for which it is reasonably possible that the total amounts of unrecognized tax benefits will change materially in the next 12 months.</w:t>
      </w:r>
    </w:p>
    <w:p>
      <w:pPr>
        <w:spacing w:after="0" w:line="57" w:lineRule="exact"/>
        <w:rPr>
          <w:sz w:val="20"/>
          <w:szCs w:val="20"/>
          <w:color w:val="auto"/>
        </w:rPr>
      </w:pPr>
    </w:p>
    <w:p>
      <w:pPr>
        <w:ind w:left="60" w:right="639" w:firstLine="270"/>
        <w:spacing w:after="0" w:line="259" w:lineRule="auto"/>
        <w:rPr>
          <w:sz w:val="20"/>
          <w:szCs w:val="20"/>
          <w:color w:val="auto"/>
        </w:rPr>
      </w:pPr>
      <w:r>
        <w:rPr>
          <w:rFonts w:ascii="Arial" w:cs="Arial" w:eastAsia="Arial" w:hAnsi="Arial"/>
          <w:sz w:val="18"/>
          <w:szCs w:val="18"/>
          <w:color w:val="auto"/>
        </w:rPr>
        <w:t>Management’s determinations regarding ASC 740 may be subject to review and adjustment at a later date based upon factors including, but not limited to, an ongoing analysis of tax laws, regulations and interpretations thereof. With a few exceptions, the Asset Manager Affiliates are no longer subject to U.S. federal, state and local tax examinations by tax authorities for years prior to 2013.</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Asset Manager Affiliates have commitments under lease obligations.</w:t>
      </w:r>
    </w:p>
    <w:p>
      <w:pPr>
        <w:spacing w:after="0" w:line="117" w:lineRule="exact"/>
        <w:rPr>
          <w:sz w:val="20"/>
          <w:szCs w:val="20"/>
          <w:color w:val="auto"/>
        </w:rPr>
      </w:pPr>
    </w:p>
    <w:p>
      <w:pPr>
        <w:ind w:left="60" w:right="739" w:firstLine="270"/>
        <w:spacing w:after="0" w:line="277" w:lineRule="auto"/>
        <w:rPr>
          <w:sz w:val="20"/>
          <w:szCs w:val="20"/>
          <w:color w:val="auto"/>
        </w:rPr>
      </w:pPr>
      <w:r>
        <w:rPr>
          <w:rFonts w:ascii="Arial" w:cs="Arial" w:eastAsia="Arial" w:hAnsi="Arial"/>
          <w:sz w:val="18"/>
          <w:szCs w:val="18"/>
          <w:color w:val="auto"/>
        </w:rPr>
        <w:t>Rent expense was approximately $361,000, $360,000, and $277,000 for the years ended December 31, 2016, 2015 and 2014,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minimum future lease payments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7144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vMerge w:val="restart"/>
          </w:tcPr>
          <w:p>
            <w:pPr>
              <w:spacing w:after="0"/>
              <w:rPr>
                <w:sz w:val="14"/>
                <w:szCs w:val="14"/>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60" w:type="dxa"/>
            <w:vAlign w:val="bottom"/>
            <w:vMerge w:val="restart"/>
          </w:tcPr>
          <w:p>
            <w:pPr>
              <w:spacing w:after="0"/>
              <w:rPr>
                <w:sz w:val="14"/>
                <w:szCs w:val="14"/>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60" w:type="dxa"/>
            <w:vAlign w:val="bottom"/>
            <w:vMerge w:val="restart"/>
          </w:tcPr>
          <w:p>
            <w:pPr>
              <w:spacing w:after="0"/>
              <w:rPr>
                <w:sz w:val="14"/>
                <w:szCs w:val="14"/>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60" w:type="dxa"/>
            <w:vAlign w:val="bottom"/>
            <w:vMerge w:val="restart"/>
          </w:tcPr>
          <w:p>
            <w:pPr>
              <w:spacing w:after="0"/>
              <w:rPr>
                <w:sz w:val="14"/>
                <w:szCs w:val="14"/>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60" w:type="dxa"/>
            <w:vAlign w:val="bottom"/>
            <w:vMerge w:val="restart"/>
          </w:tcPr>
          <w:p>
            <w:pPr>
              <w:spacing w:after="0"/>
              <w:rPr>
                <w:sz w:val="14"/>
                <w:szCs w:val="14"/>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25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$ 369,432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$ 369,432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$ 387,391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$ 400,218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$ 400,218</w:t>
            </w:r>
          </w:p>
        </w:tc>
        <w:tc>
          <w:tcPr>
            <w:tcW w:w="10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967,194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MEMBER’S EQUITY</w:t>
      </w:r>
    </w:p>
    <w:p>
      <w:pPr>
        <w:spacing w:after="0" w:line="121"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As of December 31, 2016, the membership interests of the Asset Manager Affiliates are held solely by KCAP Financial. KCAP Financial owns 100% of Commodore Holdings, which wholly owns Katonah Debt Advisors, Trimaran Advisors, and Trimaran Advisors Management. Katonah 2007-1 Management, LLC, and Katonah X Management, LLC are wholly-owned by Katonah Management Holdings, LLC, which is wholly-owned by KCAP Financial.</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EMPLOYEE COMPENSATION</w:t>
      </w:r>
    </w:p>
    <w:p>
      <w:pPr>
        <w:spacing w:after="0" w:line="121" w:lineRule="exact"/>
        <w:rPr>
          <w:sz w:val="20"/>
          <w:szCs w:val="20"/>
          <w:color w:val="auto"/>
        </w:rPr>
      </w:pPr>
    </w:p>
    <w:p>
      <w:pPr>
        <w:ind w:left="60" w:right="759" w:firstLine="270"/>
        <w:spacing w:after="0" w:line="293" w:lineRule="auto"/>
        <w:rPr>
          <w:sz w:val="20"/>
          <w:szCs w:val="20"/>
          <w:color w:val="auto"/>
        </w:rPr>
      </w:pPr>
      <w:r>
        <w:rPr>
          <w:rFonts w:ascii="Arial" w:cs="Arial" w:eastAsia="Arial" w:hAnsi="Arial"/>
          <w:sz w:val="16"/>
          <w:szCs w:val="16"/>
          <w:color w:val="auto"/>
        </w:rPr>
        <w:t>The Asset Manager Affiliates adopted a 401(k) plan (“401K Plan”) effective January 1, 2007 that it shares with its sole shareholder, KCAP Financial. The 401K Plan is open to all full time employees. The 401K Plan permits an employee to defer a portion of his or her total annual compensation up to the Internal Revenue Service annual maximum based on age and eligibility. The Asset Manager Affiliates make contributions to the 401K Plan of up to 2.67% of the employee’s first 74.9% of maximum eligible compensation, which vests 20% per year over five years. For the year ended December 31, 2016, 2015 and 2014, Asset Manager Affiliates made contributions to the 401K Plan of approximately $36,000, $38,000 and $38,000 respectively.</w:t>
      </w:r>
    </w:p>
    <w:p>
      <w:pPr>
        <w:spacing w:after="0" w:line="200" w:lineRule="exact"/>
        <w:rPr>
          <w:sz w:val="20"/>
          <w:szCs w:val="20"/>
          <w:color w:val="auto"/>
        </w:rPr>
      </w:pPr>
    </w:p>
    <w:p>
      <w:pPr>
        <w:spacing w:after="0" w:line="3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OTHER EMPLOYEE COMPENSATION – (continued)</w:t>
      </w:r>
    </w:p>
    <w:p>
      <w:pPr>
        <w:spacing w:after="0" w:line="121"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The Asset Manager Affiliates also adopted a deferred compensation plan (“Profit-Sharing Plan”) effective January 1, 2007. Employees are eligible for the Profit-Sharing Plan provided that they are employed and working with the Asset Manager Affiliates for at least 100 days during the year and remain employed as of the last day of the year. Employees do not make contributions to the Profit-Sharing Plan. The Asset Manager Affiliates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For the years ended December 31, 2016, 2015 and 2014, the Asset Manager Affiliates made contributions of approximately $371,000, $394,000 and $396,000 to the Profit-Sharing Plan, respectively.</w:t>
      </w:r>
    </w:p>
    <w:p>
      <w:pPr>
        <w:spacing w:after="0" w:line="58"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Certain employees of Asset Manager Affiliates may receive restricted stock grants in the stock of Asset Manager Affiliates’ sole member, KCAP Financial. For the years ended December 31, 2016, 2015 and 2014, compensation expense of approximately $909,000, $897,000 and $589,000, respectively, was recorded as expense in the combined Statement of Operations related to an allocated expense for a grant of restricted stock of KCAP Financial.</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RELATED PARTY TRANSACTION</w:t>
      </w:r>
    </w:p>
    <w:p>
      <w:pPr>
        <w:spacing w:after="0" w:line="121"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On April 15, 2013, the Trimaran Credit Facility was amended and increased from $20 million to $23 million. At December 31, 2016, there was no loan outstanding under the Trimaran Credit Facility. At December 31, 2015, there was $23 million outstanding under the Trimaran Credit Facility. Interest expense on this facility was $1.8 million, $1.7 million and $2.0 million for the years ending December 31, 2016, 2015 and 2014, respectively.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left="40" w:right="799" w:firstLine="270"/>
        <w:spacing w:after="0" w:line="259" w:lineRule="auto"/>
        <w:rPr>
          <w:sz w:val="20"/>
          <w:szCs w:val="20"/>
          <w:color w:val="auto"/>
        </w:rPr>
      </w:pPr>
      <w:r>
        <w:rPr>
          <w:rFonts w:ascii="Arial" w:cs="Arial" w:eastAsia="Arial" w:hAnsi="Arial"/>
          <w:sz w:val="18"/>
          <w:szCs w:val="18"/>
          <w:color w:val="auto"/>
        </w:rPr>
        <w:t>In January 2017, the trustees of Trimaran CLO VII, Ltd. (Trimaran VII) received notice that the holders of a majority of the income notes issued by Trimaran VII had exercised their right of optional redemption. As a result, Trimaran Advisors expects to receive incentive fees of approximately $2 to $3 million upon the final liquidation of Trimaran VII, which is expected to be completed in 2017.</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January 26, 2017, Trimaran Advisors, LLC drew $10 million under the Trimaran Credit Facility.</w:t>
      </w:r>
    </w:p>
    <w:p>
      <w:pPr>
        <w:spacing w:after="0" w:line="11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Company has evaluated events and transactions occurring subsequent to the balance sheet date of December 31, 2016 for items that should potentially be recognized or disclosed in these financial statements. Other than described above, management has determined that there are no material subsequent events that would require adjustment to, or disclosure in, these combined financial statements.</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Katonah 2007-I CLO Ltd.</w:t>
      </w:r>
    </w:p>
    <w:p>
      <w:pPr>
        <w:spacing w:after="0" w:line="103" w:lineRule="exact"/>
        <w:rPr>
          <w:sz w:val="20"/>
          <w:szCs w:val="20"/>
          <w:color w:val="auto"/>
        </w:rPr>
      </w:pPr>
    </w:p>
    <w:p>
      <w:pPr>
        <w:ind w:left="40" w:right="539"/>
        <w:spacing w:after="0" w:line="259" w:lineRule="auto"/>
        <w:rPr>
          <w:sz w:val="20"/>
          <w:szCs w:val="20"/>
          <w:color w:val="auto"/>
        </w:rPr>
      </w:pPr>
      <w:r>
        <w:rPr>
          <w:rFonts w:ascii="Arial" w:cs="Arial" w:eastAsia="Arial" w:hAnsi="Arial"/>
          <w:sz w:val="18"/>
          <w:szCs w:val="18"/>
          <w:color w:val="auto"/>
        </w:rPr>
        <w:t>We have audited the accompanying financial statements of Katonah 2007-I CLO Ltd. (the “Fund”), which comprise the statements of net assets, including the schedules of investments, as of December 31, 2016 and 2015, and the related statements of operations, changes in net assets, and cash flows for each of the three years in the period ended December 31, 2016, and the related notes to the financial statements.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40" w:right="579"/>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left="40" w:right="719"/>
        <w:spacing w:after="0" w:line="286"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57"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84" w:lineRule="exact"/>
        <w:rPr>
          <w:sz w:val="20"/>
          <w:szCs w:val="20"/>
          <w:color w:val="auto"/>
        </w:rPr>
      </w:pPr>
    </w:p>
    <w:p>
      <w:pPr>
        <w:ind w:left="40" w:right="1299"/>
        <w:spacing w:after="0" w:line="399"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b w:val="1"/>
          <w:bCs w:val="1"/>
          <w:color w:val="auto"/>
        </w:rPr>
        <w:t>Opinion</w:t>
      </w:r>
    </w:p>
    <w:p>
      <w:pPr>
        <w:spacing w:after="0" w:line="1" w:lineRule="exact"/>
        <w:rPr>
          <w:sz w:val="20"/>
          <w:szCs w:val="20"/>
          <w:color w:val="auto"/>
        </w:rPr>
      </w:pPr>
    </w:p>
    <w:p>
      <w:pPr>
        <w:jc w:val="both"/>
        <w:ind w:left="40" w:right="699"/>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Katonah 2007-I CLO Ltd. at December 31, 2016 and 2015, and the results of its operations and its cash flows for each of the three years in the period ended December 31, 2016, in conformity with U.S. generally accepted accounting principles.</w:t>
      </w:r>
    </w:p>
    <w:p>
      <w:pPr>
        <w:spacing w:after="0" w:line="5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2017</w:t>
      </w:r>
    </w:p>
    <w:p>
      <w:pPr>
        <w:spacing w:after="0" w:line="200" w:lineRule="exact"/>
        <w:rPr>
          <w:sz w:val="20"/>
          <w:szCs w:val="20"/>
          <w:color w:val="auto"/>
        </w:rPr>
      </w:pPr>
    </w:p>
    <w:p>
      <w:pPr>
        <w:spacing w:after="0" w:line="3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2" w:name="page153"/>
    <w:bookmarkEnd w:id="15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STATEMENTS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4"/>
                <w:szCs w:val="14"/>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170,702,652</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234,403,150</w:t>
            </w: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150,524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2,830</w:t>
            </w: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 rated notes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5,831,800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12,360,525</w:t>
            </w:r>
          </w:p>
        </w:tc>
      </w:tr>
      <w:tr>
        <w:trPr>
          <w:trHeight w:val="20"/>
        </w:trPr>
        <w:tc>
          <w:tcPr>
            <w:tcW w:w="5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80"/>
              <w:spacing w:after="0"/>
              <w:rPr>
                <w:sz w:val="20"/>
                <w:szCs w:val="20"/>
                <w:color w:val="auto"/>
              </w:rPr>
            </w:pPr>
            <w:r>
              <w:rPr>
                <w:rFonts w:ascii="Arial" w:cs="Arial" w:eastAsia="Arial" w:hAnsi="Arial"/>
                <w:sz w:val="18"/>
                <w:szCs w:val="18"/>
                <w:color w:val="auto"/>
              </w:rPr>
              <w:t>Total investments at fair value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176,684,976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246,766,505</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34,982,770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17,301,178</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492,417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501,574</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for open trades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820,593</w:t>
            </w:r>
          </w:p>
        </w:tc>
      </w:tr>
      <w:tr>
        <w:trPr>
          <w:trHeight w:val="20"/>
        </w:trPr>
        <w:tc>
          <w:tcPr>
            <w:tcW w:w="5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212,160,163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265,389,850</w:t>
            </w:r>
          </w:p>
        </w:tc>
      </w:tr>
      <w:tr>
        <w:trPr>
          <w:trHeight w:val="21"/>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CLO Fund liabilities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208,812,164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261,433,473</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1,518,793</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1,565,632</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Payable for open trades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6,006,038</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132,967</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154,079</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Due to affiliates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3,889</w:t>
            </w:r>
          </w:p>
        </w:tc>
      </w:tr>
      <w:tr>
        <w:trPr>
          <w:trHeight w:val="20"/>
        </w:trPr>
        <w:tc>
          <w:tcPr>
            <w:tcW w:w="5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210,463,954</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269,163,111</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Total net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1,696,209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(3,773,261)</w:t>
            </w:r>
          </w:p>
        </w:tc>
      </w:tr>
      <w:tr>
        <w:trPr>
          <w:trHeight w:val="21"/>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-2160270</wp:posOffset>
            </wp:positionV>
            <wp:extent cx="5213985" cy="1460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-1602740</wp:posOffset>
            </wp:positionV>
            <wp:extent cx="5213985" cy="1803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3" w:name="page154"/>
    <w:bookmarkEnd w:id="15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0"/>
          </w:tcPr>
          <w:p>
            <w:pPr>
              <w:jc w:val="right"/>
              <w:ind w:right="7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from investments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9,381,680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10,178,631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11,690,586</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Interest income from cash and time deposits</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18,324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367,266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425,490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32,346</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8"/>
                <w:szCs w:val="18"/>
                <w:b w:val="1"/>
                <w:bCs w:val="1"/>
                <w:color w:val="auto"/>
              </w:rPr>
              <w:t>Total income</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9,767,270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10,605,409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11,724,854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8,798,483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9,146,858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10,736,878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659,347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714,061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805,526</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Trustee fees</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75,663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77,443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109,164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166,488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178,954</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Administrative and other</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80,425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86,528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125,224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9,780,406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10,205,353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11,955,746</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color w:val="auto"/>
              </w:rPr>
              <w:t>Net realized and unrealized gains (losses)</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5,482,606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(387,924)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(9,089,440)</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200"/>
              <w:spacing w:after="0" w:line="191" w:lineRule="exact"/>
              <w:rPr>
                <w:sz w:val="20"/>
                <w:szCs w:val="20"/>
                <w:color w:val="auto"/>
              </w:rPr>
            </w:pPr>
            <w:r>
              <w:rPr>
                <w:rFonts w:ascii="Arial" w:cs="Arial" w:eastAsia="Arial" w:hAnsi="Arial"/>
                <w:sz w:val="18"/>
                <w:szCs w:val="18"/>
                <w:b w:val="1"/>
                <w:bCs w:val="1"/>
                <w:color w:val="auto"/>
              </w:rPr>
              <w:t>Increase (Decrease) in net assets resulting from</w:t>
            </w: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5,469,470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12,132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(9,320,332)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-1577340</wp:posOffset>
            </wp:positionV>
            <wp:extent cx="5213985" cy="1460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-462280</wp:posOffset>
            </wp:positionV>
            <wp:extent cx="5213985" cy="1543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4" w:name="page155"/>
    <w:bookmarkEnd w:id="15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STATEMENTS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0573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9"/>
              </w:rPr>
              <w:t>Net Assets</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5,534,939</w:t>
            </w:r>
          </w:p>
        </w:tc>
      </w:tr>
      <w:tr>
        <w:trPr>
          <w:trHeight w:val="216"/>
        </w:trPr>
        <w:tc>
          <w:tcPr>
            <w:tcW w:w="7160" w:type="dxa"/>
            <w:vAlign w:val="bottom"/>
          </w:tcPr>
          <w:p>
            <w:pPr>
              <w:ind w:left="20"/>
              <w:spacing w:after="0"/>
              <w:rPr>
                <w:sz w:val="20"/>
                <w:szCs w:val="20"/>
                <w:color w:val="auto"/>
              </w:rPr>
            </w:pPr>
            <w:r>
              <w:rPr>
                <w:rFonts w:ascii="Arial" w:cs="Arial" w:eastAsia="Arial" w:hAnsi="Arial"/>
                <w:sz w:val="18"/>
                <w:szCs w:val="18"/>
                <w:color w:val="auto"/>
              </w:rPr>
              <w:t>Decrease in net assets resulting from operations</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(9,320,332)</w:t>
            </w:r>
          </w:p>
        </w:tc>
      </w:tr>
      <w:tr>
        <w:trPr>
          <w:trHeight w:val="20"/>
        </w:trPr>
        <w:tc>
          <w:tcPr>
            <w:tcW w:w="7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(3,785,393)</w:t>
            </w:r>
          </w:p>
        </w:tc>
      </w:tr>
      <w:tr>
        <w:trPr>
          <w:trHeight w:val="216"/>
        </w:trPr>
        <w:tc>
          <w:tcPr>
            <w:tcW w:w="7160" w:type="dxa"/>
            <w:vAlign w:val="bottom"/>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12,132</w:t>
            </w:r>
          </w:p>
        </w:tc>
      </w:tr>
      <w:tr>
        <w:trPr>
          <w:trHeight w:val="20"/>
        </w:trPr>
        <w:tc>
          <w:tcPr>
            <w:tcW w:w="7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(3,773,261)</w:t>
            </w:r>
          </w:p>
        </w:tc>
      </w:tr>
      <w:tr>
        <w:trPr>
          <w:trHeight w:val="216"/>
        </w:trPr>
        <w:tc>
          <w:tcPr>
            <w:tcW w:w="7160" w:type="dxa"/>
            <w:vAlign w:val="bottom"/>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5,469,470</w:t>
            </w:r>
          </w:p>
        </w:tc>
      </w:tr>
      <w:tr>
        <w:trPr>
          <w:trHeight w:val="20"/>
        </w:trPr>
        <w:tc>
          <w:tcPr>
            <w:tcW w:w="7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1,696,209</w:t>
            </w:r>
          </w:p>
        </w:tc>
      </w:tr>
      <w:tr>
        <w:trPr>
          <w:trHeight w:val="20"/>
        </w:trPr>
        <w:tc>
          <w:tcPr>
            <w:tcW w:w="7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5" w:name="page156"/>
    <w:bookmarkEnd w:id="15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3"/>
              </w:rPr>
              <w:t>Years Ended December 31,</w:t>
            </w: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7"/>
                <w:szCs w:val="17"/>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Increase (Decrease) in net assets resulting from</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5,469,470</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12,132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(9,320,332)</w:t>
            </w:r>
          </w:p>
        </w:tc>
        <w:tc>
          <w:tcPr>
            <w:tcW w:w="0" w:type="dxa"/>
            <w:vAlign w:val="bottom"/>
          </w:tcPr>
          <w:p>
            <w:pPr>
              <w:spacing w:after="0"/>
              <w:rPr>
                <w:sz w:val="1"/>
                <w:szCs w:val="1"/>
                <w:color w:val="auto"/>
              </w:rPr>
            </w:pPr>
          </w:p>
        </w:tc>
      </w:tr>
      <w:tr>
        <w:trPr>
          <w:trHeight w:val="198"/>
        </w:trPr>
        <w:tc>
          <w:tcPr>
            <w:tcW w:w="4500" w:type="dxa"/>
            <w:vAlign w:val="bottom"/>
          </w:tcPr>
          <w:p>
            <w:pPr>
              <w:ind w:left="200"/>
              <w:spacing w:after="0" w:line="198" w:lineRule="exact"/>
              <w:rPr>
                <w:sz w:val="20"/>
                <w:szCs w:val="20"/>
                <w:color w:val="auto"/>
              </w:rPr>
            </w:pPr>
            <w:r>
              <w:rPr>
                <w:rFonts w:ascii="Arial" w:cs="Arial" w:eastAsia="Arial" w:hAnsi="Arial"/>
                <w:sz w:val="18"/>
                <w:szCs w:val="18"/>
                <w:b w:val="1"/>
                <w:bCs w:val="1"/>
                <w:color w:val="auto"/>
                <w:w w:val="97"/>
              </w:rPr>
              <w:t>Adjustments to reconcile increase (decrease) in net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80"/>
              <w:spacing w:after="0"/>
              <w:rPr>
                <w:sz w:val="20"/>
                <w:szCs w:val="20"/>
                <w:color w:val="auto"/>
              </w:rPr>
            </w:pPr>
            <w:r>
              <w:rPr>
                <w:rFonts w:ascii="Arial" w:cs="Arial" w:eastAsia="Arial" w:hAnsi="Arial"/>
                <w:sz w:val="18"/>
                <w:szCs w:val="18"/>
                <w:b w:val="1"/>
                <w:bCs w:val="1"/>
                <w:color w:val="auto"/>
              </w:rPr>
              <w:t>assets resulting from operations to net cash</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380"/>
              <w:spacing w:after="0"/>
              <w:rPr>
                <w:sz w:val="20"/>
                <w:szCs w:val="20"/>
                <w:color w:val="auto"/>
              </w:rPr>
            </w:pPr>
            <w:r>
              <w:rPr>
                <w:rFonts w:ascii="Arial" w:cs="Arial" w:eastAsia="Arial" w:hAnsi="Arial"/>
                <w:sz w:val="18"/>
                <w:szCs w:val="18"/>
                <w:b w:val="1"/>
                <w:bCs w:val="1"/>
                <w:color w:val="auto"/>
              </w:rPr>
              <w:t>provided by operating activities: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Net realized and unrealized (gains) losses on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(7,040,542)</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6,651,428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5,807,622</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Change in unrealized losses (gains) on debt</w:t>
            </w:r>
          </w:p>
        </w:tc>
        <w:tc>
          <w:tcPr>
            <w:tcW w:w="100" w:type="dxa"/>
            <w:vAlign w:val="bottom"/>
          </w:tcPr>
          <w:p>
            <w:pPr>
              <w:spacing w:after="0"/>
              <w:rPr>
                <w:sz w:val="18"/>
                <w:szCs w:val="18"/>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1,557,935</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(6,263,504)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3,281,818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(82,554,227)</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(93,243,381)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(29,960,071)</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Proceeds from sale and redemption of investments</w:t>
            </w:r>
          </w:p>
        </w:tc>
        <w:tc>
          <w:tcPr>
            <w:tcW w:w="100" w:type="dxa"/>
            <w:vAlign w:val="bottom"/>
          </w:tcPr>
          <w:p>
            <w:pPr>
              <w:spacing w:after="0"/>
              <w:rPr>
                <w:sz w:val="18"/>
                <w:szCs w:val="18"/>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w w:val="89"/>
              </w:rPr>
              <w:t>159,676,298</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113,199,395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61,206,288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Decrease in accrued interest receivable</w:t>
            </w:r>
          </w:p>
        </w:tc>
        <w:tc>
          <w:tcPr>
            <w:tcW w:w="100" w:type="dxa"/>
            <w:vAlign w:val="bottom"/>
          </w:tcPr>
          <w:p>
            <w:pPr>
              <w:spacing w:after="0"/>
              <w:rPr>
                <w:sz w:val="18"/>
                <w:szCs w:val="18"/>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9,157</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129,814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43,523</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(Decrease) increase in accounts payable and accrued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(21,112)</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(30,556)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Decrease (increase) in receivable for open trades</w:t>
            </w:r>
          </w:p>
        </w:tc>
        <w:tc>
          <w:tcPr>
            <w:tcW w:w="100" w:type="dxa"/>
            <w:vAlign w:val="bottom"/>
          </w:tcPr>
          <w:p>
            <w:pPr>
              <w:spacing w:after="0"/>
              <w:rPr>
                <w:sz w:val="18"/>
                <w:szCs w:val="18"/>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820,593</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(820,593)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due to affiliates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6,745</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Decrease in due from affiliates</w:t>
            </w:r>
          </w:p>
        </w:tc>
        <w:tc>
          <w:tcPr>
            <w:tcW w:w="100" w:type="dxa"/>
            <w:vAlign w:val="bottom"/>
          </w:tcPr>
          <w:p>
            <w:pPr>
              <w:spacing w:after="0"/>
              <w:rPr>
                <w:sz w:val="18"/>
                <w:szCs w:val="18"/>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10,852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payable for open trades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(6,006,038)</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6,006,038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(4,013,750)</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Decrease in accrued interest payable</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(46,839)</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(270,176)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(254,559)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71,860,836</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25,363,633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26,811,757</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tcPr>
          <w:p>
            <w:pPr>
              <w:ind w:left="200"/>
              <w:spacing w:after="0"/>
              <w:rPr>
                <w:sz w:val="20"/>
                <w:szCs w:val="20"/>
                <w:color w:val="auto"/>
              </w:rPr>
            </w:pPr>
            <w:r>
              <w:rPr>
                <w:rFonts w:ascii="Arial" w:cs="Arial" w:eastAsia="Arial" w:hAnsi="Arial"/>
                <w:sz w:val="18"/>
                <w:szCs w:val="18"/>
                <w:b w:val="1"/>
                <w:bCs w:val="1"/>
                <w:color w:val="auto"/>
              </w:rPr>
              <w:t>Cash used in Financing Activities: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Debt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(54,179,244)</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(23,002,449)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(27,132,006)</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4"/>
              </w:rPr>
              <w:t>(54,179,244)</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(23,002,449)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(27,132,006)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17,681,592</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2,361,184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(320,249)</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CASH, BEGINNING OF YEAR</w:t>
            </w:r>
          </w:p>
        </w:tc>
        <w:tc>
          <w:tcPr>
            <w:tcW w:w="100" w:type="dxa"/>
            <w:vAlign w:val="bottom"/>
          </w:tcPr>
          <w:p>
            <w:pPr>
              <w:spacing w:after="0"/>
              <w:rPr>
                <w:sz w:val="18"/>
                <w:szCs w:val="18"/>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17,301,178</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14,939,994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15,260,243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34,982,770</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17,301,178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14,939,994</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tcPr>
          <w:p>
            <w:pPr>
              <w:ind w:left="200"/>
              <w:spacing w:after="0"/>
              <w:rPr>
                <w:sz w:val="20"/>
                <w:szCs w:val="20"/>
                <w:color w:val="auto"/>
              </w:rPr>
            </w:pPr>
            <w:r>
              <w:rPr>
                <w:rFonts w:ascii="Arial" w:cs="Arial" w:eastAsia="Arial" w:hAnsi="Arial"/>
                <w:sz w:val="18"/>
                <w:szCs w:val="18"/>
                <w:color w:val="auto"/>
              </w:rPr>
              <w:t>Supplemental Information:</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8,751,644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9,417,035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10,991,437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-1156970</wp:posOffset>
            </wp:positionV>
            <wp:extent cx="5213985" cy="1460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-874395</wp:posOffset>
            </wp:positionV>
            <wp:extent cx="5213985" cy="1460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-307975</wp:posOffset>
            </wp:positionV>
            <wp:extent cx="5213985" cy="1714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6" w:name="page157"/>
    <w:bookmarkEnd w:id="15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Interest Rate/Maturity</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3060" w:type="dxa"/>
            <w:vAlign w:val="bottom"/>
            <w:gridSpan w:val="2"/>
            <w:shd w:val="clear" w:color="auto" w:fill="CCEEFF"/>
          </w:tcPr>
          <w:p>
            <w:pPr>
              <w:ind w:left="20"/>
              <w:spacing w:after="0" w:line="123" w:lineRule="exact"/>
              <w:rPr>
                <w:sz w:val="20"/>
                <w:szCs w:val="20"/>
                <w:color w:val="auto"/>
              </w:rPr>
            </w:pPr>
            <w:r>
              <w:rPr>
                <w:rFonts w:ascii="Arial" w:cs="Arial" w:eastAsia="Arial" w:hAnsi="Arial"/>
                <w:sz w:val="14"/>
                <w:szCs w:val="14"/>
                <w:color w:val="auto"/>
              </w:rPr>
              <w:t>Advantage Sales &amp; Marketing Inc.</w:t>
            </w: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Initial Term Loan (First Lien)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Services: Business</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$ 1,478,170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$ 1,465,743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1,485,930</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Aramark Corporation</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U.S. Term F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2,500,766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2,434,568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2,527,775</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Ascena Retail Group, Inc. (Anntaylor Retail, Inc.)</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5.3%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1,847,840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1,727,053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1,807,880</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Aspect Software,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(First Lien)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Electronics</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11.3% Cash, Due 5/20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1,987,421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1,982,675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1,990,730</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Asurion, LLC (fka Asurion Corporation)</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Replacement B-2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Insurance</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434,119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417,800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438,528</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Avis Budget Car Rental, LLC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4,747,663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4,764,002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4,761,527</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Berry Plastics Corporation</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G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Containers, Packaging and Glass</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2,591,612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2,487,866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2,612,138</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Burlington Coat Factory Warehouse Corporation</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B-4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Retail Stores</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2,321,888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2,286,350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2,342,611</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Capital Automotive L.P.</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Tranche B-1 Term Loan Facility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1,447,883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1,444,407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1,464,852</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Capsugel Holdings US,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Dollar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713,586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712,640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716,783</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Cedar Fair, L.P.</w:t>
            </w: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3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U.S. Term Facility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956,905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955,817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964,383</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Change Healthcare Holdings, Inc. (fka Emdeon</w:t>
            </w: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3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Inc.)</w:t>
            </w: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B-2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Electronics</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173,151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173,481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173,692</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Charter Communications Operating, LLC (aka</w:t>
            </w: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3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CCO Safari LLC)</w:t>
            </w: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F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1,468,488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1,462,213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1,477,461</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2018 Term F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4.2%</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1,034,498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493,113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1,020,057</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Incremental 2019 Term G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1,019,212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1,017,557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991,505</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2021 Term H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2,073,288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2,055,059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2,014,117</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Ciena Corporation</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2,947,236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2,958,279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2,965,656</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Commscope,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4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111,875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111,920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112,679</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Container Store, Inc., The</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Facility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1,660,005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1,662,549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1,524,441</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CSM Bakery Solutions Limited (fka CSM Bakery</w:t>
            </w: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3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Supplies Limited)</w:t>
            </w: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2,914,353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2,725,500</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Cyanco Intermediate Corp.</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5.5%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621,075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627,103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624,569</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David’s Bridal,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Retail Stores</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5.3%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473,111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471,233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419,690</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Delta 2 (Lux) S.a r.l (aka Formula One)</w:t>
            </w: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3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Facility B3 (USD)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5.1%</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3,421,774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3,404,142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3,461,603</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Dex Media,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11.0% Cash, Due 7/21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217,160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212,886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217,974</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E.W. Scripps Company, The</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2,575,710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2,553,469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2,588,048</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Education Management II LLC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A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2"/>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5.5%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200,289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201,078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50,386</w:t>
            </w: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7" w:name="page158"/>
    <w:bookmarkEnd w:id="15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Interest Rate/Maturity</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3"/>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Education Management II LLC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374,420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375,734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9"/>
              </w:rPr>
              <w:t>Electric Lightwave Holdings, Inc. (f.k.a. Integra</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Telecom Holdings, Inc.)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B-1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2,392,107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2,325,632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2,402,872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EnergySolutions, LLC (aka Envirocare of Utah,</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LLC)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Advance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6.8%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918,742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920,945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927,930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6"/>
              </w:rPr>
              <w:t>Envigo Laboratories, Inc. (fka BPA Laboratories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3.4%</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1,743,896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1,649,728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1,534,628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Envigo Laboratories, Inc. (fka BPA Laboratories</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(Second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3.4%</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1,516,318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1,493,015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1,048,784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Essential Power,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856,721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851,938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869,572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Evertec Group, LLC (fka Evertec,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A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Banking, Finance, Insurance &amp; Real Estate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1,380,234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1,366,553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1,373,767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EWT Holdings III Corp. (fka WTG Holdings III</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2016 First Lien</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Corp.)</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2,274,670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2,285,613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2,301,693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EWT Holdings III Corp. (fka WTG Holdings III</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Corp.)</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972,349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978,492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FCA US LLC (fka Chrysler Group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B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4,172,621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4,156,392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4,189,562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Federal-Mogul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(2014)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1,550,593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1,529,850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1,550,981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Fender Musical Instruments Corporation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Initial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1,759,725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1,753,723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1,737,025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Filtration Group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624,502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626,008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630,160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First Data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2021C New Dollar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Banking, Finance, Insurance &amp; Real Estate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2,095,106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2,092,615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2,122,018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Gardner Denver,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Dollar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4.6%</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2,210,025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2,172,541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2,191,439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General Nutrition Centers,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7"/>
              </w:rPr>
              <w:t>Amended 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4,364,001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4,365,677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4,113,071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Getty Images,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2,601,451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2,591,053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2,278,429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Harland Clarke Holdings Corp. (fka Clarke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American Corp.)</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B-3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7.0%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487,985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487,985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489,815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Harland Clarke Holdings Corp. (fka Clarke</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American Corp.)</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B-5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7.0%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4,450,523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4,451,323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4,484,458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HCR Healthcare,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471,250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470,402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413,647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Hercules Achievement, Inc.(aka Varsity Brands,</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w w:val="98"/>
              </w:rPr>
              <w:t>Home and Office Furnishings, Housewares,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Term Loan (First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and Durable Consumer Products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997,455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1,007,140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1,013,913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Huntsman International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2015 Extended Term B Dollar</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Chemicals, Plastics and Rubber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3.7%</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1,075,034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1,045,099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1,081,081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Ineos US Finance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2020 Dollar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3,944,682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3,955,292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3,969,751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Infor (US), Inc. (fka Lawson Software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B-5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2,287,677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2,296,269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2,294,586</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 Crew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3,841,375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3,843,639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2,203,989</w:t>
            </w:r>
          </w:p>
        </w:tc>
      </w:tr>
    </w:tbl>
    <w:p>
      <w:pPr>
        <w:spacing w:after="0" w:line="200" w:lineRule="exact"/>
        <w:rPr>
          <w:sz w:val="20"/>
          <w:szCs w:val="20"/>
          <w:color w:val="auto"/>
        </w:rPr>
      </w:pPr>
    </w:p>
    <w:p>
      <w:pPr>
        <w:spacing w:after="0" w:line="32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8" w:name="page159"/>
    <w:bookmarkEnd w:id="15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Interest Rate/Maturity</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JBS USA Lux S.A. (fka JBS USA, LLC)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$ 4,711,566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$ 4,720,855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4,729,235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KAR Auction Services,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B-2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4.2%</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243,611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246,267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246,048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Key Safety Systems,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1,283,781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1,265,173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1,300,150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Kronos Worldwide,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2015 Refinancing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778,000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766,847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787,725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Las Vegas Sands,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Refinancing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Hotels, Motels, Inns, and Gaming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3,168,926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3,128,432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3,189,968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LPL Holdings,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2021 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1,911,195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1,903,632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1,933,900</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MCC Iowa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J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683,429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675,784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689,836</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Mediacom Illinois, LLC (fka Mediacom</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Communications, LLC)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F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3.2%</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5,835,000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5,830,528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5,860,557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Mitchell International,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1,979,675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1,836,869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1,986,069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National CineMedia, LLC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(2013)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996,689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1,009,065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NEP/NCP Holdco,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Amendment No. 4 Incremental</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Broadcasting and Entertainment</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4,211,244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4,190,414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4,237,564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OCI Beaumont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8.0%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2,393,807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2,407,888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2,441,684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Onex Carestream Finance LP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 Lien 2013)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2,290,548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2,301,501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2,231,372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Otter Products, LLC (OtterBox Holdings,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Consumer goods: Durable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2,125,900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1,914,366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2,050,218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Pacific Drilling S.A</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Oil and Gas1</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2,163,350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2,165,248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784,214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Petroleum GEO-Services ASA (PGS Finance,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Extended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Oil and Gas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4,862,500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4,862,500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3,954,841</w:t>
            </w:r>
          </w:p>
        </w:tc>
      </w:tr>
      <w:tr>
        <w:trPr>
          <w:trHeight w:val="170"/>
        </w:trPr>
        <w:tc>
          <w:tcPr>
            <w:tcW w:w="29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QCE, LLC (Quiznos)</w:t>
            </w:r>
            <w:r>
              <w:rPr>
                <w:rFonts w:ascii="Arial" w:cs="Arial" w:eastAsia="Arial" w:hAnsi="Arial"/>
                <w:sz w:val="19"/>
                <w:szCs w:val="19"/>
                <w:color w:val="auto"/>
                <w:vertAlign w:val="superscript"/>
              </w:rPr>
              <w:t>(2)</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Existing Term Loan —</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w w:val="98"/>
              </w:rPr>
              <w:t>Personal, Food and Miscellaneous Services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0.0%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449,499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449,486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36,522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Quad/Graphics,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1,484,772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1,383,304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1,495,907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Regal Cinemas Corporation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Refinancing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958,853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965,417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967,756</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RGIS Services,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C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2,559,107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2,546,630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2,367,174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Select Medical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E 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6.0%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2,075,986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2,069,075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2,110,582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4"/>
              </w:rPr>
              <w:t>Semiconductor Components Industries, LLC (On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Semiconductor)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2.6%</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3,718,750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3,695,931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3,718,750</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0"/>
              </w:rPr>
              <w:t>Sensata Technologies B.V. (Sensata Technologies</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Finance Company, LLC)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Sixth Amendment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534,542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531,559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538,885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SGS Cayman, L.P.</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Cayman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132,834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131,878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131,090</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Sinclair Television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New 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66,296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66,296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66,379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Steinway Musical Instruments,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(First Lien)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9/19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1,991,985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1,981,249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1,922,265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Sutherland Global Services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U.S.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6.0%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570,647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566,540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563,157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Toys ‘R’ US-Delaware,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B-2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1,488,194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1,428,809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1,406,716</w:t>
            </w: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9" w:name="page160"/>
    <w:bookmarkEnd w:id="15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0" w:type="dxa"/>
            <w:vAlign w:val="bottom"/>
            <w:gridSpan w:val="2"/>
          </w:tcPr>
          <w:p>
            <w:pPr>
              <w:ind w:left="40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Interest Rate/Maturity</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Principal</w:t>
            </w:r>
          </w:p>
        </w:tc>
        <w:tc>
          <w:tcPr>
            <w:tcW w:w="200" w:type="dxa"/>
            <w:vAlign w:val="bottom"/>
          </w:tcPr>
          <w:p>
            <w:pPr>
              <w:spacing w:after="0"/>
              <w:rPr>
                <w:sz w:val="13"/>
                <w:szCs w:val="13"/>
                <w:color w:val="auto"/>
              </w:rPr>
            </w:pP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76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Transdigm Inc.</w:t>
            </w:r>
          </w:p>
        </w:tc>
        <w:tc>
          <w:tcPr>
            <w:tcW w:w="160" w:type="dxa"/>
            <w:vAlign w:val="bottom"/>
            <w:shd w:val="clear" w:color="auto" w:fill="CCEEFF"/>
          </w:tcPr>
          <w:p>
            <w:pPr>
              <w:spacing w:after="0"/>
              <w:rPr>
                <w:sz w:val="10"/>
                <w:szCs w:val="10"/>
                <w:color w:val="auto"/>
              </w:rPr>
            </w:pPr>
          </w:p>
        </w:tc>
        <w:tc>
          <w:tcPr>
            <w:tcW w:w="2220" w:type="dxa"/>
            <w:vAlign w:val="bottom"/>
            <w:gridSpan w:val="3"/>
            <w:shd w:val="clear" w:color="auto" w:fill="CCEEFF"/>
          </w:tcPr>
          <w:p>
            <w:pPr>
              <w:ind w:left="100"/>
              <w:spacing w:after="0" w:line="123" w:lineRule="exact"/>
              <w:rPr>
                <w:sz w:val="20"/>
                <w:szCs w:val="20"/>
                <w:color w:val="auto"/>
              </w:rPr>
            </w:pPr>
            <w:r>
              <w:rPr>
                <w:rFonts w:ascii="Arial" w:cs="Arial" w:eastAsia="Arial" w:hAnsi="Arial"/>
                <w:sz w:val="14"/>
                <w:szCs w:val="14"/>
                <w:color w:val="auto"/>
              </w:rPr>
              <w:t>Tranche C Term Loan —</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3"/>
              </w:rPr>
              <w:t>4.0%</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2/20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3,752,368</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3,715,669</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   3,785,782</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Tribune Media Company (fka Tribune</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Company)</w:t>
            </w:r>
          </w:p>
        </w:tc>
        <w:tc>
          <w:tcPr>
            <w:tcW w:w="160" w:type="dxa"/>
            <w:vAlign w:val="bottom"/>
          </w:tcPr>
          <w:p>
            <w:pPr>
              <w:spacing w:after="0"/>
              <w:rPr>
                <w:sz w:val="12"/>
                <w:szCs w:val="12"/>
                <w:color w:val="auto"/>
              </w:rPr>
            </w:pPr>
          </w:p>
        </w:tc>
        <w:tc>
          <w:tcPr>
            <w:tcW w:w="2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B Loan —</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93"/>
              </w:rPr>
              <w:t>3.8%</w:t>
            </w:r>
          </w:p>
        </w:tc>
        <w:tc>
          <w:tcPr>
            <w:tcW w:w="1800" w:type="dxa"/>
            <w:vAlign w:val="bottom"/>
            <w:gridSpan w:val="2"/>
          </w:tcPr>
          <w:p>
            <w:pPr>
              <w:spacing w:after="0"/>
              <w:rPr>
                <w:sz w:val="20"/>
                <w:szCs w:val="20"/>
                <w:color w:val="auto"/>
              </w:rPr>
            </w:pPr>
            <w:r>
              <w:rPr>
                <w:rFonts w:ascii="Arial" w:cs="Arial" w:eastAsia="Arial" w:hAnsi="Arial"/>
                <w:sz w:val="14"/>
                <w:szCs w:val="14"/>
                <w:color w:val="auto"/>
              </w:rPr>
              <w:t>Cash, Due 12/20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2,078,894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2,066,155</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2,099,943</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Tronox Pigments (Netherlands) B. V.</w:t>
            </w:r>
          </w:p>
        </w:tc>
        <w:tc>
          <w:tcPr>
            <w:tcW w:w="16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New Term Loan —</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3"/>
              </w:rPr>
              <w:t>4.5%</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3/20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2,473,836</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2,467,847</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2,487,058</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United Air Lines, Inc. (fka Continental</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Airlines, Inc.)</w:t>
            </w:r>
          </w:p>
        </w:tc>
        <w:tc>
          <w:tcPr>
            <w:tcW w:w="160" w:type="dxa"/>
            <w:vAlign w:val="bottom"/>
          </w:tcPr>
          <w:p>
            <w:pPr>
              <w:spacing w:after="0"/>
              <w:rPr>
                <w:sz w:val="12"/>
                <w:szCs w:val="12"/>
                <w:color w:val="auto"/>
              </w:rPr>
            </w:pPr>
          </w:p>
        </w:tc>
        <w:tc>
          <w:tcPr>
            <w:tcW w:w="2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Class B Term Loan —</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93"/>
              </w:rPr>
              <w:t>3.3%</w:t>
            </w:r>
          </w:p>
        </w:tc>
        <w:tc>
          <w:tcPr>
            <w:tcW w:w="1800" w:type="dxa"/>
            <w:vAlign w:val="bottom"/>
            <w:gridSpan w:val="2"/>
          </w:tcPr>
          <w:p>
            <w:pPr>
              <w:spacing w:after="0"/>
              <w:rPr>
                <w:sz w:val="20"/>
                <w:szCs w:val="20"/>
                <w:color w:val="auto"/>
              </w:rPr>
            </w:pPr>
            <w:r>
              <w:rPr>
                <w:rFonts w:ascii="Arial" w:cs="Arial" w:eastAsia="Arial" w:hAnsi="Arial"/>
                <w:sz w:val="14"/>
                <w:szCs w:val="14"/>
                <w:color w:val="auto"/>
              </w:rPr>
              <w:t>Cash, Due 4/19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2,034,432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2,036,638</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2,049,374</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Univision Communications Inc.</w:t>
            </w:r>
          </w:p>
        </w:tc>
        <w:tc>
          <w:tcPr>
            <w:tcW w:w="16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Replacement First-Lien</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Broadcasting and Entertainment</w:t>
            </w:r>
          </w:p>
        </w:tc>
        <w:tc>
          <w:tcPr>
            <w:tcW w:w="16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(C-4) —</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7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3"/>
              </w:rPr>
              <w:t>4.0%</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3/20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3,204,971</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3,189,172</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3,226,716</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Valeant Pharmaceuticals International, Inc.</w:t>
            </w:r>
          </w:p>
        </w:tc>
        <w:tc>
          <w:tcPr>
            <w:tcW w:w="160" w:type="dxa"/>
            <w:vAlign w:val="bottom"/>
          </w:tcPr>
          <w:p>
            <w:pPr>
              <w:spacing w:after="0"/>
              <w:rPr>
                <w:sz w:val="11"/>
                <w:szCs w:val="11"/>
                <w:color w:val="auto"/>
              </w:rPr>
            </w:pPr>
          </w:p>
        </w:tc>
        <w:tc>
          <w:tcPr>
            <w:tcW w:w="22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Series C-2 Tranche B Term</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Healthcare, Education and Childcare</w:t>
            </w:r>
          </w:p>
        </w:tc>
        <w:tc>
          <w:tcPr>
            <w:tcW w:w="160" w:type="dxa"/>
            <w:vAlign w:val="bottom"/>
          </w:tcPr>
          <w:p>
            <w:pPr>
              <w:spacing w:after="0"/>
              <w:rPr>
                <w:sz w:val="12"/>
                <w:szCs w:val="12"/>
                <w:color w:val="auto"/>
              </w:rPr>
            </w:pPr>
          </w:p>
        </w:tc>
        <w:tc>
          <w:tcPr>
            <w:tcW w:w="2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 —</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93"/>
              </w:rPr>
              <w:t>5.3%</w:t>
            </w:r>
          </w:p>
        </w:tc>
        <w:tc>
          <w:tcPr>
            <w:tcW w:w="1800" w:type="dxa"/>
            <w:vAlign w:val="bottom"/>
            <w:gridSpan w:val="2"/>
          </w:tcPr>
          <w:p>
            <w:pPr>
              <w:spacing w:after="0"/>
              <w:rPr>
                <w:sz w:val="20"/>
                <w:szCs w:val="20"/>
                <w:color w:val="auto"/>
              </w:rPr>
            </w:pPr>
            <w:r>
              <w:rPr>
                <w:rFonts w:ascii="Arial" w:cs="Arial" w:eastAsia="Arial" w:hAnsi="Arial"/>
                <w:sz w:val="14"/>
                <w:szCs w:val="14"/>
                <w:color w:val="auto"/>
              </w:rPr>
              <w:t>Cash, Due 12/19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1,339,121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1,306,042</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1,339,241</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Walter Investment Management Corp.</w:t>
            </w:r>
          </w:p>
        </w:tc>
        <w:tc>
          <w:tcPr>
            <w:tcW w:w="16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3"/>
              </w:rPr>
              <w:t>4.8%</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12/20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2,454,158</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2,447,189</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2,349,243</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WESCO Distribution, Inc.</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tcPr>
          <w:p>
            <w:pPr>
              <w:spacing w:after="0"/>
              <w:rPr>
                <w:sz w:val="12"/>
                <w:szCs w:val="12"/>
                <w:color w:val="auto"/>
              </w:rPr>
            </w:pPr>
          </w:p>
        </w:tc>
        <w:tc>
          <w:tcPr>
            <w:tcW w:w="2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Tranche B-1 Loan —</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93"/>
              </w:rPr>
              <w:t>4.0%</w:t>
            </w:r>
          </w:p>
        </w:tc>
        <w:tc>
          <w:tcPr>
            <w:tcW w:w="1800" w:type="dxa"/>
            <w:vAlign w:val="bottom"/>
            <w:gridSpan w:val="2"/>
          </w:tcPr>
          <w:p>
            <w:pPr>
              <w:spacing w:after="0"/>
              <w:rPr>
                <w:sz w:val="20"/>
                <w:szCs w:val="20"/>
                <w:color w:val="auto"/>
              </w:rPr>
            </w:pPr>
            <w:r>
              <w:rPr>
                <w:rFonts w:ascii="Arial" w:cs="Arial" w:eastAsia="Arial" w:hAnsi="Arial"/>
                <w:sz w:val="14"/>
                <w:szCs w:val="14"/>
                <w:color w:val="auto"/>
              </w:rPr>
              <w:t>Cash, Due 12/19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206,786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205,914</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207,497</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West Corporation</w:t>
            </w:r>
          </w:p>
        </w:tc>
        <w:tc>
          <w:tcPr>
            <w:tcW w:w="16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Refinanced Term B-14 Loan —</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3"/>
              </w:rPr>
              <w:t>3.3%</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6/21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5,472,534</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5,451,789</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5,489,663</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Windstream Services, LLC (fka Windstream</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Corporation)</w:t>
            </w:r>
          </w:p>
        </w:tc>
        <w:tc>
          <w:tcPr>
            <w:tcW w:w="160" w:type="dxa"/>
            <w:vAlign w:val="bottom"/>
          </w:tcPr>
          <w:p>
            <w:pPr>
              <w:spacing w:after="0"/>
              <w:rPr>
                <w:sz w:val="12"/>
                <w:szCs w:val="12"/>
                <w:color w:val="auto"/>
              </w:rPr>
            </w:pPr>
          </w:p>
        </w:tc>
        <w:tc>
          <w:tcPr>
            <w:tcW w:w="2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Tranche B-5 Term Loan —</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93"/>
              </w:rPr>
              <w:t>3.5%</w:t>
            </w:r>
          </w:p>
        </w:tc>
        <w:tc>
          <w:tcPr>
            <w:tcW w:w="1800" w:type="dxa"/>
            <w:vAlign w:val="bottom"/>
            <w:gridSpan w:val="2"/>
          </w:tcPr>
          <w:p>
            <w:pPr>
              <w:spacing w:after="0"/>
              <w:rPr>
                <w:sz w:val="20"/>
                <w:szCs w:val="20"/>
                <w:color w:val="auto"/>
              </w:rPr>
            </w:pPr>
            <w:r>
              <w:rPr>
                <w:rFonts w:ascii="Arial" w:cs="Arial" w:eastAsia="Arial" w:hAnsi="Arial"/>
                <w:sz w:val="14"/>
                <w:szCs w:val="14"/>
                <w:color w:val="auto"/>
              </w:rPr>
              <w:t>Cash, Due 8/19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5,893,671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5,893,671</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5,908,405</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Zekelman Industries, Inc. (fka JMC Steel</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Group, Inc.)</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Mining, Steel, Iron and Non-Precious</w:t>
            </w:r>
          </w:p>
        </w:tc>
        <w:tc>
          <w:tcPr>
            <w:tcW w:w="16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Metals</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3"/>
              </w:rPr>
              <w:t>6.0%</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6/21</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1,287,097</w:t>
            </w:r>
          </w:p>
        </w:tc>
        <w:tc>
          <w:tcPr>
            <w:tcW w:w="20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1,281,369</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1,301,576</w:t>
            </w:r>
          </w:p>
        </w:tc>
      </w:tr>
      <w:tr>
        <w:trPr>
          <w:trHeight w:val="20"/>
        </w:trPr>
        <w:tc>
          <w:tcPr>
            <w:tcW w:w="2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27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Total Investment in Debt Securities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177,257,703</w:t>
            </w: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175,174,493</w:t>
            </w:r>
          </w:p>
        </w:tc>
        <w:tc>
          <w:tcPr>
            <w:tcW w:w="110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170,702,652</w:t>
            </w:r>
          </w:p>
        </w:tc>
      </w:tr>
      <w:tr>
        <w:trPr>
          <w:trHeight w:val="20"/>
        </w:trPr>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2260" w:type="dxa"/>
            <w:vAlign w:val="bottom"/>
            <w:tcBorders>
              <w:bottom w:val="single" w:sz="8" w:color="auto"/>
            </w:tcBorders>
            <w:gridSpan w:val="2"/>
          </w:tcPr>
          <w:p>
            <w:pPr>
              <w:ind w:left="640"/>
              <w:spacing w:after="0"/>
              <w:rPr>
                <w:sz w:val="20"/>
                <w:szCs w:val="20"/>
                <w:color w:val="auto"/>
              </w:rPr>
            </w:pPr>
            <w:r>
              <w:rPr>
                <w:rFonts w:ascii="Arial" w:cs="Arial" w:eastAsia="Arial" w:hAnsi="Arial"/>
                <w:sz w:val="13"/>
                <w:szCs w:val="13"/>
                <w:b w:val="1"/>
                <w:bCs w:val="1"/>
                <w:color w:val="auto"/>
              </w:rPr>
              <w:t>Equity Investment</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78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84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Education Management Corporation</w:t>
            </w:r>
          </w:p>
        </w:tc>
        <w:tc>
          <w:tcPr>
            <w:tcW w:w="16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67"/>
        </w:trPr>
        <w:tc>
          <w:tcPr>
            <w:tcW w:w="284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16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Series A-1 Preferred Shares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748</w:t>
            </w:r>
          </w:p>
        </w:tc>
      </w:tr>
      <w:tr>
        <w:trPr>
          <w:trHeight w:val="130"/>
        </w:trPr>
        <w:tc>
          <w:tcPr>
            <w:tcW w:w="2840" w:type="dxa"/>
            <w:vAlign w:val="bottom"/>
          </w:tcPr>
          <w:p>
            <w:pPr>
              <w:ind w:left="20"/>
              <w:spacing w:after="0" w:line="130" w:lineRule="exact"/>
              <w:rPr>
                <w:sz w:val="20"/>
                <w:szCs w:val="20"/>
                <w:color w:val="auto"/>
              </w:rPr>
            </w:pPr>
            <w:r>
              <w:rPr>
                <w:rFonts w:ascii="Arial" w:cs="Arial" w:eastAsia="Arial" w:hAnsi="Arial"/>
                <w:sz w:val="14"/>
                <w:szCs w:val="14"/>
                <w:color w:val="auto"/>
              </w:rPr>
              <w:t>Dex Media, Inc.</w:t>
            </w:r>
          </w:p>
        </w:tc>
        <w:tc>
          <w:tcPr>
            <w:tcW w:w="1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84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160" w:type="dxa"/>
            <w:vAlign w:val="bottom"/>
          </w:tcPr>
          <w:p>
            <w:pPr>
              <w:spacing w:after="0"/>
              <w:rPr>
                <w:sz w:val="14"/>
                <w:szCs w:val="14"/>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Common Stock</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59,785</w:t>
            </w:r>
          </w:p>
        </w:tc>
        <w:tc>
          <w:tcPr>
            <w:tcW w:w="160" w:type="dxa"/>
            <w:vAlign w:val="bottom"/>
          </w:tcPr>
          <w:p>
            <w:pPr>
              <w:spacing w:after="0"/>
              <w:rPr>
                <w:sz w:val="14"/>
                <w:szCs w:val="14"/>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149,462</w:t>
            </w:r>
          </w:p>
        </w:tc>
      </w:tr>
      <w:tr>
        <w:trPr>
          <w:trHeight w:val="170"/>
        </w:trPr>
        <w:tc>
          <w:tcPr>
            <w:tcW w:w="284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QCE, LLC (Quiznos)</w:t>
            </w:r>
            <w:r>
              <w:rPr>
                <w:rFonts w:ascii="Arial" w:cs="Arial" w:eastAsia="Arial" w:hAnsi="Arial"/>
                <w:sz w:val="19"/>
                <w:szCs w:val="19"/>
                <w:color w:val="auto"/>
                <w:vertAlign w:val="superscript"/>
              </w:rPr>
              <w:t>-</w:t>
            </w:r>
          </w:p>
        </w:tc>
        <w:tc>
          <w:tcPr>
            <w:tcW w:w="16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284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16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New Common Stock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314</w:t>
            </w:r>
          </w:p>
        </w:tc>
      </w:tr>
      <w:tr>
        <w:trPr>
          <w:trHeight w:val="20"/>
        </w:trPr>
        <w:tc>
          <w:tcPr>
            <w:tcW w:w="2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28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Total Investment in Equity Securities</w:t>
            </w: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48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150,524</w:t>
            </w: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Portfolio Company</w:t>
            </w:r>
          </w:p>
        </w:tc>
        <w:tc>
          <w:tcPr>
            <w:tcW w:w="160" w:type="dxa"/>
            <w:vAlign w:val="bottom"/>
          </w:tcPr>
          <w:p>
            <w:pPr>
              <w:spacing w:after="0"/>
              <w:rPr>
                <w:sz w:val="13"/>
                <w:szCs w:val="13"/>
                <w:color w:val="auto"/>
              </w:rPr>
            </w:pPr>
          </w:p>
        </w:tc>
        <w:tc>
          <w:tcPr>
            <w:tcW w:w="248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CLO Investment</w:t>
            </w:r>
          </w:p>
        </w:tc>
        <w:tc>
          <w:tcPr>
            <w:tcW w:w="160" w:type="dxa"/>
            <w:vAlign w:val="bottom"/>
          </w:tcPr>
          <w:p>
            <w:pPr>
              <w:spacing w:after="0"/>
              <w:rPr>
                <w:sz w:val="13"/>
                <w:szCs w:val="13"/>
                <w:color w:val="auto"/>
              </w:rPr>
            </w:pPr>
          </w:p>
        </w:tc>
        <w:tc>
          <w:tcPr>
            <w:tcW w:w="108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86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Fair Value</w:t>
            </w:r>
          </w:p>
        </w:tc>
      </w:tr>
      <w:tr>
        <w:trPr>
          <w:trHeight w:val="164"/>
        </w:trPr>
        <w:tc>
          <w:tcPr>
            <w:tcW w:w="2180" w:type="dxa"/>
            <w:vAlign w:val="bottom"/>
            <w:gridSpan w:val="3"/>
            <w:shd w:val="clear" w:color="auto" w:fill="CCEEFF"/>
          </w:tcPr>
          <w:p>
            <w:pPr>
              <w:ind w:left="20"/>
              <w:spacing w:after="0" w:line="163" w:lineRule="exact"/>
              <w:rPr>
                <w:sz w:val="20"/>
                <w:szCs w:val="20"/>
                <w:color w:val="auto"/>
              </w:rPr>
            </w:pPr>
            <w:r>
              <w:rPr>
                <w:rFonts w:ascii="Arial" w:cs="Arial" w:eastAsia="Arial" w:hAnsi="Arial"/>
                <w:sz w:val="12"/>
                <w:szCs w:val="12"/>
                <w:color w:val="auto"/>
              </w:rPr>
              <w:t>MDPK 2007-4A</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03/2021 – D – 55817UAF7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2,000,000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2,000,000</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1,931,600</w:t>
            </w:r>
          </w:p>
        </w:tc>
      </w:tr>
      <w:tr>
        <w:trPr>
          <w:trHeight w:val="170"/>
        </w:trPr>
        <w:tc>
          <w:tcPr>
            <w:tcW w:w="218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TRAL 2007-1A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Floating – 04/2022 – C – 89288BAG6</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3,000,000</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3,000,000</w:t>
            </w:r>
          </w:p>
        </w:tc>
        <w:tc>
          <w:tcPr>
            <w:tcW w:w="1140" w:type="dxa"/>
            <w:vAlign w:val="bottom"/>
            <w:gridSpan w:val="3"/>
          </w:tcPr>
          <w:p>
            <w:pPr>
              <w:jc w:val="right"/>
              <w:ind w:right="40"/>
              <w:spacing w:after="0"/>
              <w:rPr>
                <w:sz w:val="20"/>
                <w:szCs w:val="20"/>
                <w:color w:val="auto"/>
              </w:rPr>
            </w:pPr>
            <w:r>
              <w:rPr>
                <w:rFonts w:ascii="Arial" w:cs="Arial" w:eastAsia="Arial" w:hAnsi="Arial"/>
                <w:sz w:val="14"/>
                <w:szCs w:val="14"/>
                <w:color w:val="auto"/>
              </w:rPr>
              <w:t>2,924,700</w:t>
            </w:r>
          </w:p>
        </w:tc>
      </w:tr>
      <w:tr>
        <w:trPr>
          <w:trHeight w:val="170"/>
        </w:trPr>
        <w:tc>
          <w:tcPr>
            <w:tcW w:w="218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2"/>
                <w:szCs w:val="12"/>
                <w:color w:val="auto"/>
              </w:rPr>
              <w:t>TRAL 2007-1A</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04/2022 – D – 89288AAA1</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1,000,000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1,000,000</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975,500</w:t>
            </w:r>
          </w:p>
        </w:tc>
      </w:tr>
      <w:tr>
        <w:trPr>
          <w:trHeight w:val="119"/>
        </w:trPr>
        <w:tc>
          <w:tcPr>
            <w:tcW w:w="2180" w:type="dxa"/>
            <w:vAlign w:val="bottom"/>
            <w:tcBorders>
              <w:top w:val="single" w:sz="8" w:color="CCEEFF"/>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Total Investment in CLO Rated</w:t>
            </w:r>
          </w:p>
        </w:tc>
        <w:tc>
          <w:tcPr>
            <w:tcW w:w="160" w:type="dxa"/>
            <w:vAlign w:val="bottom"/>
            <w:tcBorders>
              <w:top w:val="single" w:sz="8" w:color="CCEEFF"/>
            </w:tcBorders>
          </w:tcPr>
          <w:p>
            <w:pPr>
              <w:spacing w:after="0"/>
              <w:rPr>
                <w:sz w:val="10"/>
                <w:szCs w:val="10"/>
                <w:color w:val="auto"/>
              </w:rPr>
            </w:pPr>
          </w:p>
        </w:tc>
        <w:tc>
          <w:tcPr>
            <w:tcW w:w="24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Notes</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6,000,000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6,000,000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5,831,800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1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$ 181,174,493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8"/>
              </w:rPr>
              <w:t>$  176,684,976</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1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-513715</wp:posOffset>
            </wp:positionV>
            <wp:extent cx="5213985" cy="2057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Investment in a Collateralized Loan Obligation Fund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Loan on non-accrual status</w:t>
      </w:r>
    </w:p>
    <w:p>
      <w:pPr>
        <w:spacing w:after="0" w:line="200" w:lineRule="exact"/>
        <w:rPr>
          <w:sz w:val="20"/>
          <w:szCs w:val="20"/>
          <w:color w:val="auto"/>
        </w:rPr>
      </w:pPr>
    </w:p>
    <w:p>
      <w:pPr>
        <w:spacing w:after="0" w:line="34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0" w:name="page161"/>
    <w:bookmarkEnd w:id="16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AdvancePierre Foods, Inc.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$ 2,469,655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$ 2,484,379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2,465,790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Allison Transmission,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4,720,274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4,688,227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4,698,160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Aramark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U.S. Term F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2/21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2,526,481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2,443,445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2,506,484</w:t>
            </w:r>
          </w:p>
        </w:tc>
        <w:tc>
          <w:tcPr>
            <w:tcW w:w="0" w:type="dxa"/>
            <w:vAlign w:val="bottom"/>
          </w:tcPr>
          <w:p>
            <w:pPr>
              <w:spacing w:after="0"/>
              <w:rPr>
                <w:sz w:val="1"/>
                <w:szCs w:val="1"/>
                <w:color w:val="auto"/>
              </w:rPr>
            </w:pPr>
          </w:p>
        </w:tc>
      </w:tr>
      <w:tr>
        <w:trPr>
          <w:trHeight w:val="190"/>
        </w:trPr>
        <w:tc>
          <w:tcPr>
            <w:tcW w:w="2900" w:type="dxa"/>
            <w:vAlign w:val="bottom"/>
          </w:tcPr>
          <w:p>
            <w:pPr>
              <w:ind w:left="20"/>
              <w:spacing w:after="0" w:line="190" w:lineRule="exact"/>
              <w:rPr>
                <w:sz w:val="20"/>
                <w:szCs w:val="20"/>
                <w:color w:val="auto"/>
              </w:rPr>
            </w:pPr>
            <w:r>
              <w:rPr>
                <w:rFonts w:ascii="Arial" w:cs="Arial" w:eastAsia="Arial" w:hAnsi="Arial"/>
                <w:sz w:val="14"/>
                <w:szCs w:val="14"/>
                <w:color w:val="auto"/>
              </w:rPr>
              <w:t>Armstrong World Industries, Inc.</w:t>
            </w:r>
            <w:r>
              <w:rPr>
                <w:rFonts w:ascii="Arial" w:cs="Arial" w:eastAsia="Arial" w:hAnsi="Arial"/>
                <w:sz w:val="22"/>
                <w:szCs w:val="22"/>
                <w:color w:val="auto"/>
                <w:vertAlign w:val="superscript"/>
              </w:rPr>
              <w:t>(3)</w:t>
            </w:r>
          </w:p>
        </w:tc>
        <w:tc>
          <w:tcPr>
            <w:tcW w:w="160" w:type="dxa"/>
            <w:vAlign w:val="bottom"/>
          </w:tcPr>
          <w:p>
            <w:pPr>
              <w:spacing w:after="0"/>
              <w:rPr>
                <w:sz w:val="16"/>
                <w:szCs w:val="16"/>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Term Loan B —</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00" w:type="dxa"/>
            <w:vAlign w:val="bottom"/>
          </w:tcPr>
          <w:p>
            <w:pPr>
              <w:ind w:left="200"/>
              <w:spacing w:after="0" w:line="188"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1"/>
                <w:szCs w:val="21"/>
                <w:color w:val="auto"/>
                <w:vertAlign w:val="superscript"/>
              </w:rPr>
              <w:t>(3)</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972,500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972,500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967,638</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Ascena Retail Group, Inc. (Anntaylor Retail,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1,846,016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1,880,000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Asurion, LLC (fka Asurion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Tranche B-1</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Insurance</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1,121,067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1,095,258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1,053,456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Avis Budget Car Rental,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1,544,939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1,534,683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1,543,324</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Belfor USA Group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1,611,699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1,615,203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1,601,626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Berry Plastics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E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Containers, Packaging and Glass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2,591,612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2,507,141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2,559,386</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5"/>
              </w:rPr>
              <w:t>Burlington Coat Factory Warehouse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2,321,888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2,290,743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2,298,669</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Capital Automotive L.P.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Tranche B-1 Term Loan Facility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1,267,378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1,260,465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1,268,170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Capsugel Holdings US,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721,164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719,601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710,123</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Cedar Fair, L.P.</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U.S. Term Facility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966,429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964,983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969,449</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Celanese US Holdings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Dollar Term C-3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1,251,599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1,214,068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1,254,509</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Cequel Communications,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2/19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1,879,918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1,871,491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1,854,070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Charter Communications Operating, LLC (aka</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CCO Safari LLC)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F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1,483,706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1,475,779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1,457,370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Incremental 2018 Term F Loans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3.7%</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1,209,226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258,686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1,195,368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9"/>
              </w:rPr>
              <w:t>Incremental 2019 Term G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1,062,209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1,059,907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1,038,145</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Incremental 2021 Term H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2,160,738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2,137,064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2,131,415</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Ciena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2,977,387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2,992,956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2,953,195</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Commscope,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4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261,875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262,083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261,057</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Consolidated Communications,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2,917,802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2,898,785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2,903,227</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Container Store, Inc., The</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Facility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1,678,935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1,682,649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1,553,015</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ConvaTec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Dollar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1,162,658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1,165,259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1,145,223</w:t>
            </w: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20"/>
              <w:spacing w:after="0" w:line="162" w:lineRule="exact"/>
              <w:rPr>
                <w:sz w:val="20"/>
                <w:szCs w:val="20"/>
                <w:color w:val="auto"/>
              </w:rPr>
            </w:pPr>
            <w:r>
              <w:rPr>
                <w:rFonts w:ascii="Arial" w:cs="Arial" w:eastAsia="Arial" w:hAnsi="Arial"/>
                <w:sz w:val="12"/>
                <w:szCs w:val="12"/>
                <w:color w:val="auto"/>
              </w:rPr>
              <w:t>Crown Castle Operating Company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7"/>
              </w:rPr>
              <w:t>Extended Incremental Tranche B-2</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900" w:type="dxa"/>
            <w:vAlign w:val="bottom"/>
            <w:vMerge w:val="restart"/>
            <w:shd w:val="clear" w:color="auto" w:fill="CCEEFF"/>
          </w:tcPr>
          <w:p>
            <w:pPr>
              <w:ind w:left="200"/>
              <w:spacing w:after="0" w:line="256" w:lineRule="exact"/>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16" w:lineRule="exact"/>
              <w:rPr>
                <w:sz w:val="20"/>
                <w:szCs w:val="20"/>
                <w:color w:val="auto"/>
              </w:rPr>
            </w:pPr>
            <w:r>
              <w:rPr>
                <w:rFonts w:ascii="Arial" w:cs="Arial" w:eastAsia="Arial" w:hAnsi="Arial"/>
                <w:sz w:val="13"/>
                <w:szCs w:val="13"/>
                <w:color w:val="auto"/>
              </w:rPr>
              <w:t>Term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90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w w:val="93"/>
              </w:rPr>
              <w:t>3.0%</w:t>
            </w:r>
          </w:p>
        </w:tc>
        <w:tc>
          <w:tcPr>
            <w:tcW w:w="1820" w:type="dxa"/>
            <w:vAlign w:val="bottom"/>
            <w:tcBorders>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4"/>
                <w:szCs w:val="14"/>
                <w:color w:val="auto"/>
              </w:rPr>
              <w:t>Cash, Due 1/21</w:t>
            </w:r>
          </w:p>
        </w:tc>
        <w:tc>
          <w:tcPr>
            <w:tcW w:w="940" w:type="dxa"/>
            <w:vAlign w:val="bottom"/>
            <w:tcBorders>
              <w:bottom w:val="single" w:sz="8" w:color="CCEEFF"/>
            </w:tcBorders>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2,888,746</w:t>
            </w:r>
          </w:p>
        </w:tc>
        <w:tc>
          <w:tcPr>
            <w:tcW w:w="940" w:type="dxa"/>
            <w:vAlign w:val="bottom"/>
            <w:tcBorders>
              <w:bottom w:val="single" w:sz="8" w:color="CCEEFF"/>
            </w:tcBorders>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2,878,350</w:t>
            </w:r>
          </w:p>
        </w:tc>
        <w:tc>
          <w:tcPr>
            <w:tcW w:w="1060" w:type="dxa"/>
            <w:vAlign w:val="bottom"/>
            <w:tcBorders>
              <w:bottom w:val="single" w:sz="8" w:color="CCEEFF"/>
            </w:tcBorders>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2,881,235</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David’s Bridal,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477,723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475,142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397,942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1" w:name="page162"/>
    <w:bookmarkEnd w:id="16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Dealer Computer Services, Inc. (Reynolds &amp;</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Reynolds)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2.4%</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$ 2,242,828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$ 2,242,828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2,242,827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Delta 2 (Lux) S.a r.l (aka Formula One)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Facility B3 (USD)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3,421,774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3,400,280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3,319,121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Delta Air Lines,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2014 Term B-2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2.7%</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3,402,908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3,406,970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3,397,583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Dex Media West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8.0%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695,444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692,438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379,017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DJO Finance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1,955,250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1,980,808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1,908,813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Drumm Investors LLC (aka Golden Living)</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3,731,318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3,718,832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3,689,341</w:t>
            </w:r>
          </w:p>
        </w:tc>
      </w:tr>
      <w:tr>
        <w:trPr>
          <w:trHeight w:val="170"/>
        </w:trPr>
        <w:tc>
          <w:tcPr>
            <w:tcW w:w="29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Education Management II LLC</w:t>
            </w:r>
            <w:r>
              <w:rPr>
                <w:rFonts w:ascii="Arial" w:cs="Arial" w:eastAsia="Arial" w:hAnsi="Arial"/>
                <w:sz w:val="19"/>
                <w:szCs w:val="19"/>
                <w:color w:val="auto"/>
                <w:vertAlign w:val="superscript"/>
              </w:rPr>
              <w:t>(2)</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Tranche A Term Loan —</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200,289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201,304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50,071</w:t>
            </w:r>
          </w:p>
        </w:tc>
      </w:tr>
      <w:tr>
        <w:trPr>
          <w:trHeight w:val="170"/>
        </w:trPr>
        <w:tc>
          <w:tcPr>
            <w:tcW w:w="2900" w:type="dxa"/>
            <w:vAlign w:val="bottom"/>
          </w:tcPr>
          <w:p>
            <w:pPr>
              <w:ind w:left="20"/>
              <w:spacing w:after="0" w:line="171" w:lineRule="exact"/>
              <w:rPr>
                <w:sz w:val="20"/>
                <w:szCs w:val="20"/>
                <w:color w:val="auto"/>
              </w:rPr>
            </w:pPr>
            <w:r>
              <w:rPr>
                <w:rFonts w:ascii="Arial" w:cs="Arial" w:eastAsia="Arial" w:hAnsi="Arial"/>
                <w:sz w:val="12"/>
                <w:szCs w:val="12"/>
                <w:color w:val="auto"/>
              </w:rPr>
              <w:t>Education Management II LLC</w:t>
            </w:r>
            <w:r>
              <w:rPr>
                <w:rFonts w:ascii="Arial" w:cs="Arial" w:eastAsia="Arial" w:hAnsi="Arial"/>
                <w:sz w:val="19"/>
                <w:szCs w:val="19"/>
                <w:color w:val="auto"/>
                <w:vertAlign w:val="superscript"/>
              </w:rPr>
              <w:t>(2)</w:t>
            </w:r>
          </w:p>
        </w:tc>
        <w:tc>
          <w:tcPr>
            <w:tcW w:w="16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Tranche B Term Loan —</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8.5%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350,666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352,357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37,872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Envigo Laboratories, Inc. (fka BPA Laboratories</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1,743,896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1,663,494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1,409,286</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6"/>
              </w:rPr>
              <w:t>Envigo Laboratories, Inc. (fka BPA Laboratories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(Second Lien)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1,516,318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1,446,409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1,232,009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Essential Power,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932,448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925,235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921,668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FCA US LLC (fka Chrysler Group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B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3,067,549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2,960,527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3,061,797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Federal-Mogul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(2014)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1,566,456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1,529,147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1,415,191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Fender Musical Instruments Corporation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Initial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1,884,150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1,874,862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1,867,664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First Data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2018 New Dollar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Banking, Finance, Insurance &amp; Real Estate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2,903,500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2,900,493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2,870,632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First Data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2022B Dollar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Banking, Finance, Insurance &amp; Real Estate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4.2%</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2,546,500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2,546,500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2,513,714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Gardner Denver,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Dollar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2,232,868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2,184,383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2,016,838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General Nutrition Centers,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7"/>
              </w:rPr>
              <w:t>Amended 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870,762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873,222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848,997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Getty Images,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2,894,196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1,847,850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Harland Clarke Holdings Corp. (fka Clarke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American Corp.)</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B-2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5.9%</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2,414,520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2,417,333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2,342,084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Harland Clarke Holdings Corp. (fka Clarke</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American Corp.)</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B-3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7.0%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943,396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943,396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940,472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HCA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B-4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3.4%</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2,932,500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2,893,337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2,932,515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HCR Healthcare,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476,250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474,710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452,142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Hertz Corporation, The</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B-1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3,894,660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3,894,343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3,891,252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Hertz Corporation, The</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B-2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953,050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950,930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946,198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Huntsman International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2015 Extended Term B</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Chemicals, Plastics and Rubber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Dollar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2,719,781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2,610,970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2,678,304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Ineos US Finance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2020 Dollar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6,376,839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6,398,337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6,137,707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Infor (US), Inc. (fka Lawson Software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B-5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2,352,008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2,363,429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2,214,321</w:t>
            </w: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2" w:name="page163"/>
    <w:bookmarkEnd w:id="16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Integra Telecom Holdings, Inc.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Term B-1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416,454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417,393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404,377</w:t>
            </w:r>
          </w:p>
        </w:tc>
        <w:tc>
          <w:tcPr>
            <w:tcW w:w="0" w:type="dxa"/>
            <w:vAlign w:val="bottom"/>
          </w:tcPr>
          <w:p>
            <w:pPr>
              <w:spacing w:after="0"/>
              <w:rPr>
                <w:sz w:val="1"/>
                <w:szCs w:val="1"/>
                <w:color w:val="auto"/>
              </w:rPr>
            </w:pPr>
          </w:p>
        </w:tc>
      </w:tr>
      <w:tr>
        <w:trPr>
          <w:trHeight w:val="170"/>
        </w:trPr>
        <w:tc>
          <w:tcPr>
            <w:tcW w:w="2900" w:type="dxa"/>
            <w:vAlign w:val="bottom"/>
          </w:tcPr>
          <w:p>
            <w:pPr>
              <w:ind w:left="20"/>
              <w:spacing w:after="0" w:line="171" w:lineRule="exact"/>
              <w:rPr>
                <w:sz w:val="20"/>
                <w:szCs w:val="20"/>
                <w:color w:val="auto"/>
              </w:rPr>
            </w:pPr>
            <w:r>
              <w:rPr>
                <w:rFonts w:ascii="Arial" w:cs="Arial" w:eastAsia="Arial" w:hAnsi="Arial"/>
                <w:sz w:val="12"/>
                <w:szCs w:val="12"/>
                <w:color w:val="auto"/>
              </w:rPr>
              <w:t>International Architectural Products, Inc.</w:t>
            </w:r>
            <w:r>
              <w:rPr>
                <w:rFonts w:ascii="Arial" w:cs="Arial" w:eastAsia="Arial" w:hAnsi="Arial"/>
                <w:sz w:val="19"/>
                <w:szCs w:val="19"/>
                <w:color w:val="auto"/>
                <w:vertAlign w:val="superscript"/>
              </w:rPr>
              <w:t>(2)</w:t>
            </w:r>
          </w:p>
        </w:tc>
        <w:tc>
          <w:tcPr>
            <w:tcW w:w="16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w w:val="97"/>
              </w:rPr>
              <w:t>Mining, Steel, Iron and Non-Precious Metals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0.0%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81,467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81,467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 Crew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3,880,774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3,883,610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2,528,324</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Jarden Corporation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 Tranche B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4,769,734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4,749,934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4,773,216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JBS USA,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861,507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860,028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859,353</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JMC Steel Group,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w w:val="97"/>
              </w:rPr>
              <w:t>Mining, Steel, Iron and Non-Precious Metals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1,293,564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1,291,965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1,251,524</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Jo-Ann Stores,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941,546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943,733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885,054</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KAR Auction Services,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B-1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3.1%</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679,145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680,354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679,430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KAR Auction Services,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B-2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3,407,047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3,453,066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3,402,788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Key Safety Systems,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1,364,058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1,340,031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1,329,956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Kronos Incorporated</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Incremental Term Loan</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Diversified/Conglomerate Service</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978,389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975,600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964,941</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Landry’s Inc. (fka Landry’s Restaurants,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1,538,848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1,548,166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1,533,324</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Las Vegas Sands,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Hotels, Motels, Inns, and Gaming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3,201,595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3,172,481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3,174,782</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Live Nation Entertainment,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B-1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472,878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471,316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472,434</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LPL Holdings,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2021 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1,930,500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1,921,055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1,901,543</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MCC Iowa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J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690,439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680,992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685,046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Mediacom Illinois, LLC (fka Mediacom</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Communications, LLC)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F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5,895,000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5,886,840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5,801,063</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National CineMedia, LLC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(2013)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3.2%</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995,545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996,250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NBTY,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B-2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3,391,643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3,392,700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3,351,791</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Arial" w:cs="Arial" w:eastAsia="Arial" w:hAnsi="Arial"/>
                <w:sz w:val="12"/>
                <w:szCs w:val="12"/>
                <w:color w:val="auto"/>
              </w:rPr>
              <w:t>NEP/NCP Holdco, Inc.</w:t>
            </w:r>
            <w:r>
              <w:rPr>
                <w:rFonts w:ascii="Arial" w:cs="Arial" w:eastAsia="Arial" w:hAnsi="Arial"/>
                <w:sz w:val="18"/>
                <w:szCs w:val="18"/>
                <w:color w:val="auto"/>
                <w:vertAlign w:val="superscript"/>
              </w:rPr>
              <w:t>-</w:t>
            </w:r>
          </w:p>
        </w:tc>
        <w:tc>
          <w:tcPr>
            <w:tcW w:w="16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Amendment No. 4 Incremental</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Broadcasting and Entertainment</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2,454,312</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2,435,744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2,313,189</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560" w:type="dxa"/>
            <w:vAlign w:val="bottom"/>
            <w:gridSpan w:val="2"/>
          </w:tcPr>
          <w:p>
            <w:pPr>
              <w:ind w:left="240"/>
              <w:spacing w:after="0" w:line="135" w:lineRule="exact"/>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line="135" w:lineRule="exact"/>
              <w:rPr>
                <w:sz w:val="20"/>
                <w:szCs w:val="20"/>
                <w:color w:val="auto"/>
              </w:rPr>
            </w:pPr>
            <w:r>
              <w:rPr>
                <w:rFonts w:ascii="Arial" w:cs="Arial" w:eastAsia="Arial" w:hAnsi="Arial"/>
                <w:sz w:val="14"/>
                <w:szCs w:val="14"/>
                <w:color w:val="auto"/>
              </w:rPr>
              <w:t>Cash, Due 1/20</w:t>
            </w: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Newsday,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3,984,627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3,989,720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3,989,608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Nielsen Finance LLC (VNU,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Class B-1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5,402,525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5,407,617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5,400,283</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NRG Energy,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(2013)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955,481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954,306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932,191</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OCI Beaumont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2,486,113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2,518,346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2,510,974</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Omnova Solutions,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B-1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359,276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358,928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358,827</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Onex Carestream Finance LP</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(First Lien 2013)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2,429,369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2,445,779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2,200,608</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Pacific Drilling S.A</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Oil and Gas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2,185,768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2,189,041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961,738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PetCo Animal Supplies,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5,328,526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5,297,286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5,321,359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3" w:name="page164"/>
    <w:bookmarkEnd w:id="16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0"/>
              </w:rPr>
              <w:t>Principal</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3"/>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Petroleum GEO-Services ASA (PGS Finance,</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Extended Term Loan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Oil and Gas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4,912,500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4,912,500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3,468,225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PQ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2014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4,916,982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4,915,840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4,887,013</w:t>
            </w:r>
          </w:p>
        </w:tc>
      </w:tr>
      <w:tr>
        <w:trPr>
          <w:trHeight w:val="170"/>
        </w:trPr>
        <w:tc>
          <w:tcPr>
            <w:tcW w:w="29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QCE, LLC (Quiznos)</w:t>
            </w:r>
            <w:r>
              <w:rPr>
                <w:rFonts w:ascii="Arial" w:cs="Arial" w:eastAsia="Arial" w:hAnsi="Arial"/>
                <w:sz w:val="19"/>
                <w:szCs w:val="19"/>
                <w:color w:val="auto"/>
                <w:vertAlign w:val="superscript"/>
              </w:rPr>
              <w:t>(2)</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Existing Term Loan —</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w w:val="98"/>
              </w:rPr>
              <w:t>Personal, Food and Miscellaneous Services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0.0%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9/20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449,499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449,486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59,932</w:t>
            </w:r>
          </w:p>
        </w:tc>
      </w:tr>
      <w:tr>
        <w:trPr>
          <w:trHeight w:val="203"/>
        </w:trPr>
        <w:tc>
          <w:tcPr>
            <w:tcW w:w="2900" w:type="dxa"/>
            <w:vAlign w:val="bottom"/>
          </w:tcPr>
          <w:p>
            <w:pPr>
              <w:ind w:left="20"/>
              <w:spacing w:after="0" w:line="202" w:lineRule="exact"/>
              <w:rPr>
                <w:sz w:val="20"/>
                <w:szCs w:val="20"/>
                <w:color w:val="auto"/>
              </w:rPr>
            </w:pPr>
            <w:r>
              <w:rPr>
                <w:rFonts w:ascii="Arial" w:cs="Arial" w:eastAsia="Arial" w:hAnsi="Arial"/>
                <w:sz w:val="14"/>
                <w:szCs w:val="14"/>
                <w:color w:val="auto"/>
              </w:rPr>
              <w:t>Quikrete Holdings, Inc.</w:t>
            </w:r>
            <w:r>
              <w:rPr>
                <w:rFonts w:ascii="Arial" w:cs="Arial" w:eastAsia="Arial" w:hAnsi="Arial"/>
                <w:sz w:val="23"/>
                <w:szCs w:val="23"/>
                <w:color w:val="auto"/>
                <w:vertAlign w:val="superscript"/>
              </w:rPr>
              <w:t>(3)</w:t>
            </w:r>
          </w:p>
        </w:tc>
        <w:tc>
          <w:tcPr>
            <w:tcW w:w="160" w:type="dxa"/>
            <w:vAlign w:val="bottom"/>
          </w:tcPr>
          <w:p>
            <w:pPr>
              <w:spacing w:after="0"/>
              <w:rPr>
                <w:sz w:val="17"/>
                <w:szCs w:val="17"/>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Initial Loan (First Lien)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6"/>
        </w:trPr>
        <w:tc>
          <w:tcPr>
            <w:tcW w:w="2900" w:type="dxa"/>
            <w:vAlign w:val="bottom"/>
          </w:tcPr>
          <w:p>
            <w:pPr>
              <w:ind w:left="200"/>
              <w:spacing w:after="0" w:line="176"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0"/>
                <w:szCs w:val="20"/>
                <w:color w:val="auto"/>
                <w:vertAlign w:val="superscript"/>
              </w:rPr>
              <w:t>(3)</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9/20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2,230,000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2,218,850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2,208,748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R.H. Donnelley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9.8%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4/22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421,935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420,869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181,565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Regal Cinemas Corporation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963,677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969,660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962,728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Revlon Consumer Products Corporation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Replacement Term Loan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4,480,361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4,498,987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4,476,150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Reynolds Group Holdings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U.S.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Containers, Packaging and Glass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2,058,619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2,058,619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2,042,109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RGIS Services,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C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11/18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2,597,871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2,569,219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1,850,983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RPI Finance Trust</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2,487,277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2,506,353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2,483,385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Schaeffler AG (formerly named INA</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Beteiligungsgesellschaft mit beschränkter</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Haftung)</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Facility B-USD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1,015,385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1,020,391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1,018,685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Select Medical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Series E Tranche B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2,104,406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2,092,431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2,091,254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Semiconductor Components Industries, LLC (On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Semiconductor)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2.1%</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10/21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4,593,750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4,537,373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4,455,938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0"/>
              </w:rPr>
              <w:t>Sensata Technologies B.V. (Sensata Technologies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Finance Company, LLC)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Sixth Amendment Term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560,135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556,355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551,851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Sinclair Television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New Tranche B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9/19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66,983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66,865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Steinway Musical Instruments,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(First Lien)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1,985,239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1,972,500</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Telesat Canada</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U.S. Term B-2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2,960,078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2,937,884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2,920,605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TPF Generation Holdings,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188,393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182,268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168,611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TransDigm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C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3,791,455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3,742,603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3,708,251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Tronox Pigments (Netherlands) B. V.</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2,499,471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2,487,925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2,224,005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TWCC Holding Corp.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B-1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2,924,754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2,905,902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2,926,318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Univision Communications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Replacement First-Lien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Broadcasting and Entertainment</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3,239,279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3,218,251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3,176,113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UPC Financing Partnership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Facility AH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6/21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704,142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688,517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Valeant Pharmaceuticals International,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Series C-2 Tranche B Term</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Healthcare, Education and Childcare</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1,389,000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1,343,190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1,344,205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Vertafore,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(2013)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892,097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892,097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885,964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VFH Parent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(2013)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985,103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994,592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980,177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Walter Investment Management Corp.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2,454,158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2,445,426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2,124,393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WESCO Distribution,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B-1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6/18</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249,643</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248,233</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248,551</w:t>
            </w: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4" w:name="page165"/>
    <w:bookmarkEnd w:id="16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tcPr>
          <w:p>
            <w:pPr>
              <w:ind w:left="8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2220" w:type="dxa"/>
            <w:vAlign w:val="bottom"/>
            <w:tcBorders>
              <w:bottom w:val="single" w:sz="8" w:color="auto"/>
            </w:tcBorders>
          </w:tcPr>
          <w:p>
            <w:pPr>
              <w:ind w:left="4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Principal</w:t>
            </w:r>
          </w:p>
        </w:tc>
        <w:tc>
          <w:tcPr>
            <w:tcW w:w="200" w:type="dxa"/>
            <w:vAlign w:val="bottom"/>
          </w:tcPr>
          <w:p>
            <w:pPr>
              <w:spacing w:after="0"/>
              <w:rPr>
                <w:sz w:val="16"/>
                <w:szCs w:val="16"/>
                <w:color w:val="auto"/>
              </w:rPr>
            </w:pP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6"/>
                <w:szCs w:val="16"/>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76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West Corporation</w:t>
            </w:r>
          </w:p>
        </w:tc>
        <w:tc>
          <w:tcPr>
            <w:tcW w:w="160" w:type="dxa"/>
            <w:vAlign w:val="bottom"/>
            <w:shd w:val="clear" w:color="auto" w:fill="CCEEFF"/>
          </w:tcPr>
          <w:p>
            <w:pPr>
              <w:spacing w:after="0"/>
              <w:rPr>
                <w:sz w:val="10"/>
                <w:szCs w:val="10"/>
                <w:color w:val="auto"/>
              </w:rPr>
            </w:pPr>
          </w:p>
        </w:tc>
        <w:tc>
          <w:tcPr>
            <w:tcW w:w="2220" w:type="dxa"/>
            <w:vAlign w:val="bottom"/>
            <w:shd w:val="clear" w:color="auto" w:fill="CCEEFF"/>
          </w:tcPr>
          <w:p>
            <w:pPr>
              <w:ind w:left="100"/>
              <w:spacing w:after="0" w:line="123" w:lineRule="exact"/>
              <w:rPr>
                <w:sz w:val="20"/>
                <w:szCs w:val="20"/>
                <w:color w:val="auto"/>
              </w:rPr>
            </w:pPr>
            <w:r>
              <w:rPr>
                <w:rFonts w:ascii="Arial" w:cs="Arial" w:eastAsia="Arial" w:hAnsi="Arial"/>
                <w:sz w:val="14"/>
                <w:szCs w:val="14"/>
                <w:color w:val="auto"/>
              </w:rPr>
              <w:t>Term B-10 Loan —</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16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3.3% Cash, Due 7/17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3,776,796</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3,756,691</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3,722,844</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WideOpenWest Finance, LLC</w:t>
            </w:r>
          </w:p>
        </w:tc>
        <w:tc>
          <w:tcPr>
            <w:tcW w:w="160" w:type="dxa"/>
            <w:vAlign w:val="bottom"/>
          </w:tcPr>
          <w:p>
            <w:pPr>
              <w:spacing w:after="0"/>
              <w:rPr>
                <w:sz w:val="11"/>
                <w:szCs w:val="11"/>
                <w:color w:val="auto"/>
              </w:rPr>
            </w:pP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Term B-1 Loan 2013 —</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160" w:type="dxa"/>
            <w:vAlign w:val="bottom"/>
          </w:tcPr>
          <w:p>
            <w:pPr>
              <w:spacing w:after="0"/>
              <w:rPr>
                <w:sz w:val="14"/>
                <w:szCs w:val="14"/>
                <w:color w:val="auto"/>
              </w:rPr>
            </w:pPr>
          </w:p>
        </w:tc>
        <w:tc>
          <w:tcPr>
            <w:tcW w:w="2220" w:type="dxa"/>
            <w:vAlign w:val="bottom"/>
          </w:tcPr>
          <w:p>
            <w:pPr>
              <w:ind w:left="100"/>
              <w:spacing w:after="0"/>
              <w:rPr>
                <w:sz w:val="20"/>
                <w:szCs w:val="20"/>
                <w:color w:val="auto"/>
              </w:rPr>
            </w:pPr>
            <w:r>
              <w:rPr>
                <w:rFonts w:ascii="Arial" w:cs="Arial" w:eastAsia="Arial" w:hAnsi="Arial"/>
                <w:sz w:val="14"/>
                <w:szCs w:val="14"/>
                <w:color w:val="auto"/>
              </w:rPr>
              <w:t>3.8% Cash, Due 8/19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4,724,229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4,740,543</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4,598,234</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Windstream Services, LLC (fka Windstream</w:t>
            </w:r>
          </w:p>
        </w:tc>
        <w:tc>
          <w:tcPr>
            <w:tcW w:w="1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Corporation)</w:t>
            </w:r>
          </w:p>
        </w:tc>
        <w:tc>
          <w:tcPr>
            <w:tcW w:w="16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Tranche B-5 Term Loan —</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16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3.5% Cash, Due 2/17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5,954,430</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5,954,430</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5,801,848</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WireCo WorldGroup Inc.</w:t>
            </w:r>
          </w:p>
        </w:tc>
        <w:tc>
          <w:tcPr>
            <w:tcW w:w="1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tcPr>
          <w:p>
            <w:pPr>
              <w:spacing w:after="0"/>
              <w:rPr>
                <w:sz w:val="12"/>
                <w:szCs w:val="12"/>
                <w:color w:val="auto"/>
              </w:rPr>
            </w:pPr>
          </w:p>
        </w:tc>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160" w:type="dxa"/>
            <w:vAlign w:val="bottom"/>
          </w:tcPr>
          <w:p>
            <w:pPr>
              <w:spacing w:after="0"/>
              <w:rPr>
                <w:sz w:val="14"/>
                <w:szCs w:val="14"/>
                <w:color w:val="auto"/>
              </w:rPr>
            </w:pPr>
          </w:p>
        </w:tc>
        <w:tc>
          <w:tcPr>
            <w:tcW w:w="2220" w:type="dxa"/>
            <w:vAlign w:val="bottom"/>
          </w:tcPr>
          <w:p>
            <w:pPr>
              <w:ind w:left="100"/>
              <w:spacing w:after="0"/>
              <w:rPr>
                <w:sz w:val="20"/>
                <w:szCs w:val="20"/>
                <w:color w:val="auto"/>
              </w:rPr>
            </w:pPr>
            <w:r>
              <w:rPr>
                <w:rFonts w:ascii="Arial" w:cs="Arial" w:eastAsia="Arial" w:hAnsi="Arial"/>
                <w:sz w:val="14"/>
                <w:szCs w:val="14"/>
                <w:color w:val="auto"/>
              </w:rPr>
              <w:t>6.0% Cash, Due 2/20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1,829,576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1,825,076</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1,767,828</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Zuffa, LLC</w:t>
            </w:r>
          </w:p>
        </w:tc>
        <w:tc>
          <w:tcPr>
            <w:tcW w:w="1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16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3.8% Cash, Due 6/19</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2,294,791</w:t>
            </w:r>
          </w:p>
        </w:tc>
        <w:tc>
          <w:tcPr>
            <w:tcW w:w="20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2,287,980</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2,242,011</w:t>
            </w:r>
          </w:p>
        </w:tc>
      </w:tr>
      <w:tr>
        <w:trPr>
          <w:trHeight w:val="20"/>
        </w:trPr>
        <w:tc>
          <w:tcPr>
            <w:tcW w:w="2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27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Total Investment in Debt Securities</w:t>
            </w:r>
          </w:p>
        </w:tc>
        <w:tc>
          <w:tcPr>
            <w:tcW w:w="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246,578,754</w:t>
            </w: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244,325,246</w:t>
            </w:r>
          </w:p>
        </w:tc>
        <w:tc>
          <w:tcPr>
            <w:tcW w:w="110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234,403,150</w:t>
            </w:r>
          </w:p>
        </w:tc>
      </w:tr>
      <w:tr>
        <w:trPr>
          <w:trHeight w:val="20"/>
        </w:trPr>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9"/>
                <w:szCs w:val="19"/>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Equity Investment</w:t>
            </w:r>
          </w:p>
        </w:tc>
        <w:tc>
          <w:tcPr>
            <w:tcW w:w="16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20"/>
                <w:szCs w:val="20"/>
                <w:b w:val="1"/>
                <w:bCs w:val="1"/>
                <w:color w:val="auto"/>
                <w:w w:val="97"/>
                <w:vertAlign w:val="superscript"/>
              </w:rPr>
              <w:t>(2)</w:t>
            </w:r>
          </w:p>
        </w:tc>
      </w:tr>
      <w:tr>
        <w:trPr>
          <w:trHeight w:val="183"/>
        </w:trPr>
        <w:tc>
          <w:tcPr>
            <w:tcW w:w="2960" w:type="dxa"/>
            <w:vAlign w:val="bottom"/>
            <w:shd w:val="clear" w:color="auto" w:fill="CCEEFF"/>
          </w:tcPr>
          <w:p>
            <w:pPr>
              <w:ind w:left="20"/>
              <w:spacing w:after="0" w:line="183" w:lineRule="exact"/>
              <w:rPr>
                <w:sz w:val="20"/>
                <w:szCs w:val="20"/>
                <w:color w:val="auto"/>
              </w:rPr>
            </w:pPr>
            <w:r>
              <w:rPr>
                <w:rFonts w:ascii="Arial" w:cs="Arial" w:eastAsia="Arial" w:hAnsi="Arial"/>
                <w:sz w:val="13"/>
                <w:szCs w:val="13"/>
                <w:color w:val="auto"/>
              </w:rPr>
              <w:t>Education Management Corporation</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5"/>
                <w:szCs w:val="15"/>
                <w:color w:val="auto"/>
              </w:rPr>
            </w:pPr>
          </w:p>
        </w:tc>
        <w:tc>
          <w:tcPr>
            <w:tcW w:w="2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Series A-1 Preferred Shares</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2,670</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2,670</w:t>
            </w:r>
          </w:p>
        </w:tc>
      </w:tr>
      <w:tr>
        <w:trPr>
          <w:trHeight w:val="189"/>
        </w:trPr>
        <w:tc>
          <w:tcPr>
            <w:tcW w:w="2960" w:type="dxa"/>
            <w:vAlign w:val="bottom"/>
          </w:tcPr>
          <w:p>
            <w:pPr>
              <w:ind w:left="20"/>
              <w:spacing w:after="0" w:line="189" w:lineRule="exact"/>
              <w:rPr>
                <w:sz w:val="20"/>
                <w:szCs w:val="20"/>
                <w:color w:val="auto"/>
              </w:rPr>
            </w:pPr>
            <w:r>
              <w:rPr>
                <w:rFonts w:ascii="Arial" w:cs="Arial" w:eastAsia="Arial" w:hAnsi="Arial"/>
                <w:sz w:val="13"/>
                <w:szCs w:val="13"/>
                <w:color w:val="auto"/>
              </w:rPr>
              <w:t>QCE, LLC (Quiznos)</w:t>
            </w:r>
            <w:r>
              <w:rPr>
                <w:rFonts w:ascii="Arial" w:cs="Arial" w:eastAsia="Arial" w:hAnsi="Arial"/>
                <w:sz w:val="21"/>
                <w:szCs w:val="21"/>
                <w:color w:val="auto"/>
                <w:vertAlign w:val="superscript"/>
              </w:rPr>
              <w:t>(2)</w:t>
            </w:r>
          </w:p>
        </w:tc>
        <w:tc>
          <w:tcPr>
            <w:tcW w:w="160" w:type="dxa"/>
            <w:vAlign w:val="bottom"/>
          </w:tcPr>
          <w:p>
            <w:pPr>
              <w:spacing w:after="0"/>
              <w:rPr>
                <w:sz w:val="16"/>
                <w:szCs w:val="16"/>
                <w:color w:val="auto"/>
              </w:rPr>
            </w:pPr>
          </w:p>
        </w:tc>
        <w:tc>
          <w:tcPr>
            <w:tcW w:w="2160" w:type="dxa"/>
            <w:vAlign w:val="bottom"/>
          </w:tcPr>
          <w:p>
            <w:pPr>
              <w:ind w:left="80"/>
              <w:spacing w:after="0"/>
              <w:rPr>
                <w:sz w:val="20"/>
                <w:szCs w:val="20"/>
                <w:color w:val="auto"/>
              </w:rPr>
            </w:pPr>
            <w:r>
              <w:rPr>
                <w:rFonts w:ascii="Arial" w:cs="Arial" w:eastAsia="Arial" w:hAnsi="Arial"/>
                <w:sz w:val="14"/>
                <w:szCs w:val="14"/>
                <w:color w:val="auto"/>
              </w:rPr>
              <w:t>New Common Stock</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1,256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160</w:t>
            </w:r>
          </w:p>
        </w:tc>
      </w:tr>
      <w:tr>
        <w:trPr>
          <w:trHeight w:val="119"/>
        </w:trPr>
        <w:tc>
          <w:tcPr>
            <w:tcW w:w="29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Investment in Equity Securities (100% of</w:t>
            </w:r>
          </w:p>
        </w:tc>
        <w:tc>
          <w:tcPr>
            <w:tcW w:w="16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71"/>
        </w:trPr>
        <w:tc>
          <w:tcPr>
            <w:tcW w:w="29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net asset value at fair value)</w:t>
            </w:r>
          </w:p>
        </w:tc>
        <w:tc>
          <w:tcPr>
            <w:tcW w:w="1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2,830</w:t>
            </w:r>
          </w:p>
        </w:tc>
      </w:tr>
      <w:tr>
        <w:trPr>
          <w:trHeight w:val="20"/>
        </w:trPr>
        <w:tc>
          <w:tcPr>
            <w:tcW w:w="2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Portfolio Company</w:t>
            </w:r>
          </w:p>
        </w:tc>
        <w:tc>
          <w:tcPr>
            <w:tcW w:w="160" w:type="dxa"/>
            <w:vAlign w:val="bottom"/>
          </w:tcPr>
          <w:p>
            <w:pPr>
              <w:spacing w:after="0"/>
              <w:rPr>
                <w:sz w:val="13"/>
                <w:szCs w:val="13"/>
                <w:color w:val="auto"/>
              </w:rPr>
            </w:pPr>
          </w:p>
        </w:tc>
        <w:tc>
          <w:tcPr>
            <w:tcW w:w="248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CLO Investment</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Value</w:t>
            </w:r>
          </w:p>
        </w:tc>
      </w:tr>
      <w:tr>
        <w:trPr>
          <w:trHeight w:val="164"/>
        </w:trPr>
        <w:tc>
          <w:tcPr>
            <w:tcW w:w="2180" w:type="dxa"/>
            <w:vAlign w:val="bottom"/>
            <w:gridSpan w:val="3"/>
            <w:shd w:val="clear" w:color="auto" w:fill="CCEEFF"/>
          </w:tcPr>
          <w:p>
            <w:pPr>
              <w:ind w:left="20"/>
              <w:spacing w:after="0" w:line="164" w:lineRule="exact"/>
              <w:rPr>
                <w:sz w:val="20"/>
                <w:szCs w:val="20"/>
                <w:color w:val="auto"/>
              </w:rPr>
            </w:pPr>
            <w:r>
              <w:rPr>
                <w:rFonts w:ascii="Arial" w:cs="Arial" w:eastAsia="Arial" w:hAnsi="Arial"/>
                <w:sz w:val="12"/>
                <w:szCs w:val="12"/>
                <w:color w:val="auto"/>
              </w:rPr>
              <w:t>APID 2007-5A</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04/2021 – D – 03761XAG5</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963,108</w:t>
            </w:r>
          </w:p>
        </w:tc>
      </w:tr>
      <w:tr>
        <w:trPr>
          <w:trHeight w:val="170"/>
        </w:trPr>
        <w:tc>
          <w:tcPr>
            <w:tcW w:w="218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HLCNL 2007-2A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Floating – 04/2021 – D – 40537AAA3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2,968,134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2,902,077</w:t>
            </w:r>
          </w:p>
        </w:tc>
      </w:tr>
      <w:tr>
        <w:trPr>
          <w:trHeight w:val="170"/>
        </w:trPr>
        <w:tc>
          <w:tcPr>
            <w:tcW w:w="218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2"/>
                <w:szCs w:val="12"/>
                <w:color w:val="auto"/>
              </w:rPr>
              <w:t>MDPK 2007-4A</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03/2021 – D – 55817UAF7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1,869,623</w:t>
            </w:r>
          </w:p>
        </w:tc>
      </w:tr>
      <w:tr>
        <w:trPr>
          <w:trHeight w:val="170"/>
        </w:trPr>
        <w:tc>
          <w:tcPr>
            <w:tcW w:w="218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NAVIG 2007-2A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Floating – 04/2021 – D – 63937HAD0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2,910,373</w:t>
            </w:r>
          </w:p>
        </w:tc>
      </w:tr>
      <w:tr>
        <w:trPr>
          <w:trHeight w:val="170"/>
        </w:trPr>
        <w:tc>
          <w:tcPr>
            <w:tcW w:w="218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2"/>
                <w:szCs w:val="12"/>
                <w:color w:val="auto"/>
              </w:rPr>
              <w:t>TRAL 2007-1A</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04/2022 – C – 89288BAG6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2,778,118</w:t>
            </w:r>
          </w:p>
        </w:tc>
      </w:tr>
      <w:tr>
        <w:trPr>
          <w:trHeight w:val="170"/>
        </w:trPr>
        <w:tc>
          <w:tcPr>
            <w:tcW w:w="218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TRAL 2007-1A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Floating – 04/2022 – D – 89288AAA1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937,226</w:t>
            </w:r>
          </w:p>
        </w:tc>
      </w:tr>
      <w:tr>
        <w:trPr>
          <w:trHeight w:val="119"/>
        </w:trPr>
        <w:tc>
          <w:tcPr>
            <w:tcW w:w="2180" w:type="dxa"/>
            <w:vAlign w:val="bottom"/>
            <w:gridSpan w:val="3"/>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Investment in CLO Rated</w:t>
            </w:r>
          </w:p>
        </w:tc>
        <w:tc>
          <w:tcPr>
            <w:tcW w:w="160" w:type="dxa"/>
            <w:vAlign w:val="bottom"/>
            <w:shd w:val="clear" w:color="auto" w:fill="CCEEFF"/>
          </w:tcPr>
          <w:p>
            <w:pPr>
              <w:spacing w:after="0"/>
              <w:rPr>
                <w:sz w:val="10"/>
                <w:szCs w:val="10"/>
                <w:color w:val="auto"/>
              </w:rPr>
            </w:pPr>
          </w:p>
        </w:tc>
        <w:tc>
          <w:tcPr>
            <w:tcW w:w="2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right w:val="single" w:sz="8" w:color="CCEEFF"/>
            </w:tcBorders>
            <w:shd w:val="clear" w:color="auto" w:fill="CCEEFF"/>
          </w:tcPr>
          <w:p>
            <w:pPr>
              <w:spacing w:after="0"/>
              <w:rPr>
                <w:sz w:val="10"/>
                <w:szCs w:val="10"/>
                <w:color w:val="auto"/>
              </w:rPr>
            </w:pPr>
          </w:p>
        </w:tc>
      </w:tr>
      <w:tr>
        <w:trPr>
          <w:trHeight w:val="171"/>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12,968,134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12,360,525</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r>
      <w:tr>
        <w:trPr>
          <w:trHeight w:val="142"/>
        </w:trPr>
        <w:tc>
          <w:tcPr>
            <w:tcW w:w="21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259,578,754</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257,293,380</w:t>
            </w:r>
          </w:p>
        </w:tc>
        <w:tc>
          <w:tcPr>
            <w:tcW w:w="3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246,766,505</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Investment in a Collateralized Loan Obligation Fund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Loan on non-accrual status</w:t>
      </w:r>
    </w:p>
    <w:p>
      <w:pPr>
        <w:spacing w:after="0" w:line="117" w:lineRule="exact"/>
        <w:rPr>
          <w:rFonts w:ascii="Arial" w:cs="Arial" w:eastAsia="Arial" w:hAnsi="Arial"/>
          <w:sz w:val="18"/>
          <w:szCs w:val="18"/>
          <w:color w:val="auto"/>
        </w:rPr>
      </w:pPr>
    </w:p>
    <w:p>
      <w:pPr>
        <w:ind w:left="300" w:right="1199" w:hanging="272"/>
        <w:spacing w:after="0" w:line="277"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Buildings and real estate relate to real estate ownership, builders, managers and developers and excludes mortgage debt investments and mortgage lenders or originators.</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ind w:left="40" w:right="859" w:firstLine="270"/>
        <w:spacing w:after="0" w:line="312" w:lineRule="auto"/>
        <w:rPr>
          <w:sz w:val="20"/>
          <w:szCs w:val="20"/>
          <w:color w:val="auto"/>
        </w:rPr>
      </w:pPr>
      <w:r>
        <w:rPr>
          <w:rFonts w:ascii="Arial" w:cs="Arial" w:eastAsia="Arial" w:hAnsi="Arial"/>
          <w:sz w:val="16"/>
          <w:szCs w:val="16"/>
          <w:color w:val="auto"/>
        </w:rPr>
        <w:t>Katonah 2007-I CLO LTD. (the “Fund”) is an exempted company incorporated in November 15, 2006 with limited liability under the laws of the Cayman Islands for the sole purpose of investing in broadly syndicated loans, high-yield bonds and other credit instruments. The Fund is what is commonly known as a collateralized loan obligation fund (“CLO Fund”).</w:t>
      </w:r>
    </w:p>
    <w:p>
      <w:pPr>
        <w:spacing w:after="0" w:line="39"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 CLO Fund generally refers to a special purpose vehicle that owns a portfolio of investments and issues various tranches of debt and subordinated note securities to finance the purchase of those investments. Investments purchased by a CLO Fund are governed by extensive investment guidelines, including limits on exposure to any single industry or issuer and limits on the ratings of the CLO Fund’s assets. A CLO Fund has a defined investment period during which it is allowed to make investments or reinvest capital as it becomes available.</w:t>
      </w:r>
    </w:p>
    <w:p>
      <w:pPr>
        <w:spacing w:after="0" w:line="80"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A CLO Fund typically issues multiple tranches of debt and subordinated note securities with varying ratings and levels of subordination to finance the purchase of their underlying investments. Interest and principal payments (net of designated CLO Fund expenses) from the CLO Fund are paid to each issued security in accordance with an agreed upon priority of payments, commonly referred to as the “waterfall.” The most senior notes, generally rated AAA/Aaa, commonly represent the majority of the total liabilities of the CLO Fund. AAA/Aaa notes are issued at a specified spread over LIBOR and normally have the first claim on the earnings on the CLO Fund’s investments after payment of certain fees and expenses. Lower subordinated “mezzanine” tranches of rated notes generally have ratings ranging from AA/Aa to BB/Ba and are usually issued at a specified spread over LIBOR with higher spreads paid on the tranches with lower ratings. Each tranche is typically only entitled to a share of the earnings on the CLO Fund’s investments if the required interest and principal payments have been made on the more senior tranches in the waterfall. The most junior tranche can take the form of either subordinated notes or preferred shares. The subordinated notes or preferred shares generally do not have a stated coupon but are entitled to residual cash flows from the CLO Fund’s investments after all of the other tranches of notes and certain other fees and expenses are paid.</w:t>
      </w:r>
    </w:p>
    <w:p>
      <w:pPr>
        <w:spacing w:after="0" w:line="72"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On January 23, 2008, the Fund sold $323.9 million of notes or debt securities, consisting of Class A-1L Floating Rate Notes, Class A-2L Floating Rate Notes, Class A-3L Floating Rate Notes, Class B-1L Floating Rate Notes, Class B-2L Floating Rate Notes (“Class B-2L Notes”) and preferred shares. The notes were issued pursuant to an indenture, dated January 23, 2008 (the “Indenture”), with U.S. Bank National Association servicing as the trustee thereunder. KCAP Financial, Inc. (“KCAP Financial”) owns all of the preferred shares of Katonah 2007-I CLO LTD. The Fund’s defined investment period ended on April 22, 2014. Following the defined investment period, proceeds from principal payments in the investment portfolio of the Fund are used to pay down its outstanding notes, starting with Class A notes.</w:t>
      </w:r>
    </w:p>
    <w:p>
      <w:pPr>
        <w:spacing w:after="0" w:line="70"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Pursuant to a collateral management agreement (the “Collateral Management Agreement”), Katonah 2007-1 Management, L.L.C. (the “Manager”), which is an indirect wholly-owned portfolio company of KCAP Financial, provides investment management services to the Fund, and makes day-to-day investment decisions concerning the assets of the Fund. The Manager also performs certain administrative services on behalf of the Fund under the Collateral Management Agreement. The Manager is a registered investment adviser under the Investment Advisers Act of 1940.</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Accounting and Combination</w:t>
      </w:r>
    </w:p>
    <w:p>
      <w:pPr>
        <w:spacing w:after="0" w:line="121" w:lineRule="exact"/>
        <w:rPr>
          <w:sz w:val="20"/>
          <w:szCs w:val="20"/>
          <w:color w:val="auto"/>
        </w:rPr>
      </w:pPr>
    </w:p>
    <w:p>
      <w:pPr>
        <w:ind w:left="40" w:right="939" w:firstLine="270"/>
        <w:spacing w:after="0" w:line="257" w:lineRule="auto"/>
        <w:rPr>
          <w:sz w:val="20"/>
          <w:szCs w:val="20"/>
          <w:color w:val="auto"/>
        </w:rPr>
      </w:pPr>
      <w:r>
        <w:rPr>
          <w:rFonts w:ascii="Arial" w:cs="Arial" w:eastAsia="Arial" w:hAnsi="Arial"/>
          <w:sz w:val="18"/>
          <w:szCs w:val="18"/>
          <w:color w:val="auto"/>
        </w:rPr>
        <w:t>The financial statements of the Fund have been prepared in accordance with U.S. generally accepted accounting principles (“U.S. GAAP”). In the opinion of the Manager’s management, the financial statements of the Fund reflect all adjustments, consisting of normal recurring accruals, which are necessary for the fair presentation of the financial condition and results of operations for the periods presented. Furthermore, the preparation of the financial statements requires management to make significant estimates and assumptions</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919"/>
        <w:spacing w:after="0" w:line="277" w:lineRule="auto"/>
        <w:rPr>
          <w:sz w:val="20"/>
          <w:szCs w:val="20"/>
          <w:color w:val="auto"/>
        </w:rPr>
      </w:pPr>
      <w:r>
        <w:rPr>
          <w:rFonts w:ascii="Arial" w:cs="Arial" w:eastAsia="Arial" w:hAnsi="Arial"/>
          <w:sz w:val="18"/>
          <w:szCs w:val="18"/>
          <w:color w:val="auto"/>
        </w:rPr>
        <w:t>including the fair value of investments that do not have a readily available market value. Actual results could differ from those estimates, and the differences could be material.</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All of the investments held and notes issued by the Fund are presented at fair value in the Fund’s Statements of Net Assets.</w:t>
      </w:r>
    </w:p>
    <w:p>
      <w:pPr>
        <w:spacing w:after="0" w:line="14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i w:val="1"/>
          <w:iCs w:val="1"/>
          <w:color w:val="auto"/>
        </w:rPr>
        <w:t>Investments of the Fund at Fair Value</w:t>
      </w:r>
      <w:r>
        <w:rPr>
          <w:rFonts w:ascii="Arial" w:cs="Arial" w:eastAsia="Arial" w:hAnsi="Arial"/>
          <w:sz w:val="18"/>
          <w:szCs w:val="18"/>
          <w:color w:val="auto"/>
        </w:rPr>
        <w:t>. Investment transactions are recorded on the applicable trade date. Realized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are determined using the specific identification method. Investments held by the Fund are stated at fair value. ASC 820-10, Fair Value Measurements and Disclosures (“ASC 820-10”), requires among other things, disclosures about assets and liabilities that are measured and reported at fair value.</w:t>
      </w:r>
    </w:p>
    <w:p>
      <w:pPr>
        <w:spacing w:after="0" w:line="79"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i w:val="1"/>
          <w:iCs w:val="1"/>
          <w:color w:val="auto"/>
        </w:rPr>
        <w:t>Hierarchy of Fair Value Inputs</w:t>
      </w:r>
      <w:r>
        <w:rPr>
          <w:rFonts w:ascii="Arial" w:cs="Arial" w:eastAsia="Arial" w:hAnsi="Arial"/>
          <w:sz w:val="17"/>
          <w:szCs w:val="17"/>
          <w:color w:val="auto"/>
        </w:rPr>
        <w:t>. The provisions of ASC 820-10 establish a hierarchy that prioritizes inputs to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used to measure fair value and require companies to disclose the fair value of their financial instruments according to the fair value hierarchy (i.e., Level 1, 2 and 3 inputs, as defined). The fair value hierarchy gives the highest priority to quoted prices (unadjusted) in active markets for identical assets or liabilities and the lowest priority to unobservable inputs. Additionally, companies are required to provide additional disclosure regarding instruments in the Level 3 category (which have inputs to the valuation techniques that are unobservable and require significant management judgment), including a reconciliation of the beginning and ending balances separately for each major category of assets and liabilities.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Assets and liabilities measured and reported at fair value are classified and disclosed in one of the following categories: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1 Inputs: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Quoted prices (unadjusted) in active markets for identical assets or liabilities at the reporting date.</w:t>
      </w:r>
    </w:p>
    <w:p>
      <w:pPr>
        <w:spacing w:after="0" w:line="117" w:lineRule="exact"/>
        <w:rPr>
          <w:sz w:val="20"/>
          <w:szCs w:val="20"/>
          <w:color w:val="auto"/>
        </w:rPr>
      </w:pPr>
    </w:p>
    <w:p>
      <w:pPr>
        <w:ind w:left="320" w:right="3259" w:hanging="42"/>
        <w:spacing w:after="0" w:line="375" w:lineRule="auto"/>
        <w:tabs>
          <w:tab w:leader="none" w:pos="6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Level 1 assets may include listed mutual funds, ETFs, equities and certain derivatives. </w:t>
      </w:r>
      <w:r>
        <w:rPr>
          <w:rFonts w:ascii="Arial" w:cs="Arial" w:eastAsia="Arial" w:hAnsi="Arial"/>
          <w:sz w:val="18"/>
          <w:szCs w:val="18"/>
          <w:u w:val="single" w:color="auto"/>
          <w:color w:val="auto"/>
        </w:rPr>
        <w:t>Level 2 Inputs:</w:t>
      </w:r>
    </w:p>
    <w:p>
      <w:pPr>
        <w:spacing w:after="0" w:line="1" w:lineRule="exact"/>
        <w:rPr>
          <w:sz w:val="20"/>
          <w:szCs w:val="20"/>
          <w:color w:val="auto"/>
        </w:rPr>
      </w:pPr>
    </w:p>
    <w:p>
      <w:pPr>
        <w:ind w:left="320" w:right="599"/>
        <w:spacing w:after="0" w:line="259" w:lineRule="auto"/>
        <w:rPr>
          <w:sz w:val="20"/>
          <w:szCs w:val="20"/>
          <w:color w:val="auto"/>
        </w:rPr>
      </w:pPr>
      <w:r>
        <w:rPr>
          <w:rFonts w:ascii="Arial" w:cs="Arial" w:eastAsia="Arial" w:hAnsi="Arial"/>
          <w:sz w:val="18"/>
          <w:szCs w:val="18"/>
          <w:color w:val="auto"/>
        </w:rPr>
        <w:t>Quoted prices for similar assets or liabilities in active markets; quoted prices for identical or similar assets or liabilities that are not active; quotes from pricing services or brokers, for which the Manager can determine that orderly transactions took place at the quoted price or that the inputs used to arrive at the price were observable; and inputs other than quoted prices that are observable, such as models or other valuation methodologies.</w:t>
      </w:r>
    </w:p>
    <w:p>
      <w:pPr>
        <w:spacing w:after="0" w:line="79" w:lineRule="exact"/>
        <w:rPr>
          <w:sz w:val="20"/>
          <w:szCs w:val="20"/>
          <w:color w:val="auto"/>
        </w:rPr>
      </w:pPr>
    </w:p>
    <w:p>
      <w:pPr>
        <w:ind w:left="600" w:right="859" w:hanging="322"/>
        <w:spacing w:after="0" w:line="259"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2 assets in this category may include debt securities, bank loans, short-term floating rate notes and asset-backed securities, restricted public securities valued at a discount, as well as over the counter derivatives, including interest and inflation rate swaps and foreign currency exchange contracts that have inputs to the valuations that generally can be corroborated by observable market data.</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3 Inputs:</w:t>
      </w:r>
    </w:p>
    <w:p>
      <w:pPr>
        <w:spacing w:after="0" w:line="117" w:lineRule="exact"/>
        <w:rPr>
          <w:sz w:val="20"/>
          <w:szCs w:val="20"/>
          <w:color w:val="auto"/>
        </w:rPr>
      </w:pPr>
    </w:p>
    <w:p>
      <w:pPr>
        <w:ind w:left="320" w:right="739"/>
        <w:spacing w:after="0" w:line="264" w:lineRule="auto"/>
        <w:rPr>
          <w:sz w:val="20"/>
          <w:szCs w:val="20"/>
          <w:color w:val="auto"/>
        </w:rPr>
      </w:pPr>
      <w:r>
        <w:rPr>
          <w:rFonts w:ascii="Arial" w:cs="Arial" w:eastAsia="Arial" w:hAnsi="Arial"/>
          <w:sz w:val="18"/>
          <w:szCs w:val="18"/>
          <w:color w:val="auto"/>
        </w:rPr>
        <w:t>Unobservable inputs for the valuation of the asset or liability, which may include non-binding broker quotes. Level 3 assets include investments for which there is little, if any, market activity. These inputs require significant management judgment or estimation.</w:t>
      </w:r>
    </w:p>
    <w:p>
      <w:pPr>
        <w:spacing w:after="0" w:line="73" w:lineRule="exact"/>
        <w:rPr>
          <w:sz w:val="20"/>
          <w:szCs w:val="20"/>
          <w:color w:val="auto"/>
        </w:rPr>
      </w:pPr>
    </w:p>
    <w:p>
      <w:pPr>
        <w:ind w:left="600" w:right="559" w:hanging="322"/>
        <w:spacing w:after="0" w:line="312" w:lineRule="auto"/>
        <w:tabs>
          <w:tab w:leader="none" w:pos="6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Level 3 assets in this category may include general and limited partnership interests in private equity funds, funds of private equity funds, real estate funds, hedge funds, and funds of hedge funds, direct private equity investments held within consolidated funds, bank loans, bonds issued by CLO Funds and certain held for sale real estate disposal assets.</w:t>
      </w:r>
    </w:p>
    <w:p>
      <w:pPr>
        <w:spacing w:after="0" w:line="38" w:lineRule="exact"/>
        <w:rPr>
          <w:rFonts w:ascii="Arial" w:cs="Arial" w:eastAsia="Arial" w:hAnsi="Arial"/>
          <w:sz w:val="16"/>
          <w:szCs w:val="16"/>
          <w:color w:val="auto"/>
        </w:rPr>
      </w:pPr>
    </w:p>
    <w:p>
      <w:pPr>
        <w:ind w:left="600" w:right="619" w:hanging="322"/>
        <w:spacing w:after="0" w:line="308" w:lineRule="auto"/>
        <w:tabs>
          <w:tab w:leader="none" w:pos="6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Level 3 liabilities included in this category include borrowings of consolidated collateralized loan obligations valued based upon non-binding broker quotes or discounted cash flow model based on a discount margin calculation.</w:t>
      </w:r>
    </w:p>
    <w:p>
      <w:pPr>
        <w:spacing w:after="0" w:line="200" w:lineRule="exact"/>
        <w:rPr>
          <w:sz w:val="20"/>
          <w:szCs w:val="20"/>
          <w:color w:val="auto"/>
        </w:rPr>
      </w:pPr>
    </w:p>
    <w:p>
      <w:pPr>
        <w:spacing w:after="0" w:line="29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320" w:right="5339" w:hanging="272"/>
        <w:spacing w:after="0" w:line="378" w:lineRule="auto"/>
        <w:tabs>
          <w:tab w:leader="none" w:pos="23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 (continued) </w:t>
      </w:r>
      <w:r>
        <w:rPr>
          <w:rFonts w:ascii="Arial" w:cs="Arial" w:eastAsia="Arial" w:hAnsi="Arial"/>
          <w:sz w:val="18"/>
          <w:szCs w:val="18"/>
          <w:u w:val="single" w:color="auto"/>
          <w:color w:val="auto"/>
        </w:rPr>
        <w:t>Significance of Inputs:</w:t>
      </w:r>
    </w:p>
    <w:p>
      <w:pPr>
        <w:ind w:left="320" w:right="1179"/>
        <w:spacing w:after="0" w:line="277" w:lineRule="auto"/>
        <w:rPr>
          <w:sz w:val="20"/>
          <w:szCs w:val="20"/>
          <w:color w:val="auto"/>
        </w:rPr>
      </w:pPr>
      <w:r>
        <w:rPr>
          <w:rFonts w:ascii="Arial" w:cs="Arial" w:eastAsia="Arial" w:hAnsi="Arial"/>
          <w:sz w:val="18"/>
          <w:szCs w:val="18"/>
          <w:color w:val="auto"/>
        </w:rPr>
        <w:t>The Manager’s assessment of the significance of a particular input to the fair value measurement in its entirety requires judgment and considers factors specific to the financial instrument.</w:t>
      </w:r>
    </w:p>
    <w:p>
      <w:pPr>
        <w:spacing w:after="0" w:line="62"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Debt and equity securities for which market quotations are readily available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valued at such market quotations. Debt and equity securities that are not publicly traded or whose market price is not readily available are valued based on detailed analyses prepared by management, and, in certain circumstances, may utilize third parties with valuation expertise. The Manager follows the provisions of ASC 820-10 with respect to preparing the Fund’s financial statements. This standard defines fair value, establishes a framework for measuring fair value, and expands disclosures about assets and liabilities measured at fair value. ASC 820-10 defines “fair value” as the price that would be received to sell an asset or paid to transfer a liability in an orderly transaction between market participants at the measurement date. Subsequent to the adoption of ASC 820-10, the FASB has issued various staff positions clarifying the initial standard as noted below.</w:t>
      </w:r>
    </w:p>
    <w:p>
      <w:pPr>
        <w:spacing w:after="0" w:line="58"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requires the disclosure of the inputs and valuation techniques used to measure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a discussion of changes in valuation techniques and related inputs, if any, during the period.</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Manager’s valuation methodology and procedures for investments held by the Fund are generally as follows:</w:t>
      </w:r>
    </w:p>
    <w:p>
      <w:pPr>
        <w:spacing w:after="0" w:line="117" w:lineRule="exact"/>
        <w:rPr>
          <w:sz w:val="20"/>
          <w:szCs w:val="20"/>
          <w:color w:val="auto"/>
        </w:rPr>
      </w:pPr>
    </w:p>
    <w:p>
      <w:pPr>
        <w:ind w:left="540" w:right="699" w:hanging="262"/>
        <w:spacing w:after="0" w:line="277"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any asset which is also held by KCAP Financial on the applicable date, the KCAP Financial fair value mark as of such applicable date is used.</w:t>
      </w:r>
    </w:p>
    <w:p>
      <w:pPr>
        <w:spacing w:after="0" w:line="62" w:lineRule="exact"/>
        <w:rPr>
          <w:rFonts w:ascii="Arial" w:cs="Arial" w:eastAsia="Arial" w:hAnsi="Arial"/>
          <w:sz w:val="18"/>
          <w:szCs w:val="18"/>
          <w:color w:val="auto"/>
        </w:rPr>
      </w:pPr>
    </w:p>
    <w:p>
      <w:pPr>
        <w:ind w:left="540" w:right="599" w:hanging="262"/>
        <w:spacing w:after="0" w:line="297"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portfolio company or investment is cross-referenced to an independent pricing service to determine if a current market quote is available. The nature and quality of such quote is reviewed to determine reliability and relevance of the quote. Factors considered in this determination include whether the quote is from a transaction or is a broker quote, the date and aging of such quote, whether the transaction is arms-length, whether it is of a liquidation or distressed nature and certain other factors judged to be relevant by the Manager’s management within the framework of ASC 820-10.</w:t>
      </w:r>
    </w:p>
    <w:p>
      <w:pPr>
        <w:spacing w:after="0" w:line="50" w:lineRule="exact"/>
        <w:rPr>
          <w:rFonts w:ascii="Arial" w:cs="Arial" w:eastAsia="Arial" w:hAnsi="Arial"/>
          <w:sz w:val="16"/>
          <w:szCs w:val="16"/>
          <w:color w:val="auto"/>
        </w:rPr>
      </w:pPr>
    </w:p>
    <w:p>
      <w:pPr>
        <w:ind w:left="540" w:right="519" w:hanging="262"/>
        <w:spacing w:after="0" w:line="287"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an investment does not have a market quotation on either a broad market exchange or from an independent pricing service, the investment is initially valued by the Manager’s investment professionals responsible for the portfolio investment in conjunction with the portfolio management team. Generally, such fair values are determined by reference to public market or private transactions or valuations for comparable companies or assets in the relevant asset class and 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60" w:lineRule="exact"/>
        <w:rPr>
          <w:rFonts w:ascii="Arial" w:cs="Arial" w:eastAsia="Arial" w:hAnsi="Arial"/>
          <w:sz w:val="16"/>
          <w:szCs w:val="16"/>
          <w:color w:val="auto"/>
        </w:rPr>
      </w:pPr>
    </w:p>
    <w:p>
      <w:pPr>
        <w:ind w:left="540" w:hanging="26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Preliminary valuation conclusions are discussed and documented by the Manager’s management.</w:t>
      </w:r>
    </w:p>
    <w:p>
      <w:pPr>
        <w:spacing w:after="0" w:line="200" w:lineRule="exact"/>
        <w:rPr>
          <w:sz w:val="20"/>
          <w:szCs w:val="20"/>
          <w:color w:val="auto"/>
        </w:rPr>
      </w:pPr>
    </w:p>
    <w:p>
      <w:pPr>
        <w:spacing w:after="0" w:line="3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220" w:hanging="172"/>
        <w:spacing w:after="0"/>
        <w:tabs>
          <w:tab w:leader="none" w:pos="2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121" w:lineRule="exact"/>
        <w:rPr>
          <w:rFonts w:ascii="Arial" w:cs="Arial" w:eastAsia="Arial" w:hAnsi="Arial"/>
          <w:sz w:val="18"/>
          <w:szCs w:val="18"/>
          <w:b w:val="1"/>
          <w:bCs w:val="1"/>
          <w:color w:val="auto"/>
        </w:rPr>
      </w:pPr>
    </w:p>
    <w:p>
      <w:pPr>
        <w:ind w:left="540" w:right="659" w:hanging="262"/>
        <w:spacing w:after="0" w:line="277" w:lineRule="auto"/>
        <w:tabs>
          <w:tab w:leader="none" w:pos="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Illiquid loans, junior and mezzanine securities and investments in other CLO bonds are fair valued using models developed by the Manager’s management with applicable market assumptions.</w:t>
      </w:r>
    </w:p>
    <w:p>
      <w:pPr>
        <w:spacing w:after="0" w:line="62" w:lineRule="exact"/>
        <w:rPr>
          <w:rFonts w:ascii="Arial" w:cs="Arial" w:eastAsia="Arial" w:hAnsi="Arial"/>
          <w:sz w:val="18"/>
          <w:szCs w:val="18"/>
          <w:color w:val="auto"/>
        </w:rPr>
      </w:pPr>
    </w:p>
    <w:p>
      <w:pPr>
        <w:jc w:val="both"/>
        <w:ind w:left="540" w:right="599" w:hanging="262"/>
        <w:spacing w:after="0" w:line="264" w:lineRule="auto"/>
        <w:tabs>
          <w:tab w:leader="none" w:pos="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Manager’s management discusses the valuations and determines in good faith that the fair values of each investment in the portfolio is reasonable based upon any applicable independent pricing service, input of management, and estimates from independent valuation firms (if any).</w:t>
      </w:r>
    </w:p>
    <w:p>
      <w:pPr>
        <w:spacing w:after="0" w:line="73"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Most of the Fund’s investment portfolio is composed of broadly syndicated debt securities for which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quote is available. To the extent that the investments are exchange traded and are priced or have sufficient price indications from normal 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w:t>
      </w:r>
    </w:p>
    <w:p>
      <w:pPr>
        <w:spacing w:after="0" w:line="85"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i w:val="1"/>
          <w:iCs w:val="1"/>
          <w:color w:val="auto"/>
        </w:rPr>
        <w:t xml:space="preserve">CLO Fund Securities. </w:t>
      </w:r>
      <w:r>
        <w:rPr>
          <w:rFonts w:ascii="Arial" w:cs="Arial" w:eastAsia="Arial" w:hAnsi="Arial"/>
          <w:sz w:val="17"/>
          <w:szCs w:val="17"/>
          <w:color w:val="auto"/>
        </w:rPr>
        <w:t>The Fund may selectively invest in securities issued by CLO Funds managed by other asset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For bond rated tranches of CLO Funds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70"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Cash is defined as demand deposits. The Fund holds its cash with financial institutions and, at times, cash held in</w:t>
      </w:r>
      <w:r>
        <w:rPr>
          <w:rFonts w:ascii="Arial" w:cs="Arial" w:eastAsia="Arial" w:hAnsi="Arial"/>
          <w:sz w:val="18"/>
          <w:szCs w:val="18"/>
          <w:i w:val="1"/>
          <w:iCs w:val="1"/>
          <w:color w:val="auto"/>
        </w:rPr>
        <w:t xml:space="preserve"> </w:t>
      </w:r>
      <w:r>
        <w:rPr>
          <w:rFonts w:ascii="Arial" w:cs="Arial" w:eastAsia="Arial" w:hAnsi="Arial"/>
          <w:sz w:val="18"/>
          <w:szCs w:val="18"/>
          <w:color w:val="auto"/>
        </w:rPr>
        <w:t>checking accounts may exceed the Federal Deposit Insurance Corporation insured limit.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Debt at Fair Value</w:t>
      </w:r>
      <w:r>
        <w:rPr>
          <w:rFonts w:ascii="Arial" w:cs="Arial" w:eastAsia="Arial" w:hAnsi="Arial"/>
          <w:sz w:val="17"/>
          <w:szCs w:val="17"/>
          <w:color w:val="auto"/>
        </w:rPr>
        <w:t>. The Fund has issued rated and unrated bonds to finance its operations. Debt is presented at fair value.</w:t>
      </w:r>
    </w:p>
    <w:p>
      <w:pPr>
        <w:spacing w:after="0" w:line="129"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Interest income is recorded on the accrual basis on interest-bearing assets. The Fund generally places a loan or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on non-accrual status and ceases recognizing cash interest income on such loan or security when a loan or security becomes 90 days or more past due or if Manager otherwise does not expect the debtor to be able to service its debt obligations.</w:t>
      </w:r>
    </w:p>
    <w:p>
      <w:pPr>
        <w:spacing w:after="0" w:line="39"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i w:val="1"/>
          <w:iCs w:val="1"/>
          <w:color w:val="auto"/>
        </w:rPr>
        <w:t>Management Fees</w:t>
      </w:r>
      <w:r>
        <w:rPr>
          <w:rFonts w:ascii="Arial" w:cs="Arial" w:eastAsia="Arial" w:hAnsi="Arial"/>
          <w:sz w:val="16"/>
          <w:szCs w:val="16"/>
          <w:color w:val="auto"/>
        </w:rPr>
        <w:t>. The Fund is externally managed by the Manager pursuant to the Collateral Management Agreement. As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the performance of its obligations under the Collateral Management Agreement, the Manager is entitled to receive from the Fund a senior collateral management fee (the “Senior Collateral Management Fee”), a subordinated collateral management fee (the “Subordinated Collateral Management Fee”) and an incentive collateral management fee (the “Incentive Collateral Management Fee”).The Senior Collateral Management Fee is payable in arrears quarterly (subject to availability of funds and to the satisfaction of payment obligations on the debt obligations of the Fund (the “Priority of Payments”)) in an amount equal to 0.10% per annum of the aggregate principal amount of the Fund’s investments. The Subordinated Collateral Management Fee is payable in arrears quarterly (subject to availability of funds and to the Priority of Payments) in an amount equal to 0.15% per annum of the aggregate principal amount of the Fund’s investments. The Incentive Collateral Management Fee equals 20% of the amount of interest and principal payments remaining available for distribution to the holders of the Fund’s preferred shares under the Priority of Payments at which the Incentive Collateral Management Fee may be paid. For the years ended December 31, 2016, 2015 and 2014, there were no Incentive Fees incurred by the Fund.</w:t>
      </w:r>
    </w:p>
    <w:p>
      <w:pPr>
        <w:spacing w:after="0" w:line="200" w:lineRule="exact"/>
        <w:rPr>
          <w:sz w:val="20"/>
          <w:szCs w:val="20"/>
          <w:color w:val="auto"/>
        </w:rPr>
      </w:pP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i w:val="1"/>
          <w:iCs w:val="1"/>
          <w:color w:val="auto"/>
        </w:rPr>
        <w:t>Interest Expenses</w:t>
      </w:r>
      <w:r>
        <w:rPr>
          <w:rFonts w:ascii="Arial" w:cs="Arial" w:eastAsia="Arial" w:hAnsi="Arial"/>
          <w:sz w:val="18"/>
          <w:szCs w:val="18"/>
          <w:color w:val="auto"/>
        </w:rPr>
        <w:t>. The Fund has issued rated and unrated bonds to finance its operations. Interest on debt is calculated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trustee of the Fund. Interest is accrued and generally paid quarterly.</w:t>
      </w:r>
    </w:p>
    <w:p>
      <w:pPr>
        <w:spacing w:after="0" w:line="62" w:lineRule="exact"/>
        <w:rPr>
          <w:sz w:val="20"/>
          <w:szCs w:val="20"/>
          <w:color w:val="auto"/>
        </w:rPr>
      </w:pPr>
    </w:p>
    <w:p>
      <w:pPr>
        <w:ind w:left="40" w:right="579" w:firstLine="270"/>
        <w:spacing w:after="0" w:line="342" w:lineRule="auto"/>
        <w:rPr>
          <w:sz w:val="20"/>
          <w:szCs w:val="20"/>
          <w:color w:val="auto"/>
        </w:rPr>
      </w:pPr>
      <w:r>
        <w:rPr>
          <w:rFonts w:ascii="Arial" w:cs="Arial" w:eastAsia="Arial" w:hAnsi="Arial"/>
          <w:sz w:val="16"/>
          <w:szCs w:val="16"/>
          <w:i w:val="1"/>
          <w:iCs w:val="1"/>
          <w:color w:val="auto"/>
        </w:rPr>
        <w:t xml:space="preserve">Trustee Fees. </w:t>
      </w:r>
      <w:r>
        <w:rPr>
          <w:rFonts w:ascii="Arial" w:cs="Arial" w:eastAsia="Arial" w:hAnsi="Arial"/>
          <w:sz w:val="16"/>
          <w:szCs w:val="16"/>
          <w:color w:val="auto"/>
        </w:rPr>
        <w:t>The Fund has a third party trustee that is the custodian for all investments of the Fund and receives and disburses</w:t>
      </w:r>
      <w:r>
        <w:rPr>
          <w:rFonts w:ascii="Arial" w:cs="Arial" w:eastAsia="Arial" w:hAnsi="Arial"/>
          <w:sz w:val="16"/>
          <w:szCs w:val="16"/>
          <w:i w:val="1"/>
          <w:iCs w:val="1"/>
          <w:color w:val="auto"/>
        </w:rPr>
        <w:t xml:space="preserve"> </w:t>
      </w:r>
      <w:r>
        <w:rPr>
          <w:rFonts w:ascii="Arial" w:cs="Arial" w:eastAsia="Arial" w:hAnsi="Arial"/>
          <w:sz w:val="16"/>
          <w:szCs w:val="16"/>
          <w:color w:val="auto"/>
        </w:rPr>
        <w:t>all cash in accordance to the trustee and custodial agreements. Trustee fees are accrued and paid quarterly by the Fund.</w:t>
      </w:r>
    </w:p>
    <w:p>
      <w:pPr>
        <w:spacing w:after="0" w:line="16" w:lineRule="exact"/>
        <w:rPr>
          <w:sz w:val="20"/>
          <w:szCs w:val="20"/>
          <w:color w:val="auto"/>
        </w:rPr>
      </w:pPr>
    </w:p>
    <w:p>
      <w:pPr>
        <w:ind w:left="40" w:right="939" w:firstLine="27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Fund is not subject to net income taxation in the United States or the Cayman Islands. Accordingly, no</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taxes has been made in the accompanying financial statements.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investments held by the Fund are primarily invested in senior secured bank loans (typically syndicated by banks), bonds,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equity securities. Bank loan investments, which comprise the majority of the Fund’s portfolio, are senior secured corporate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loans from a variety of industries, including but not limited to the aerospace and defense, broadcasting, technology, utilities,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household products, healthcare, oil and gas, and finance industries. The investments mature at various dates between 2017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2022, pay interest at Libor or Prime plus a spread of up to 1.5%, and typically range in credit rating categories from BBB down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unrated. Non-accrual loans represented less than 1% of investments at fair value as of December 31, 2016 and December 31, 2015.</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aggregate unpaid principal value of loans past due as of December 31, 2016 and December 31, 2015 was approximately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$449,000 and $1.1 million, respectively and the difference between fair value and the unpaid principal balance was approximately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$413,000 and $934,000, respectively. The Fund’s investments are valued based on price quotations provided by an independent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third-party pricing source which are indicative of traded prices and/or dealer price quotations. In the event that a third-party pricing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 is unable to price an investment, other relevant factors, data and information are considered, including: i) information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relating to the market for the investment, including price quotations for and trading in the investment and interest in similar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investments and the market environment and investor attitudes towards the investment and interests in similar investments; ii)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characteristics of and fundamental analytical data relating to the investment, including the cost, size, current interest rate, period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until next interest rate reset, maturity and base lending rate, the terms and conditions of the loan and any related agreements,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position of the loan in the issuer’s debt structure; iii) the nature, adequacy and value of the senior secured corporate loan’s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collateral, including the CLO’s rights, remedies and interests with respect to the collateral; iv) the creditworthiness of the borrower,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based on an evaluation of its financial condition, financial statements and information about the business, cash flows, capital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structure and future prospects; v) the reputation and financial condition of the agent and any intermediate participants in the senior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secured corporate loan; and vi) general economic and market conditions affecting the fair value of the senior secured corporate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loan.</w:t>
      </w:r>
    </w:p>
    <w:p>
      <w:pPr>
        <w:spacing w:after="0" w:line="103" w:lineRule="exact"/>
        <w:rPr>
          <w:sz w:val="20"/>
          <w:szCs w:val="20"/>
          <w:color w:val="auto"/>
        </w:rPr>
      </w:pPr>
    </w:p>
    <w:p>
      <w:pPr>
        <w:ind w:left="40" w:right="599" w:firstLine="270"/>
        <w:spacing w:after="0" w:line="269" w:lineRule="auto"/>
        <w:rPr>
          <w:sz w:val="20"/>
          <w:szCs w:val="20"/>
          <w:color w:val="auto"/>
        </w:rPr>
      </w:pPr>
      <w:r>
        <w:rPr>
          <w:rFonts w:ascii="Arial" w:cs="Arial" w:eastAsia="Arial" w:hAnsi="Arial"/>
          <w:sz w:val="17"/>
          <w:szCs w:val="17"/>
          <w:color w:val="auto"/>
        </w:rPr>
        <w:t>The debt issued by the Fund has a stated maturity date of April 23, 2022. The Fund’s debt was issued in various tranches with different risk profiles and ratings. The interest rates are variable rates based on Libor plus a pre-defined spread, which varies from 0.85% for the more senior tranches to 5% for the more subordinated tranches. The debt issued by the Fund is recorded at fair value using an income approach, driven by cash flows expected to be received from the portfolio collateral assets. Fair value is determined using current information, notably market yields and projected cash flows of collateral assets based on forecasted default and recovery rates that a market participant would use in determining the current fair value of the liabilities, taking into account the overall credit quality of the issuers and the Manager’s past experience in managing similar securities. Market yields, default rates and recovery rates used in the Manager’s estimate of fair value vary based on the nature of the investments in the underlying collateral pools. In periods of rising market yields, default rates and lower debt recovery rates, the fair value, and therefore the carrying value, of the liabilities may be adversely affected. Once the undiscounted cash flows of the collateral assets have been determined, the Manager applies appropriate discount rates that a market participant would use to determine the discounted cash flow valuation of the notes.</w:t>
      </w:r>
    </w:p>
    <w:p>
      <w:pPr>
        <w:spacing w:after="0" w:line="200" w:lineRule="exact"/>
        <w:rPr>
          <w:sz w:val="20"/>
          <w:szCs w:val="20"/>
          <w:color w:val="auto"/>
        </w:rPr>
      </w:pPr>
    </w:p>
    <w:p>
      <w:pPr>
        <w:spacing w:after="0" w:line="3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0" w:name="page171"/>
    <w:bookmarkEnd w:id="170"/>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INVESTMENTS – (continued)</w:t>
      </w:r>
    </w:p>
    <w:p>
      <w:pPr>
        <w:spacing w:after="0" w:line="121" w:lineRule="exact"/>
        <w:rPr>
          <w:sz w:val="20"/>
          <w:szCs w:val="20"/>
          <w:color w:val="auto"/>
        </w:rPr>
      </w:pPr>
    </w:p>
    <w:p>
      <w:pPr>
        <w:jc w:val="both"/>
        <w:ind w:left="180" w:right="579" w:firstLine="270"/>
        <w:spacing w:after="0" w:line="264" w:lineRule="auto"/>
        <w:rPr>
          <w:sz w:val="20"/>
          <w:szCs w:val="20"/>
          <w:color w:val="auto"/>
        </w:rPr>
      </w:pPr>
      <w:r>
        <w:rPr>
          <w:rFonts w:ascii="Arial" w:cs="Arial" w:eastAsia="Arial" w:hAnsi="Arial"/>
          <w:sz w:val="18"/>
          <w:szCs w:val="18"/>
          <w:color w:val="auto"/>
        </w:rPr>
        <w:t>The carrying value of investments held and debt issued by the Fund is also their fair value. The following tables present the fair value hierarchy levels of investments held and debt issued by the Fund, which are measured at fair value as of December 31, 2016 and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521398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9"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December 31, 2016</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30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center"/>
              <w:ind w:right="42"/>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2"/>
                <w:szCs w:val="12"/>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$ 176,684,976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176,684,976</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 Fund Liabilities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$ 208,812,164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208,812,164</w:t>
            </w:r>
          </w:p>
        </w:tc>
        <w:tc>
          <w:tcPr>
            <w:tcW w:w="0" w:type="dxa"/>
            <w:vAlign w:val="bottom"/>
          </w:tcPr>
          <w:p>
            <w:pPr>
              <w:spacing w:after="0"/>
              <w:rPr>
                <w:sz w:val="1"/>
                <w:szCs w:val="1"/>
                <w:color w:val="auto"/>
              </w:rPr>
            </w:pPr>
          </w:p>
        </w:tc>
      </w:tr>
      <w:tr>
        <w:trPr>
          <w:trHeight w:val="311"/>
        </w:trPr>
        <w:tc>
          <w:tcPr>
            <w:tcW w:w="3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2"/>
                <w:szCs w:val="12"/>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$ 246,766,505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246,766,505</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 Fund Liabilities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$ 261,433,473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261,433,473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-1208405</wp:posOffset>
            </wp:positionV>
            <wp:extent cx="521398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180" w:right="1079" w:firstLine="270"/>
        <w:spacing w:after="0" w:line="277" w:lineRule="auto"/>
        <w:rPr>
          <w:sz w:val="20"/>
          <w:szCs w:val="20"/>
          <w:color w:val="auto"/>
        </w:rPr>
      </w:pPr>
      <w:r>
        <w:rPr>
          <w:rFonts w:ascii="Arial" w:cs="Arial" w:eastAsia="Arial" w:hAnsi="Arial"/>
          <w:sz w:val="18"/>
          <w:szCs w:val="18"/>
          <w:color w:val="auto"/>
        </w:rPr>
        <w:t>The following tables show a reconciliation of the beginning and ending fair value measurements for Level 3 assets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For the year</w:t>
            </w:r>
          </w:p>
        </w:tc>
        <w:tc>
          <w:tcPr>
            <w:tcW w:w="198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ended December</w:t>
            </w:r>
          </w:p>
        </w:tc>
        <w:tc>
          <w:tcPr>
            <w:tcW w:w="19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14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246,766,505</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82,554,227</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and redemption of investments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(159,676,298)</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Net Realized and Unrealized (losses)</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7,040,542</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176,684,976</w:t>
            </w:r>
          </w:p>
        </w:tc>
        <w:tc>
          <w:tcPr>
            <w:tcW w:w="1980" w:type="dxa"/>
            <w:vAlign w:val="bottom"/>
          </w:tcPr>
          <w:p>
            <w:pPr>
              <w:spacing w:after="0"/>
              <w:rPr>
                <w:sz w:val="21"/>
                <w:szCs w:val="21"/>
                <w:color w:val="auto"/>
              </w:rPr>
            </w:pPr>
          </w:p>
        </w:tc>
      </w:tr>
      <w:tr>
        <w:trPr>
          <w:trHeight w:val="195"/>
        </w:trPr>
        <w:tc>
          <w:tcPr>
            <w:tcW w:w="120" w:type="dxa"/>
            <w:vAlign w:val="bottom"/>
          </w:tcPr>
          <w:p>
            <w:pPr>
              <w:spacing w:after="0"/>
              <w:rPr>
                <w:sz w:val="16"/>
                <w:szCs w:val="16"/>
                <w:color w:val="auto"/>
              </w:rPr>
            </w:pPr>
          </w:p>
        </w:tc>
        <w:tc>
          <w:tcPr>
            <w:tcW w:w="630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 related to</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98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investments still held at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3,636,405</w:t>
            </w:r>
          </w:p>
        </w:tc>
        <w:tc>
          <w:tcPr>
            <w:tcW w:w="1980" w:type="dxa"/>
            <w:vAlign w:val="bottom"/>
          </w:tcPr>
          <w:p>
            <w:pPr>
              <w:spacing w:after="0"/>
              <w:rPr>
                <w:sz w:val="20"/>
                <w:szCs w:val="20"/>
                <w:color w:val="auto"/>
              </w:rPr>
            </w:pPr>
          </w:p>
        </w:tc>
      </w:tr>
      <w:tr>
        <w:trPr>
          <w:trHeight w:val="288"/>
        </w:trPr>
        <w:tc>
          <w:tcPr>
            <w:tcW w:w="1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For the year</w:t>
            </w:r>
          </w:p>
        </w:tc>
        <w:tc>
          <w:tcPr>
            <w:tcW w:w="1980" w:type="dxa"/>
            <w:vAlign w:val="bottom"/>
          </w:tcPr>
          <w:p>
            <w:pPr>
              <w:spacing w:after="0"/>
              <w:rPr>
                <w:sz w:val="24"/>
                <w:szCs w:val="24"/>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19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273,373,948</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93,243,381</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and redemption of investments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(113,199,395)</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Net realized and unrealized (losses)</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(6,651,429)</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246,766,505</w:t>
            </w:r>
          </w:p>
        </w:tc>
        <w:tc>
          <w:tcPr>
            <w:tcW w:w="1980" w:type="dxa"/>
            <w:vAlign w:val="bottom"/>
          </w:tcPr>
          <w:p>
            <w:pPr>
              <w:spacing w:after="0"/>
              <w:rPr>
                <w:sz w:val="21"/>
                <w:szCs w:val="21"/>
                <w:color w:val="auto"/>
              </w:rPr>
            </w:pPr>
          </w:p>
        </w:tc>
      </w:tr>
      <w:tr>
        <w:trPr>
          <w:trHeight w:val="195"/>
        </w:trPr>
        <w:tc>
          <w:tcPr>
            <w:tcW w:w="120" w:type="dxa"/>
            <w:vAlign w:val="bottom"/>
          </w:tcPr>
          <w:p>
            <w:pPr>
              <w:spacing w:after="0"/>
              <w:rPr>
                <w:sz w:val="16"/>
                <w:szCs w:val="16"/>
                <w:color w:val="auto"/>
              </w:rPr>
            </w:pPr>
          </w:p>
        </w:tc>
        <w:tc>
          <w:tcPr>
            <w:tcW w:w="630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 related to</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98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investments still held at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(5,313,969)</w:t>
            </w:r>
          </w:p>
        </w:tc>
        <w:tc>
          <w:tcPr>
            <w:tcW w:w="1980" w:type="dxa"/>
            <w:vAlign w:val="bottom"/>
          </w:tcPr>
          <w:p>
            <w:pPr>
              <w:spacing w:after="0"/>
              <w:rPr>
                <w:sz w:val="20"/>
                <w:szCs w:val="20"/>
                <w:color w:val="auto"/>
              </w:rPr>
            </w:pPr>
          </w:p>
        </w:tc>
      </w:tr>
      <w:tr>
        <w:trPr>
          <w:trHeight w:val="783"/>
        </w:trPr>
        <w:tc>
          <w:tcPr>
            <w:tcW w:w="120" w:type="dxa"/>
            <w:vAlign w:val="bottom"/>
          </w:tcPr>
          <w:p>
            <w:pPr>
              <w:spacing w:after="0"/>
              <w:rPr>
                <w:sz w:val="24"/>
                <w:szCs w:val="24"/>
                <w:color w:val="auto"/>
              </w:rPr>
            </w:pPr>
          </w:p>
        </w:tc>
        <w:tc>
          <w:tcPr>
            <w:tcW w:w="6300" w:type="dxa"/>
            <w:vAlign w:val="bottom"/>
          </w:tcPr>
          <w:p>
            <w:pPr>
              <w:ind w:left="4500"/>
              <w:spacing w:after="0"/>
              <w:rPr>
                <w:sz w:val="20"/>
                <w:szCs w:val="20"/>
                <w:color w:val="auto"/>
              </w:rPr>
            </w:pPr>
            <w:r>
              <w:rPr>
                <w:rFonts w:ascii="Arial" w:cs="Arial" w:eastAsia="Arial" w:hAnsi="Arial"/>
                <w:sz w:val="18"/>
                <w:szCs w:val="18"/>
                <w:color w:val="auto"/>
              </w:rPr>
              <w:t>S-35</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63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63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-2434590</wp:posOffset>
            </wp:positionV>
            <wp:extent cx="6114415" cy="244792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114415" cy="2447925"/>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71" w:name="page172"/>
    <w:bookmarkEnd w:id="171"/>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INVESTMENTS – (continued)</w:t>
      </w:r>
    </w:p>
    <w:p>
      <w:pPr>
        <w:spacing w:after="0" w:line="121" w:lineRule="exact"/>
        <w:rPr>
          <w:sz w:val="20"/>
          <w:szCs w:val="20"/>
          <w:color w:val="auto"/>
        </w:rPr>
      </w:pPr>
    </w:p>
    <w:p>
      <w:pPr>
        <w:ind w:left="180" w:right="659" w:firstLine="270"/>
        <w:spacing w:after="0" w:line="277" w:lineRule="auto"/>
        <w:rPr>
          <w:sz w:val="20"/>
          <w:szCs w:val="20"/>
          <w:color w:val="auto"/>
        </w:rPr>
      </w:pPr>
      <w:r>
        <w:rPr>
          <w:rFonts w:ascii="Arial" w:cs="Arial" w:eastAsia="Arial" w:hAnsi="Arial"/>
          <w:sz w:val="18"/>
          <w:szCs w:val="18"/>
          <w:color w:val="auto"/>
        </w:rPr>
        <w:t>As of December 31, 2016, the Manager’s Level 3 portfolio investments had the following valuation techniques and significant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40" w:type="dxa"/>
            <w:vAlign w:val="bottom"/>
            <w:gridSpan w:val="3"/>
          </w:tcPr>
          <w:p>
            <w:pPr>
              <w:ind w:left="20"/>
              <w:spacing w:after="0"/>
              <w:rPr>
                <w:sz w:val="20"/>
                <w:szCs w:val="20"/>
                <w:color w:val="auto"/>
              </w:rPr>
            </w:pPr>
            <w:r>
              <w:rPr>
                <w:rFonts w:ascii="Arial" w:cs="Arial" w:eastAsia="Arial" w:hAnsi="Arial"/>
                <w:sz w:val="14"/>
                <w:szCs w:val="14"/>
                <w:b w:val="1"/>
                <w:bCs w:val="1"/>
                <w:color w:val="auto"/>
              </w:rPr>
              <w:t>Type</w:t>
            </w: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00" w:type="dxa"/>
            <w:vAlign w:val="bottom"/>
          </w:tcPr>
          <w:p>
            <w:pPr>
              <w:spacing w:after="0"/>
              <w:rPr>
                <w:sz w:val="14"/>
                <w:szCs w:val="14"/>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Range of Inputs</w:t>
            </w:r>
          </w:p>
        </w:tc>
      </w:tr>
      <w:tr>
        <w:trPr>
          <w:trHeight w:val="195"/>
        </w:trPr>
        <w:tc>
          <w:tcPr>
            <w:tcW w:w="17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Debt Securities</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Implied Effective</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216"/>
        </w:trPr>
        <w:tc>
          <w:tcPr>
            <w:tcW w:w="1940" w:type="dxa"/>
            <w:vAlign w:val="bottom"/>
            <w:gridSpan w:val="3"/>
          </w:tcPr>
          <w:p>
            <w:pPr>
              <w:ind w:left="18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3,787,243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Income Approach</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3"/>
              </w:rPr>
              <w:t>– 7.89%</w:t>
            </w:r>
          </w:p>
        </w:tc>
      </w:tr>
      <w:tr>
        <w:trPr>
          <w:trHeight w:val="216"/>
        </w:trPr>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Third-Party Bid-Ask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9"/>
              </w:rPr>
              <w:t>166,915,409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Market Quote</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Mid</w:t>
            </w:r>
          </w:p>
        </w:tc>
        <w:tc>
          <w:tcPr>
            <w:tcW w:w="10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4.9% – 102.0%</w:t>
            </w:r>
          </w:p>
        </w:tc>
      </w:tr>
      <w:tr>
        <w:trPr>
          <w:trHeight w:val="216"/>
        </w:trPr>
        <w:tc>
          <w:tcPr>
            <w:tcW w:w="1940" w:type="dxa"/>
            <w:vAlign w:val="bottom"/>
            <w:gridSpan w:val="3"/>
          </w:tcPr>
          <w:p>
            <w:pPr>
              <w:ind w:left="20"/>
              <w:spacing w:after="0"/>
              <w:rPr>
                <w:sz w:val="20"/>
                <w:szCs w:val="20"/>
                <w:color w:val="auto"/>
              </w:rPr>
            </w:pPr>
            <w:r>
              <w:rPr>
                <w:rFonts w:ascii="Arial" w:cs="Arial" w:eastAsia="Arial" w:hAnsi="Arial"/>
                <w:sz w:val="18"/>
                <w:szCs w:val="18"/>
                <w:color w:val="auto"/>
              </w:rPr>
              <w:t>Equity Securities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Third-Party Bid-Ask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150,524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Market Quote</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Mid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w w:val="91"/>
              </w:rPr>
              <w:t>– 2.50</w:t>
            </w:r>
          </w:p>
        </w:tc>
      </w:tr>
      <w:tr>
        <w:trPr>
          <w:trHeight w:val="230"/>
        </w:trPr>
        <w:tc>
          <w:tcPr>
            <w:tcW w:w="1940" w:type="dxa"/>
            <w:vAlign w:val="bottom"/>
            <w:gridSpan w:val="3"/>
          </w:tcPr>
          <w:p>
            <w:pPr>
              <w:ind w:left="20"/>
              <w:spacing w:after="0"/>
              <w:rPr>
                <w:sz w:val="20"/>
                <w:szCs w:val="20"/>
                <w:color w:val="auto"/>
              </w:rPr>
            </w:pPr>
            <w:r>
              <w:rPr>
                <w:rFonts w:ascii="Arial" w:cs="Arial" w:eastAsia="Arial" w:hAnsi="Arial"/>
                <w:sz w:val="18"/>
                <w:szCs w:val="18"/>
                <w:color w:val="auto"/>
              </w:rPr>
              <w:t>CLO Fund Securities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5,831,800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Discounted Cash Flow</w:t>
            </w:r>
          </w:p>
        </w:tc>
        <w:tc>
          <w:tcPr>
            <w:tcW w:w="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3"/>
              </w:rPr>
              <w:t>– 5.57%</w:t>
            </w:r>
          </w:p>
        </w:tc>
      </w:tr>
      <w:tr>
        <w:trPr>
          <w:trHeight w:val="210"/>
        </w:trPr>
        <w:tc>
          <w:tcPr>
            <w:tcW w:w="184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176,684,976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right="659" w:firstLine="270"/>
        <w:spacing w:after="0" w:line="277" w:lineRule="auto"/>
        <w:rPr>
          <w:sz w:val="20"/>
          <w:szCs w:val="20"/>
          <w:color w:val="auto"/>
        </w:rPr>
      </w:pPr>
      <w:r>
        <w:rPr>
          <w:rFonts w:ascii="Arial" w:cs="Arial" w:eastAsia="Arial" w:hAnsi="Arial"/>
          <w:sz w:val="18"/>
          <w:szCs w:val="18"/>
          <w:color w:val="auto"/>
        </w:rPr>
        <w:t>As of December 31, 2015, the Manager’s Level 3 portfolio investments had the following valuation techniques and significant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10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00" w:type="dxa"/>
            <w:vAlign w:val="bottom"/>
          </w:tcPr>
          <w:p>
            <w:pPr>
              <w:spacing w:after="0"/>
              <w:rPr>
                <w:sz w:val="14"/>
                <w:szCs w:val="14"/>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Range of Inputs</w:t>
            </w:r>
          </w:p>
        </w:tc>
      </w:tr>
      <w:tr>
        <w:trPr>
          <w:trHeight w:val="195"/>
        </w:trPr>
        <w:tc>
          <w:tcPr>
            <w:tcW w:w="1760" w:type="dxa"/>
            <w:vAlign w:val="bottom"/>
          </w:tcPr>
          <w:p>
            <w:pPr>
              <w:ind w:left="20"/>
              <w:spacing w:after="0" w:line="195" w:lineRule="exact"/>
              <w:rPr>
                <w:sz w:val="20"/>
                <w:szCs w:val="20"/>
                <w:color w:val="auto"/>
              </w:rPr>
            </w:pPr>
            <w:r>
              <w:rPr>
                <w:rFonts w:ascii="Arial" w:cs="Arial" w:eastAsia="Arial" w:hAnsi="Arial"/>
                <w:sz w:val="18"/>
                <w:szCs w:val="18"/>
                <w:color w:val="auto"/>
              </w:rPr>
              <w:t>Debt Securities</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w w:val="96"/>
              </w:rPr>
              <w:t>Third-Party Bid-Ask</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17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234,403,150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Market Quote</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Mid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10.8% – 101.0%</w:t>
            </w:r>
          </w:p>
        </w:tc>
      </w:tr>
      <w:tr>
        <w:trPr>
          <w:trHeight w:val="216"/>
        </w:trPr>
        <w:tc>
          <w:tcPr>
            <w:tcW w:w="17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Third-Party Bid-Ask</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2,830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Market Quote</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Mid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0.13 – 1.0</w:t>
            </w: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12,360,525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Discounted Cash Flow</w:t>
            </w:r>
          </w:p>
        </w:tc>
        <w:tc>
          <w:tcPr>
            <w:tcW w:w="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3.82% – 5.89%</w:t>
            </w:r>
          </w:p>
        </w:tc>
      </w:tr>
      <w:tr>
        <w:trPr>
          <w:trHeight w:val="210"/>
        </w:trPr>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246,766,505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right="819" w:firstLine="270"/>
        <w:spacing w:after="0" w:line="277" w:lineRule="auto"/>
        <w:rPr>
          <w:sz w:val="20"/>
          <w:szCs w:val="20"/>
          <w:color w:val="auto"/>
        </w:rPr>
      </w:pPr>
      <w:r>
        <w:rPr>
          <w:rFonts w:ascii="Arial" w:cs="Arial" w:eastAsia="Arial" w:hAnsi="Arial"/>
          <w:sz w:val="18"/>
          <w:szCs w:val="18"/>
          <w:color w:val="auto"/>
        </w:rPr>
        <w:t>The following tables show a reconciliation of the beginning and ending fair value measurements for Level 3 liabilities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For the year</w:t>
            </w:r>
          </w:p>
        </w:tc>
        <w:tc>
          <w:tcPr>
            <w:tcW w:w="198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19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261,433,473</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Repayments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(54,179,244)</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depreciation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1,557,935</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208,812,164</w:t>
            </w:r>
          </w:p>
        </w:tc>
        <w:tc>
          <w:tcPr>
            <w:tcW w:w="198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5"/>
        </w:trPr>
        <w:tc>
          <w:tcPr>
            <w:tcW w:w="120" w:type="dxa"/>
            <w:vAlign w:val="bottom"/>
          </w:tcPr>
          <w:p>
            <w:pPr>
              <w:spacing w:after="0"/>
              <w:rPr>
                <w:sz w:val="16"/>
                <w:szCs w:val="16"/>
                <w:color w:val="auto"/>
              </w:rPr>
            </w:pPr>
          </w:p>
        </w:tc>
        <w:tc>
          <w:tcPr>
            <w:tcW w:w="63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 related to</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 still held at reporting date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1,557,935</w:t>
            </w:r>
          </w:p>
        </w:tc>
        <w:tc>
          <w:tcPr>
            <w:tcW w:w="1980" w:type="dxa"/>
            <w:vAlign w:val="bottom"/>
          </w:tcPr>
          <w:p>
            <w:pPr>
              <w:spacing w:after="0"/>
              <w:rPr>
                <w:sz w:val="20"/>
                <w:szCs w:val="20"/>
                <w:color w:val="auto"/>
              </w:rPr>
            </w:pPr>
          </w:p>
        </w:tc>
      </w:tr>
      <w:tr>
        <w:trPr>
          <w:trHeight w:val="288"/>
        </w:trPr>
        <w:tc>
          <w:tcPr>
            <w:tcW w:w="1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For the year</w:t>
            </w:r>
          </w:p>
        </w:tc>
        <w:tc>
          <w:tcPr>
            <w:tcW w:w="1980" w:type="dxa"/>
            <w:vAlign w:val="bottom"/>
          </w:tcPr>
          <w:p>
            <w:pPr>
              <w:spacing w:after="0"/>
              <w:rPr>
                <w:sz w:val="24"/>
                <w:szCs w:val="24"/>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19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290,699,426</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Repayments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(23,002,449)</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depreciation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(6,263,504)</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261,433,473</w:t>
            </w:r>
          </w:p>
        </w:tc>
        <w:tc>
          <w:tcPr>
            <w:tcW w:w="198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5"/>
        </w:trPr>
        <w:tc>
          <w:tcPr>
            <w:tcW w:w="120" w:type="dxa"/>
            <w:vAlign w:val="bottom"/>
          </w:tcPr>
          <w:p>
            <w:pPr>
              <w:spacing w:after="0"/>
              <w:rPr>
                <w:sz w:val="16"/>
                <w:szCs w:val="16"/>
                <w:color w:val="auto"/>
              </w:rPr>
            </w:pPr>
          </w:p>
        </w:tc>
        <w:tc>
          <w:tcPr>
            <w:tcW w:w="63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Changes in unrealized appreciation included in earnings related to liabilities still</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held at reporting date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(6,263,504)</w:t>
            </w:r>
          </w:p>
        </w:tc>
        <w:tc>
          <w:tcPr>
            <w:tcW w:w="1980" w:type="dxa"/>
            <w:vAlign w:val="bottom"/>
          </w:tcPr>
          <w:p>
            <w:pPr>
              <w:spacing w:after="0"/>
              <w:rPr>
                <w:sz w:val="20"/>
                <w:szCs w:val="20"/>
                <w:color w:val="auto"/>
              </w:rPr>
            </w:pPr>
          </w:p>
        </w:tc>
      </w:tr>
      <w:tr>
        <w:trPr>
          <w:trHeight w:val="783"/>
        </w:trPr>
        <w:tc>
          <w:tcPr>
            <w:tcW w:w="120" w:type="dxa"/>
            <w:vAlign w:val="bottom"/>
          </w:tcPr>
          <w:p>
            <w:pPr>
              <w:spacing w:after="0"/>
              <w:rPr>
                <w:sz w:val="24"/>
                <w:szCs w:val="24"/>
                <w:color w:val="auto"/>
              </w:rPr>
            </w:pPr>
          </w:p>
        </w:tc>
        <w:tc>
          <w:tcPr>
            <w:tcW w:w="6300" w:type="dxa"/>
            <w:vAlign w:val="bottom"/>
          </w:tcPr>
          <w:p>
            <w:pPr>
              <w:ind w:left="4500"/>
              <w:spacing w:after="0"/>
              <w:rPr>
                <w:sz w:val="20"/>
                <w:szCs w:val="20"/>
                <w:color w:val="auto"/>
              </w:rPr>
            </w:pPr>
            <w:r>
              <w:rPr>
                <w:rFonts w:ascii="Arial" w:cs="Arial" w:eastAsia="Arial" w:hAnsi="Arial"/>
                <w:sz w:val="18"/>
                <w:szCs w:val="18"/>
                <w:color w:val="auto"/>
              </w:rPr>
              <w:t>S-36</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6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6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-2443480</wp:posOffset>
            </wp:positionV>
            <wp:extent cx="4751070" cy="1803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-1088390</wp:posOffset>
            </wp:positionV>
            <wp:extent cx="4751070" cy="1803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-1963420</wp:posOffset>
            </wp:positionV>
            <wp:extent cx="475107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 – (continued)</w:t>
      </w:r>
    </w:p>
    <w:p>
      <w:pPr>
        <w:spacing w:after="0" w:line="121" w:lineRule="exact"/>
        <w:rPr>
          <w:sz w:val="20"/>
          <w:szCs w:val="20"/>
          <w:color w:val="auto"/>
        </w:rPr>
      </w:pPr>
    </w:p>
    <w:p>
      <w:pPr>
        <w:ind w:left="40" w:right="1099" w:firstLine="270"/>
        <w:spacing w:after="0" w:line="312"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ASC 820-10 specifies a hierarchy of valuation techniques based on whether the inputs to those valuation techniques are observable or unobservable. In accordance with ASC 820-10, these inputs are summarized in the three broad levels listed below.</w:t>
      </w:r>
    </w:p>
    <w:p>
      <w:pPr>
        <w:spacing w:after="0" w:line="39" w:lineRule="exact"/>
        <w:rPr>
          <w:sz w:val="20"/>
          <w:szCs w:val="20"/>
          <w:color w:val="auto"/>
        </w:rPr>
      </w:pPr>
    </w:p>
    <w:p>
      <w:pPr>
        <w:ind w:left="600" w:right="599" w:hanging="322"/>
        <w:spacing w:after="0" w:line="277" w:lineRule="auto"/>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the Fund has the ability to access.</w:t>
      </w:r>
    </w:p>
    <w:p>
      <w:pPr>
        <w:spacing w:after="0" w:line="62" w:lineRule="exact"/>
        <w:rPr>
          <w:rFonts w:ascii="Arial" w:cs="Arial" w:eastAsia="Arial" w:hAnsi="Arial"/>
          <w:sz w:val="18"/>
          <w:szCs w:val="18"/>
          <w:color w:val="auto"/>
        </w:rPr>
      </w:pPr>
    </w:p>
    <w:p>
      <w:pPr>
        <w:ind w:left="600" w:right="1379" w:hanging="322"/>
        <w:spacing w:after="0" w:line="277" w:lineRule="auto"/>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2 — 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129"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color w:val="auto"/>
        </w:rPr>
        <w:t>The Fund’s debt is presented at fair value with the difference between principal and fair value recorded as unrealized gain/loss. The par amount of the Fund’s debt is approximately $220 million and $274 million as of December 31, 2016 and December 31, 2015, respectively.</w:t>
      </w:r>
    </w:p>
    <w:p>
      <w:pPr>
        <w:spacing w:after="0" w:line="73"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The Manager has determined that, although the junior tranches have certain characteristics of equity, they should be accounted for and disclosed as debt on the Fund’s Statement of Net Assets, as the subordinated and income notes have a stated maturity indicating a date for which they are mandatorily redeemable. The preference shares are also classified as debt, as they are mandatorily redeemable upon liquidation or termination of the Fund.</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Under the current laws, the Fund is not subject to net income taxation in the United States or the Cayman Islands. Accordingly, no provision for income taxes has been made in the accompanying financial statements.</w:t>
      </w:r>
    </w:p>
    <w:p>
      <w:pPr>
        <w:spacing w:after="0" w:line="62"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 xml:space="preserve">Pursuant to ASC Topic 740,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the Fund adopted the provisions of Financial Accounting Standards Board (“FASB”) relating to accounting for uncertainty in income taxes which clarifies the accounting for income taxes by prescribing the minimum recognition threshold a tax position must meet before being recognized in the financial statements and applies to all open tax years as of the effective date. As of December 31, 2016 and 2015 there was no impact to the financial statements as a result of the Fund’s accounting for uncertainty in income taxes. The Fund does not have any unrecognized tax benefits or liabilities for the years ended December 31, 2016, 2015 and 2014. Also, the Fund recognizes interest and, if applicable, penalties for any uncertain tax positions, as a component of income tax expense. No interest or penalty expense was recorded by the Fund for the years ended December 31, 2016, 2015 and 2014.</w:t>
      </w:r>
    </w:p>
    <w:p>
      <w:pPr>
        <w:spacing w:after="0" w:line="200" w:lineRule="exact"/>
        <w:rPr>
          <w:sz w:val="20"/>
          <w:szCs w:val="20"/>
          <w:color w:val="auto"/>
        </w:rPr>
      </w:pPr>
    </w:p>
    <w:p>
      <w:pPr>
        <w:spacing w:after="0" w:line="31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3" w:name="page174"/>
    <w:bookmarkEnd w:id="17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ind w:left="60" w:right="539" w:firstLine="270"/>
        <w:spacing w:after="0" w:line="279" w:lineRule="auto"/>
        <w:rPr>
          <w:sz w:val="20"/>
          <w:szCs w:val="20"/>
          <w:color w:val="auto"/>
        </w:rPr>
      </w:pPr>
      <w:r>
        <w:rPr>
          <w:rFonts w:ascii="Arial" w:cs="Arial" w:eastAsia="Arial" w:hAnsi="Arial"/>
          <w:sz w:val="17"/>
          <w:szCs w:val="17"/>
          <w:color w:val="auto"/>
        </w:rPr>
        <w:t>On January 23, 2008, the Fund issued $323.9 million of notes or debt securities, consisting of the Class A-1L Floating Rate Notes, the Class A-2L Floating Rate Notes, the Class A-3L Floating Rate Notes, the Class B-1L Floating Rate Notes, the Class B-2L Floating Rate Notes and the preferred shares. The notes were issued pursuant to the Indenture. The table below sets forth certain information for each outstanding class of debt securities issued pursuant to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 of Debt Security</w:t>
            </w:r>
          </w:p>
        </w:tc>
        <w:tc>
          <w:tcPr>
            <w:tcW w:w="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Outstanding</w:t>
            </w:r>
          </w:p>
        </w:tc>
        <w:tc>
          <w:tcPr>
            <w:tcW w:w="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Class A-1L Floating Rate</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LIBOR +</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$122,686,300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$122,686,300</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0.85%</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2022</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$ 122,673,114</w:t>
            </w:r>
          </w:p>
        </w:tc>
        <w:tc>
          <w:tcPr>
            <w:tcW w:w="0" w:type="dxa"/>
            <w:vAlign w:val="bottom"/>
          </w:tcPr>
          <w:p>
            <w:pPr>
              <w:spacing w:after="0"/>
              <w:rPr>
                <w:sz w:val="1"/>
                <w:szCs w:val="1"/>
                <w:color w:val="auto"/>
              </w:rPr>
            </w:pPr>
          </w:p>
        </w:tc>
      </w:tr>
      <w:tr>
        <w:trPr>
          <w:trHeight w:val="202"/>
        </w:trPr>
        <w:tc>
          <w:tcPr>
            <w:tcW w:w="2120" w:type="dxa"/>
            <w:vAlign w:val="bottom"/>
          </w:tcPr>
          <w:p>
            <w:pPr>
              <w:ind w:left="20"/>
              <w:spacing w:after="0" w:line="201" w:lineRule="exact"/>
              <w:rPr>
                <w:sz w:val="20"/>
                <w:szCs w:val="20"/>
                <w:color w:val="auto"/>
              </w:rPr>
            </w:pPr>
            <w:r>
              <w:rPr>
                <w:rFonts w:ascii="Arial" w:cs="Arial" w:eastAsia="Arial" w:hAnsi="Arial"/>
                <w:sz w:val="18"/>
                <w:szCs w:val="18"/>
                <w:color w:val="auto"/>
              </w:rPr>
              <w:t>Class A-2L Floating Rate</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7"/>
              </w:rPr>
              <w:t>LIBOR +</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8"/>
                <w:szCs w:val="18"/>
                <w:color w:val="auto"/>
              </w:rPr>
              <w:t>Notes</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26,000,000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26,000,000</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1.50%</w:t>
            </w: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April 23, 2022</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26,062,401</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Class A-3L Floating Rate</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LIBOR +</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18,000,000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18,000,000</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2.00%</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2022</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18,059,400</w:t>
            </w:r>
          </w:p>
        </w:tc>
        <w:tc>
          <w:tcPr>
            <w:tcW w:w="0" w:type="dxa"/>
            <w:vAlign w:val="bottom"/>
          </w:tcPr>
          <w:p>
            <w:pPr>
              <w:spacing w:after="0"/>
              <w:rPr>
                <w:sz w:val="1"/>
                <w:szCs w:val="1"/>
                <w:color w:val="auto"/>
              </w:rPr>
            </w:pPr>
          </w:p>
        </w:tc>
      </w:tr>
      <w:tr>
        <w:trPr>
          <w:trHeight w:val="202"/>
        </w:trPr>
        <w:tc>
          <w:tcPr>
            <w:tcW w:w="2120" w:type="dxa"/>
            <w:vAlign w:val="bottom"/>
          </w:tcPr>
          <w:p>
            <w:pPr>
              <w:ind w:left="20"/>
              <w:spacing w:after="0" w:line="201" w:lineRule="exact"/>
              <w:rPr>
                <w:sz w:val="20"/>
                <w:szCs w:val="20"/>
                <w:color w:val="auto"/>
              </w:rPr>
            </w:pPr>
            <w:r>
              <w:rPr>
                <w:rFonts w:ascii="Arial" w:cs="Arial" w:eastAsia="Arial" w:hAnsi="Arial"/>
                <w:sz w:val="18"/>
                <w:szCs w:val="18"/>
                <w:color w:val="auto"/>
              </w:rPr>
              <w:t>Class B-1L Floating Rate</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7"/>
              </w:rPr>
              <w:t>LIBOR +</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8"/>
                <w:szCs w:val="18"/>
                <w:color w:val="auto"/>
              </w:rPr>
              <w:t>Notes</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11,000,000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11,000,000</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3.00%</w:t>
            </w: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April 23, 2022</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11,025,300</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Class B-2L Floating Rate</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LIBOR +</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10,500,000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10,500,000</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5.00%</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2022</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10,538,850</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rPr>
              <w:t>Preferred Shares</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31,411,736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31,411,736</w:t>
            </w: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April 23, 2022</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20,453,099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$219,598,036</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$219,598,036</w:t>
            </w: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$ 208,812,164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859" w:firstLine="270"/>
        <w:spacing w:after="0" w:line="277" w:lineRule="auto"/>
        <w:rPr>
          <w:sz w:val="20"/>
          <w:szCs w:val="20"/>
          <w:color w:val="auto"/>
        </w:rPr>
      </w:pPr>
      <w:r>
        <w:rPr>
          <w:rFonts w:ascii="Arial" w:cs="Arial" w:eastAsia="Arial" w:hAnsi="Arial"/>
          <w:sz w:val="18"/>
          <w:szCs w:val="18"/>
          <w:color w:val="auto"/>
        </w:rPr>
        <w:t>During 2016 and 2015, approximately $54 million and $23 million of the Class A-1L Floating Rate Notes was repaid in the normal course of business of the Fund, respectively.</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and 2015 the Fund had no commitments to fund investments.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CAPITALIZATION</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authorized share capital of the Fund is $32,250, consisting of 250 ordinary shares of $1.00 par value, each of which are issued and fully paid, and 32,000,000 preferred shares, 31,411,736 of which are issued and fully paid. The ordinary shares that have been issued are held by Maples Finance Limited, a licensed trust company incorporated in the Cayman Islands, as the trustee pursuant to the terms of a charitable trust. The preferred shares that have been issued by the Fund are owned by KCAP Financial. The preferred shares are classified as debt in the Fund’s financial statements, as they are mandatorily redeemable upon liquidation or termination of the Fund.</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The Fund has evaluated events and transactions occurring subsequent to December 31, 2016 for items that should potentially be recognized or disclosed in these financial statements. Management has determined that there are no material subsequent events that would require adjustment to, or disclosure in, these financial statements.</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4" w:name="page175"/>
    <w:bookmarkEnd w:id="174"/>
    <w:p>
      <w:pPr>
        <w:spacing w:after="0" w:line="223" w:lineRule="auto"/>
        <w:framePr w:w="380" w:h="160" w:wrap="auto" w:vAnchor="page" w:hAnchor="page" w:x="540" w:y="11176"/>
        <w:rPr>
          <w:rFonts w:ascii="Arial" w:cs="Arial" w:eastAsia="Arial" w:hAnsi="Arial"/>
          <w:sz w:val="15"/>
          <w:szCs w:val="15"/>
          <w:color w:val="auto"/>
        </w:rPr>
      </w:pPr>
      <w:r>
        <w:rPr>
          <w:rFonts w:ascii="Arial" w:cs="Arial" w:eastAsia="Arial" w:hAnsi="Arial"/>
          <w:sz w:val="15"/>
          <w:szCs w:val="15"/>
          <w:color w:val="auto"/>
        </w:rPr>
        <w:t>31.2</w:t>
      </w:r>
    </w:p>
    <w:p>
      <w:pPr>
        <w:spacing w:after="0" w:line="223" w:lineRule="auto"/>
        <w:framePr w:w="380" w:h="160" w:wrap="auto" w:vAnchor="page" w:hAnchor="page" w:x="540" w:y="10487"/>
        <w:rPr>
          <w:rFonts w:ascii="Arial" w:cs="Arial" w:eastAsia="Arial" w:hAnsi="Arial"/>
          <w:sz w:val="15"/>
          <w:szCs w:val="15"/>
          <w:color w:val="auto"/>
        </w:rPr>
      </w:pPr>
      <w:r>
        <w:rPr>
          <w:rFonts w:ascii="Arial" w:cs="Arial" w:eastAsia="Arial" w:hAnsi="Arial"/>
          <w:sz w:val="15"/>
          <w:szCs w:val="15"/>
          <w:color w:val="auto"/>
        </w:rPr>
        <w:t>21.1</w:t>
      </w:r>
    </w:p>
    <w:p>
      <w:pPr>
        <w:spacing w:after="0" w:line="223" w:lineRule="auto"/>
        <w:framePr w:w="380" w:h="160" w:wrap="auto" w:vAnchor="page" w:hAnchor="page" w:x="540" w:y="10744"/>
        <w:rPr>
          <w:rFonts w:ascii="Arial" w:cs="Arial" w:eastAsia="Arial" w:hAnsi="Arial"/>
          <w:sz w:val="15"/>
          <w:szCs w:val="15"/>
          <w:color w:val="auto"/>
        </w:rPr>
      </w:pPr>
      <w:r>
        <w:rPr>
          <w:rFonts w:ascii="Arial" w:cs="Arial" w:eastAsia="Arial" w:hAnsi="Arial"/>
          <w:sz w:val="15"/>
          <w:szCs w:val="15"/>
          <w:color w:val="auto"/>
        </w:rPr>
        <w:t>31.1</w:t>
      </w:r>
    </w:p>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rFonts w:ascii="Arial" w:cs="Arial" w:eastAsia="Arial" w:hAnsi="Arial"/>
          <w:sz w:val="15"/>
          <w:szCs w:val="15"/>
          <w:color w:val="auto"/>
        </w:rPr>
      </w:pPr>
    </w:p>
    <w:p>
      <w:pPr>
        <w:jc w:val="right"/>
        <w:ind w:right="4599"/>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517969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67" w:lineRule="exact"/>
        <w:rPr>
          <w:rFonts w:ascii="Arial" w:cs="Arial" w:eastAsia="Arial" w:hAnsi="Arial"/>
          <w:sz w:val="15"/>
          <w:szCs w:val="15"/>
          <w:color w:val="auto"/>
        </w:rPr>
      </w:pPr>
    </w:p>
    <w:p>
      <w:pPr>
        <w:ind w:left="120" w:firstLine="10"/>
        <w:spacing w:after="0" w:line="268" w:lineRule="auto"/>
        <w:rPr>
          <w:sz w:val="20"/>
          <w:szCs w:val="20"/>
          <w:color w:val="auto"/>
        </w:rPr>
      </w:pPr>
      <w:r>
        <w:rPr>
          <w:rFonts w:ascii="Arial" w:cs="Arial" w:eastAsia="Arial" w:hAnsi="Arial"/>
          <w:sz w:val="13"/>
          <w:szCs w:val="13"/>
          <w:b w:val="1"/>
          <w:bCs w:val="1"/>
          <w:color w:val="auto"/>
        </w:rPr>
        <w:t>Exhibit Number</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48006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3.1</w:t>
      </w:r>
    </w:p>
    <w:p>
      <w:pPr>
        <w:spacing w:after="0" w:line="34" w:lineRule="exact"/>
        <w:rPr>
          <w:rFonts w:ascii="Arial" w:cs="Arial" w:eastAsia="Arial" w:hAnsi="Arial"/>
          <w:sz w:val="15"/>
          <w:szCs w:val="15"/>
          <w:color w:val="auto"/>
        </w:rPr>
      </w:pPr>
    </w:p>
    <w:p>
      <w:pPr>
        <w:ind w:left="260"/>
        <w:spacing w:after="0"/>
        <w:rPr>
          <w:sz w:val="20"/>
          <w:szCs w:val="20"/>
          <w:color w:val="auto"/>
        </w:rPr>
      </w:pPr>
      <w:r>
        <w:rPr>
          <w:rFonts w:ascii="Arial" w:cs="Arial" w:eastAsia="Arial" w:hAnsi="Arial"/>
          <w:sz w:val="18"/>
          <w:szCs w:val="18"/>
          <w:color w:val="auto"/>
        </w:rPr>
        <w:t>3.2</w:t>
      </w:r>
    </w:p>
    <w:p>
      <w:pPr>
        <w:spacing w:after="0" w:line="50" w:lineRule="exact"/>
        <w:rPr>
          <w:rFonts w:ascii="Arial" w:cs="Arial" w:eastAsia="Arial" w:hAnsi="Arial"/>
          <w:sz w:val="15"/>
          <w:szCs w:val="15"/>
          <w:color w:val="auto"/>
        </w:rPr>
      </w:pPr>
    </w:p>
    <w:p>
      <w:pPr>
        <w:ind w:left="260"/>
        <w:spacing w:after="0"/>
        <w:rPr>
          <w:sz w:val="20"/>
          <w:szCs w:val="20"/>
          <w:color w:val="auto"/>
        </w:rPr>
      </w:pPr>
      <w:r>
        <w:rPr>
          <w:rFonts w:ascii="Arial" w:cs="Arial" w:eastAsia="Arial" w:hAnsi="Arial"/>
          <w:sz w:val="18"/>
          <w:szCs w:val="18"/>
          <w:color w:val="auto"/>
        </w:rPr>
        <w:t>4.1</w:t>
      </w:r>
    </w:p>
    <w:p>
      <w:pPr>
        <w:spacing w:after="0" w:line="50" w:lineRule="exact"/>
        <w:rPr>
          <w:rFonts w:ascii="Arial" w:cs="Arial" w:eastAsia="Arial" w:hAnsi="Arial"/>
          <w:sz w:val="15"/>
          <w:szCs w:val="15"/>
          <w:color w:val="auto"/>
        </w:rPr>
      </w:pPr>
    </w:p>
    <w:p>
      <w:pPr>
        <w:ind w:left="260"/>
        <w:spacing w:after="0"/>
        <w:rPr>
          <w:sz w:val="20"/>
          <w:szCs w:val="20"/>
          <w:color w:val="auto"/>
        </w:rPr>
      </w:pPr>
      <w:r>
        <w:rPr>
          <w:rFonts w:ascii="Arial" w:cs="Arial" w:eastAsia="Arial" w:hAnsi="Arial"/>
          <w:sz w:val="18"/>
          <w:szCs w:val="18"/>
          <w:color w:val="auto"/>
        </w:rPr>
        <w:t>4.2</w:t>
      </w:r>
    </w:p>
    <w:p>
      <w:pPr>
        <w:spacing w:after="0" w:line="50" w:lineRule="exact"/>
        <w:rPr>
          <w:rFonts w:ascii="Arial" w:cs="Arial" w:eastAsia="Arial" w:hAnsi="Arial"/>
          <w:sz w:val="15"/>
          <w:szCs w:val="15"/>
          <w:color w:val="auto"/>
        </w:rPr>
      </w:pPr>
    </w:p>
    <w:p>
      <w:pPr>
        <w:ind w:left="260"/>
        <w:spacing w:after="0"/>
        <w:rPr>
          <w:sz w:val="20"/>
          <w:szCs w:val="20"/>
          <w:color w:val="auto"/>
        </w:rPr>
      </w:pPr>
      <w:r>
        <w:rPr>
          <w:rFonts w:ascii="Arial" w:cs="Arial" w:eastAsia="Arial" w:hAnsi="Arial"/>
          <w:sz w:val="18"/>
          <w:szCs w:val="18"/>
          <w:color w:val="auto"/>
        </w:rPr>
        <w:t>4.3</w:t>
      </w:r>
    </w:p>
    <w:p>
      <w:pPr>
        <w:spacing w:after="0" w:line="266" w:lineRule="exact"/>
        <w:rPr>
          <w:rFonts w:ascii="Arial" w:cs="Arial" w:eastAsia="Arial" w:hAnsi="Arial"/>
          <w:sz w:val="15"/>
          <w:szCs w:val="15"/>
          <w:color w:val="auto"/>
        </w:rPr>
      </w:pPr>
    </w:p>
    <w:p>
      <w:pPr>
        <w:ind w:left="260"/>
        <w:spacing w:after="0"/>
        <w:rPr>
          <w:sz w:val="20"/>
          <w:szCs w:val="20"/>
          <w:color w:val="auto"/>
        </w:rPr>
      </w:pPr>
      <w:r>
        <w:rPr>
          <w:rFonts w:ascii="Arial" w:cs="Arial" w:eastAsia="Arial" w:hAnsi="Arial"/>
          <w:sz w:val="18"/>
          <w:szCs w:val="18"/>
          <w:color w:val="auto"/>
        </w:rPr>
        <w:t>4.4</w:t>
      </w:r>
    </w:p>
    <w:p>
      <w:pPr>
        <w:spacing w:after="0" w:line="266" w:lineRule="exact"/>
        <w:rPr>
          <w:rFonts w:ascii="Arial" w:cs="Arial" w:eastAsia="Arial" w:hAnsi="Arial"/>
          <w:sz w:val="15"/>
          <w:szCs w:val="15"/>
          <w:color w:val="auto"/>
        </w:rPr>
      </w:pPr>
    </w:p>
    <w:p>
      <w:pPr>
        <w:ind w:left="260"/>
        <w:spacing w:after="0"/>
        <w:rPr>
          <w:sz w:val="20"/>
          <w:szCs w:val="20"/>
          <w:color w:val="auto"/>
        </w:rPr>
      </w:pPr>
      <w:r>
        <w:rPr>
          <w:rFonts w:ascii="Arial" w:cs="Arial" w:eastAsia="Arial" w:hAnsi="Arial"/>
          <w:sz w:val="18"/>
          <w:szCs w:val="18"/>
          <w:color w:val="auto"/>
        </w:rPr>
        <w:t>4.5</w:t>
      </w:r>
    </w:p>
    <w:p>
      <w:pPr>
        <w:spacing w:after="0" w:line="23" w:lineRule="exact"/>
        <w:rPr>
          <w:rFonts w:ascii="Arial" w:cs="Arial" w:eastAsia="Arial" w:hAnsi="Arial"/>
          <w:sz w:val="15"/>
          <w:szCs w:val="15"/>
          <w:color w:val="auto"/>
        </w:rPr>
      </w:pPr>
    </w:p>
    <w:p>
      <w:pPr>
        <w:ind w:left="200"/>
        <w:spacing w:after="0"/>
        <w:rPr>
          <w:sz w:val="20"/>
          <w:szCs w:val="20"/>
          <w:color w:val="auto"/>
        </w:rPr>
      </w:pPr>
      <w:r>
        <w:rPr>
          <w:rFonts w:ascii="Arial" w:cs="Arial" w:eastAsia="Arial" w:hAnsi="Arial"/>
          <w:sz w:val="18"/>
          <w:szCs w:val="18"/>
          <w:color w:val="auto"/>
        </w:rPr>
        <w:t>10.1</w:t>
      </w:r>
    </w:p>
    <w:p>
      <w:pPr>
        <w:spacing w:after="0" w:line="35" w:lineRule="exact"/>
        <w:rPr>
          <w:rFonts w:ascii="Arial" w:cs="Arial" w:eastAsia="Arial" w:hAnsi="Arial"/>
          <w:sz w:val="15"/>
          <w:szCs w:val="15"/>
          <w:color w:val="auto"/>
        </w:rPr>
      </w:pPr>
    </w:p>
    <w:p>
      <w:pPr>
        <w:ind w:left="200"/>
        <w:spacing w:after="0"/>
        <w:rPr>
          <w:sz w:val="20"/>
          <w:szCs w:val="20"/>
          <w:color w:val="auto"/>
        </w:rPr>
      </w:pPr>
      <w:r>
        <w:rPr>
          <w:rFonts w:ascii="Arial" w:cs="Arial" w:eastAsia="Arial" w:hAnsi="Arial"/>
          <w:sz w:val="18"/>
          <w:szCs w:val="18"/>
          <w:color w:val="auto"/>
        </w:rPr>
        <w:t>10.2</w:t>
      </w:r>
    </w:p>
    <w:p>
      <w:pPr>
        <w:spacing w:after="0" w:line="50" w:lineRule="exact"/>
        <w:rPr>
          <w:rFonts w:ascii="Arial" w:cs="Arial" w:eastAsia="Arial" w:hAnsi="Arial"/>
          <w:sz w:val="15"/>
          <w:szCs w:val="15"/>
          <w:color w:val="auto"/>
        </w:rPr>
      </w:pPr>
    </w:p>
    <w:p>
      <w:pPr>
        <w:ind w:left="200"/>
        <w:spacing w:after="0"/>
        <w:rPr>
          <w:sz w:val="20"/>
          <w:szCs w:val="20"/>
          <w:color w:val="auto"/>
        </w:rPr>
      </w:pPr>
      <w:r>
        <w:rPr>
          <w:rFonts w:ascii="Arial" w:cs="Arial" w:eastAsia="Arial" w:hAnsi="Arial"/>
          <w:sz w:val="18"/>
          <w:szCs w:val="18"/>
          <w:color w:val="auto"/>
        </w:rPr>
        <w:t>10.3</w:t>
      </w:r>
    </w:p>
    <w:p>
      <w:pPr>
        <w:spacing w:after="0" w:line="50" w:lineRule="exact"/>
        <w:rPr>
          <w:rFonts w:ascii="Arial" w:cs="Arial" w:eastAsia="Arial" w:hAnsi="Arial"/>
          <w:sz w:val="15"/>
          <w:szCs w:val="15"/>
          <w:color w:val="auto"/>
        </w:rPr>
      </w:pPr>
    </w:p>
    <w:p>
      <w:pPr>
        <w:ind w:left="200"/>
        <w:spacing w:after="0"/>
        <w:rPr>
          <w:sz w:val="20"/>
          <w:szCs w:val="20"/>
          <w:color w:val="auto"/>
        </w:rPr>
      </w:pPr>
      <w:r>
        <w:rPr>
          <w:rFonts w:ascii="Arial" w:cs="Arial" w:eastAsia="Arial" w:hAnsi="Arial"/>
          <w:sz w:val="18"/>
          <w:szCs w:val="18"/>
          <w:color w:val="auto"/>
        </w:rPr>
        <w:t>10.4</w:t>
      </w:r>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295" w:lineRule="exact"/>
        <w:rPr>
          <w:rFonts w:ascii="Arial" w:cs="Arial" w:eastAsia="Arial" w:hAnsi="Arial"/>
          <w:sz w:val="15"/>
          <w:szCs w:val="15"/>
          <w:color w:val="auto"/>
        </w:rPr>
      </w:pPr>
    </w:p>
    <w:p>
      <w:pPr>
        <w:ind w:left="3280"/>
        <w:spacing w:after="0"/>
        <w:rPr>
          <w:sz w:val="20"/>
          <w:szCs w:val="20"/>
          <w:color w:val="auto"/>
        </w:rPr>
      </w:pPr>
      <w:r>
        <w:rPr>
          <w:rFonts w:ascii="Arial" w:cs="Arial" w:eastAsia="Arial" w:hAnsi="Arial"/>
          <w:sz w:val="14"/>
          <w:szCs w:val="14"/>
          <w:b w:val="1"/>
          <w:bCs w:val="1"/>
          <w:color w:val="auto"/>
        </w:rPr>
        <w:t>Description</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463105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96" w:lineRule="auto"/>
        <w:rPr>
          <w:sz w:val="20"/>
          <w:szCs w:val="20"/>
          <w:color w:val="auto"/>
        </w:rPr>
      </w:pPr>
      <w:r>
        <w:rPr>
          <w:rFonts w:ascii="Arial" w:cs="Arial" w:eastAsia="Arial" w:hAnsi="Arial"/>
          <w:sz w:val="18"/>
          <w:szCs w:val="18"/>
          <w:color w:val="auto"/>
        </w:rPr>
        <w:t>Form of Certificate of Incorporation of the Company.</w:t>
      </w:r>
      <w:r>
        <w:rPr>
          <w:rFonts w:ascii="Arial" w:cs="Arial" w:eastAsia="Arial" w:hAnsi="Arial"/>
          <w:sz w:val="30"/>
          <w:szCs w:val="30"/>
          <w:color w:val="auto"/>
          <w:vertAlign w:val="superscript"/>
        </w:rPr>
        <w:t>(1)</w:t>
      </w:r>
    </w:p>
    <w:p>
      <w:pPr>
        <w:spacing w:after="0" w:line="206" w:lineRule="auto"/>
        <w:rPr>
          <w:sz w:val="20"/>
          <w:szCs w:val="20"/>
          <w:color w:val="auto"/>
        </w:rPr>
      </w:pPr>
      <w:r>
        <w:rPr>
          <w:rFonts w:ascii="Arial" w:cs="Arial" w:eastAsia="Arial" w:hAnsi="Arial"/>
          <w:sz w:val="18"/>
          <w:szCs w:val="18"/>
          <w:color w:val="auto"/>
        </w:rPr>
        <w:t>Form of Bylaws of the Company, as amended and restated effective February 29, 2012.</w:t>
      </w:r>
      <w:r>
        <w:rPr>
          <w:rFonts w:ascii="Arial" w:cs="Arial" w:eastAsia="Arial" w:hAnsi="Arial"/>
          <w:sz w:val="30"/>
          <w:szCs w:val="30"/>
          <w:color w:val="auto"/>
          <w:vertAlign w:val="superscript"/>
        </w:rPr>
        <w:t>(2)</w:t>
      </w:r>
    </w:p>
    <w:p>
      <w:pPr>
        <w:spacing w:after="0" w:line="181" w:lineRule="auto"/>
        <w:rPr>
          <w:sz w:val="20"/>
          <w:szCs w:val="20"/>
          <w:color w:val="auto"/>
        </w:rPr>
      </w:pPr>
      <w:r>
        <w:rPr>
          <w:rFonts w:ascii="Arial" w:cs="Arial" w:eastAsia="Arial" w:hAnsi="Arial"/>
          <w:sz w:val="16"/>
          <w:szCs w:val="16"/>
          <w:color w:val="auto"/>
        </w:rPr>
        <w:t>Specimen certificate of the Company’s common stock, par value $0.01 per share.</w:t>
      </w:r>
      <w:r>
        <w:rPr>
          <w:rFonts w:ascii="Arial" w:cs="Arial" w:eastAsia="Arial" w:hAnsi="Arial"/>
          <w:sz w:val="25"/>
          <w:szCs w:val="25"/>
          <w:color w:val="auto"/>
          <w:vertAlign w:val="superscript"/>
        </w:rPr>
        <w:t>(1)</w:t>
      </w:r>
    </w:p>
    <w:p>
      <w:pPr>
        <w:spacing w:after="0" w:line="185" w:lineRule="auto"/>
        <w:rPr>
          <w:sz w:val="20"/>
          <w:szCs w:val="20"/>
          <w:color w:val="auto"/>
        </w:rPr>
      </w:pPr>
      <w:r>
        <w:rPr>
          <w:rFonts w:ascii="Arial" w:cs="Arial" w:eastAsia="Arial" w:hAnsi="Arial"/>
          <w:sz w:val="18"/>
          <w:szCs w:val="18"/>
          <w:color w:val="auto"/>
        </w:rPr>
        <w:t>Form of Dividend Reinvestment Plan.</w:t>
      </w:r>
      <w:r>
        <w:rPr>
          <w:rFonts w:ascii="Arial" w:cs="Arial" w:eastAsia="Arial" w:hAnsi="Arial"/>
          <w:sz w:val="29"/>
          <w:szCs w:val="29"/>
          <w:color w:val="auto"/>
          <w:vertAlign w:val="superscript"/>
        </w:rPr>
        <w:t>(3)</w:t>
      </w:r>
    </w:p>
    <w:p>
      <w:pPr>
        <w:spacing w:after="0"/>
        <w:rPr>
          <w:sz w:val="20"/>
          <w:szCs w:val="20"/>
          <w:color w:val="auto"/>
        </w:rPr>
      </w:pPr>
      <w:r>
        <w:rPr>
          <w:rFonts w:ascii="Arial" w:cs="Arial" w:eastAsia="Arial" w:hAnsi="Arial"/>
          <w:sz w:val="16"/>
          <w:szCs w:val="16"/>
          <w:color w:val="auto"/>
        </w:rPr>
        <w:t>Form of Base Indenture between the Company and U.S. Bank National Association relating to the</w:t>
      </w:r>
    </w:p>
    <w:p>
      <w:pPr>
        <w:spacing w:after="0" w:line="200" w:lineRule="auto"/>
        <w:rPr>
          <w:sz w:val="20"/>
          <w:szCs w:val="20"/>
          <w:color w:val="auto"/>
        </w:rPr>
      </w:pPr>
      <w:r>
        <w:rPr>
          <w:rFonts w:ascii="Arial" w:cs="Arial" w:eastAsia="Arial" w:hAnsi="Arial"/>
          <w:sz w:val="18"/>
          <w:szCs w:val="18"/>
          <w:color w:val="auto"/>
        </w:rPr>
        <w:t>7.375% Senior Notes Due 2019</w:t>
      </w:r>
      <w:r>
        <w:rPr>
          <w:rFonts w:ascii="Arial" w:cs="Arial" w:eastAsia="Arial" w:hAnsi="Arial"/>
          <w:sz w:val="30"/>
          <w:szCs w:val="30"/>
          <w:color w:val="auto"/>
          <w:vertAlign w:val="superscript"/>
        </w:rPr>
        <w:t>(4)</w:t>
      </w:r>
    </w:p>
    <w:p>
      <w:pPr>
        <w:spacing w:after="0" w:line="1"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Form of First Supplemental Indenture between the Company and U.S. Bank National Association</w:t>
      </w:r>
    </w:p>
    <w:p>
      <w:pPr>
        <w:spacing w:after="0" w:line="200" w:lineRule="auto"/>
        <w:rPr>
          <w:sz w:val="20"/>
          <w:szCs w:val="20"/>
          <w:color w:val="auto"/>
        </w:rPr>
      </w:pPr>
      <w:r>
        <w:rPr>
          <w:rFonts w:ascii="Arial" w:cs="Arial" w:eastAsia="Arial" w:hAnsi="Arial"/>
          <w:sz w:val="18"/>
          <w:szCs w:val="18"/>
          <w:color w:val="auto"/>
        </w:rPr>
        <w:t>relating to the 7.375% Senior Notes Due 2019</w:t>
      </w:r>
      <w:r>
        <w:rPr>
          <w:rFonts w:ascii="Arial" w:cs="Arial" w:eastAsia="Arial" w:hAnsi="Arial"/>
          <w:sz w:val="30"/>
          <w:szCs w:val="30"/>
          <w:color w:val="auto"/>
          <w:vertAlign w:val="superscript"/>
        </w:rPr>
        <w:t>(4)</w:t>
      </w:r>
    </w:p>
    <w:p>
      <w:pPr>
        <w:spacing w:after="0" w:line="1"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7"/>
          <w:szCs w:val="17"/>
          <w:color w:val="auto"/>
        </w:rPr>
        <w:t>Form of Note relating to the 7.375% Senior Notes Due 2019 (included as part of Exhibit 4.4)</w:t>
      </w:r>
    </w:p>
    <w:p>
      <w:pPr>
        <w:spacing w:after="0" w:line="192" w:lineRule="auto"/>
        <w:rPr>
          <w:sz w:val="20"/>
          <w:szCs w:val="20"/>
          <w:color w:val="auto"/>
        </w:rPr>
      </w:pPr>
      <w:r>
        <w:rPr>
          <w:rFonts w:ascii="Arial" w:cs="Arial" w:eastAsia="Arial" w:hAnsi="Arial"/>
          <w:sz w:val="18"/>
          <w:szCs w:val="18"/>
          <w:color w:val="auto"/>
        </w:rPr>
        <w:t>Form of the Amended and Restated 2006 Equity Incentive Plan.</w:t>
      </w:r>
      <w:r>
        <w:rPr>
          <w:rFonts w:ascii="Arial" w:cs="Arial" w:eastAsia="Arial" w:hAnsi="Arial"/>
          <w:sz w:val="30"/>
          <w:szCs w:val="30"/>
          <w:color w:val="auto"/>
          <w:vertAlign w:val="superscript"/>
        </w:rPr>
        <w:t>(5)</w:t>
      </w:r>
      <w:r>
        <w:rPr>
          <w:rFonts w:ascii="Arial" w:cs="Arial" w:eastAsia="Arial" w:hAnsi="Arial"/>
          <w:sz w:val="18"/>
          <w:szCs w:val="18"/>
          <w:color w:val="auto"/>
        </w:rPr>
        <w:t>*</w:t>
      </w:r>
    </w:p>
    <w:p>
      <w:pPr>
        <w:spacing w:after="0" w:line="185" w:lineRule="auto"/>
        <w:rPr>
          <w:sz w:val="20"/>
          <w:szCs w:val="20"/>
          <w:color w:val="auto"/>
        </w:rPr>
      </w:pPr>
      <w:r>
        <w:rPr>
          <w:rFonts w:ascii="Arial" w:cs="Arial" w:eastAsia="Arial" w:hAnsi="Arial"/>
          <w:sz w:val="18"/>
          <w:szCs w:val="18"/>
          <w:color w:val="auto"/>
        </w:rPr>
        <w:t>Form of Company Non-Qualified Stock Option Certificate.</w:t>
      </w:r>
      <w:r>
        <w:rPr>
          <w:rFonts w:ascii="Arial" w:cs="Arial" w:eastAsia="Arial" w:hAnsi="Arial"/>
          <w:sz w:val="29"/>
          <w:szCs w:val="29"/>
          <w:color w:val="auto"/>
          <w:vertAlign w:val="superscript"/>
        </w:rPr>
        <w:t>(3)</w:t>
      </w:r>
      <w:r>
        <w:rPr>
          <w:rFonts w:ascii="Arial" w:cs="Arial" w:eastAsia="Arial" w:hAnsi="Arial"/>
          <w:sz w:val="18"/>
          <w:szCs w:val="18"/>
          <w:color w:val="auto"/>
        </w:rPr>
        <w:t>*</w:t>
      </w:r>
    </w:p>
    <w:p>
      <w:pPr>
        <w:spacing w:after="0" w:line="185" w:lineRule="auto"/>
        <w:rPr>
          <w:sz w:val="20"/>
          <w:szCs w:val="20"/>
          <w:color w:val="auto"/>
        </w:rPr>
      </w:pPr>
      <w:r>
        <w:rPr>
          <w:rFonts w:ascii="Arial" w:cs="Arial" w:eastAsia="Arial" w:hAnsi="Arial"/>
          <w:sz w:val="18"/>
          <w:szCs w:val="18"/>
          <w:color w:val="auto"/>
        </w:rPr>
        <w:t xml:space="preserve">Form of Custodian Agreement. </w:t>
      </w:r>
      <w:r>
        <w:rPr>
          <w:rFonts w:ascii="Arial" w:cs="Arial" w:eastAsia="Arial" w:hAnsi="Arial"/>
          <w:sz w:val="29"/>
          <w:szCs w:val="29"/>
          <w:color w:val="auto"/>
          <w:vertAlign w:val="superscript"/>
        </w:rPr>
        <w:t>(3)</w:t>
      </w:r>
    </w:p>
    <w:p>
      <w:pPr>
        <w:spacing w:after="0"/>
        <w:rPr>
          <w:sz w:val="20"/>
          <w:szCs w:val="20"/>
          <w:color w:val="auto"/>
        </w:rPr>
      </w:pPr>
      <w:r>
        <w:rPr>
          <w:rFonts w:ascii="Arial" w:cs="Arial" w:eastAsia="Arial" w:hAnsi="Arial"/>
          <w:sz w:val="16"/>
          <w:szCs w:val="16"/>
          <w:color w:val="auto"/>
        </w:rPr>
        <w:t>Form of Overhead Allocation Agreement between the Company and Katonah Debt Advisors, L.L.C.</w:t>
      </w:r>
    </w:p>
    <w:p>
      <w:pPr>
        <w:spacing w:after="0" w:line="30"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(3)</w:t>
      </w:r>
    </w:p>
    <w:p>
      <w:pPr>
        <w:spacing w:after="0" w:line="1" w:lineRule="exact"/>
        <w:rPr>
          <w:rFonts w:ascii="Arial" w:cs="Arial" w:eastAsia="Arial" w:hAnsi="Arial"/>
          <w:sz w:val="15"/>
          <w:szCs w:val="15"/>
          <w:color w:val="auto"/>
        </w:rPr>
      </w:pPr>
    </w:p>
    <w:p>
      <w:pPr>
        <w:sectPr>
          <w:pgSz w:w="11900" w:h="16838" w:orient="portrait"/>
          <w:cols w:equalWidth="0" w:num="2">
            <w:col w:w="620" w:space="300"/>
            <w:col w:w="9159"/>
          </w:cols>
          <w:pgMar w:left="380" w:top="792" w:right="1440" w:bottom="1440" w:gutter="0" w:footer="0" w:header="0"/>
          <w:type w:val="continuous"/>
        </w:sectPr>
      </w:pPr>
    </w:p>
    <w:p>
      <w:pPr>
        <w:spacing w:after="0" w:line="15" w:lineRule="exact"/>
        <w:rPr>
          <w:rFonts w:ascii="Arial" w:cs="Arial" w:eastAsia="Arial" w:hAnsi="Arial"/>
          <w:sz w:val="15"/>
          <w:szCs w:val="15"/>
          <w:color w:val="auto"/>
        </w:rPr>
      </w:pPr>
    </w:p>
    <w:p>
      <w:pPr>
        <w:ind w:left="200"/>
        <w:spacing w:after="0"/>
        <w:rPr>
          <w:sz w:val="20"/>
          <w:szCs w:val="20"/>
          <w:color w:val="auto"/>
        </w:rPr>
      </w:pPr>
      <w:r>
        <w:rPr>
          <w:rFonts w:ascii="Arial" w:cs="Arial" w:eastAsia="Arial" w:hAnsi="Arial"/>
          <w:sz w:val="18"/>
          <w:szCs w:val="18"/>
          <w:color w:val="auto"/>
        </w:rPr>
        <w:t>10.5</w:t>
      </w:r>
    </w:p>
    <w:p>
      <w:pPr>
        <w:spacing w:after="0" w:line="50" w:lineRule="exact"/>
        <w:rPr>
          <w:rFonts w:ascii="Arial" w:cs="Arial" w:eastAsia="Arial" w:hAnsi="Arial"/>
          <w:sz w:val="15"/>
          <w:szCs w:val="15"/>
          <w:color w:val="auto"/>
        </w:rPr>
      </w:pPr>
    </w:p>
    <w:p>
      <w:pPr>
        <w:ind w:left="200"/>
        <w:spacing w:after="0"/>
        <w:rPr>
          <w:sz w:val="20"/>
          <w:szCs w:val="20"/>
          <w:color w:val="auto"/>
        </w:rPr>
      </w:pPr>
      <w:r>
        <w:rPr>
          <w:rFonts w:ascii="Arial" w:cs="Arial" w:eastAsia="Arial" w:hAnsi="Arial"/>
          <w:sz w:val="18"/>
          <w:szCs w:val="18"/>
          <w:color w:val="auto"/>
        </w:rPr>
        <w:t>10.6</w:t>
      </w:r>
    </w:p>
    <w:p>
      <w:pPr>
        <w:spacing w:after="0" w:line="50" w:lineRule="exact"/>
        <w:rPr>
          <w:rFonts w:ascii="Arial" w:cs="Arial" w:eastAsia="Arial" w:hAnsi="Arial"/>
          <w:sz w:val="15"/>
          <w:szCs w:val="15"/>
          <w:color w:val="auto"/>
        </w:rPr>
      </w:pPr>
    </w:p>
    <w:p>
      <w:pPr>
        <w:ind w:left="200"/>
        <w:spacing w:after="0"/>
        <w:rPr>
          <w:sz w:val="20"/>
          <w:szCs w:val="20"/>
          <w:color w:val="auto"/>
        </w:rPr>
      </w:pPr>
      <w:r>
        <w:rPr>
          <w:rFonts w:ascii="Arial" w:cs="Arial" w:eastAsia="Arial" w:hAnsi="Arial"/>
          <w:sz w:val="18"/>
          <w:szCs w:val="18"/>
          <w:color w:val="auto"/>
        </w:rPr>
        <w:t>10.7</w:t>
      </w:r>
    </w:p>
    <w:p>
      <w:pPr>
        <w:spacing w:after="0" w:line="50" w:lineRule="exact"/>
        <w:rPr>
          <w:rFonts w:ascii="Arial" w:cs="Arial" w:eastAsia="Arial" w:hAnsi="Arial"/>
          <w:sz w:val="15"/>
          <w:szCs w:val="15"/>
          <w:color w:val="auto"/>
        </w:rPr>
      </w:pPr>
    </w:p>
    <w:p>
      <w:pPr>
        <w:ind w:left="200"/>
        <w:spacing w:after="0"/>
        <w:rPr>
          <w:sz w:val="20"/>
          <w:szCs w:val="20"/>
          <w:color w:val="auto"/>
        </w:rPr>
      </w:pPr>
      <w:r>
        <w:rPr>
          <w:rFonts w:ascii="Arial" w:cs="Arial" w:eastAsia="Arial" w:hAnsi="Arial"/>
          <w:sz w:val="18"/>
          <w:szCs w:val="18"/>
          <w:color w:val="auto"/>
        </w:rPr>
        <w:t>10.8</w:t>
      </w:r>
    </w:p>
    <w:p>
      <w:pPr>
        <w:spacing w:after="0" w:line="266" w:lineRule="exact"/>
        <w:rPr>
          <w:rFonts w:ascii="Arial" w:cs="Arial" w:eastAsia="Arial" w:hAnsi="Arial"/>
          <w:sz w:val="15"/>
          <w:szCs w:val="15"/>
          <w:color w:val="auto"/>
        </w:rPr>
      </w:pPr>
    </w:p>
    <w:p>
      <w:pPr>
        <w:ind w:left="200"/>
        <w:spacing w:after="0"/>
        <w:rPr>
          <w:sz w:val="20"/>
          <w:szCs w:val="20"/>
          <w:color w:val="auto"/>
        </w:rPr>
      </w:pPr>
      <w:r>
        <w:rPr>
          <w:rFonts w:ascii="Arial" w:cs="Arial" w:eastAsia="Arial" w:hAnsi="Arial"/>
          <w:sz w:val="18"/>
          <w:szCs w:val="18"/>
          <w:color w:val="auto"/>
        </w:rPr>
        <w:t>10.9</w:t>
      </w:r>
    </w:p>
    <w:p>
      <w:pPr>
        <w:spacing w:after="0" w:line="266" w:lineRule="exact"/>
        <w:rPr>
          <w:rFonts w:ascii="Arial" w:cs="Arial" w:eastAsia="Arial" w:hAnsi="Arial"/>
          <w:sz w:val="15"/>
          <w:szCs w:val="15"/>
          <w:color w:val="auto"/>
        </w:rPr>
      </w:pPr>
    </w:p>
    <w:p>
      <w:pPr>
        <w:ind w:left="160"/>
        <w:spacing w:after="0"/>
        <w:rPr>
          <w:sz w:val="20"/>
          <w:szCs w:val="20"/>
          <w:color w:val="auto"/>
        </w:rPr>
      </w:pPr>
      <w:r>
        <w:rPr>
          <w:rFonts w:ascii="Arial" w:cs="Arial" w:eastAsia="Arial" w:hAnsi="Arial"/>
          <w:sz w:val="16"/>
          <w:szCs w:val="16"/>
          <w:color w:val="auto"/>
        </w:rPr>
        <w:t>10.10</w:t>
      </w:r>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200" w:lineRule="auto"/>
        <w:rPr>
          <w:sz w:val="20"/>
          <w:szCs w:val="20"/>
          <w:color w:val="auto"/>
        </w:rPr>
      </w:pPr>
      <w:r>
        <w:rPr>
          <w:rFonts w:ascii="Arial" w:cs="Arial" w:eastAsia="Arial" w:hAnsi="Arial"/>
          <w:sz w:val="18"/>
          <w:szCs w:val="18"/>
          <w:color w:val="auto"/>
        </w:rPr>
        <w:t>Form of Executive Employment Agreement.</w:t>
      </w:r>
      <w:r>
        <w:rPr>
          <w:rFonts w:ascii="Arial" w:cs="Arial" w:eastAsia="Arial" w:hAnsi="Arial"/>
          <w:sz w:val="30"/>
          <w:szCs w:val="30"/>
          <w:color w:val="auto"/>
          <w:vertAlign w:val="superscript"/>
        </w:rPr>
        <w:t>(6)</w:t>
      </w:r>
      <w:r>
        <w:rPr>
          <w:rFonts w:ascii="Arial" w:cs="Arial" w:eastAsia="Arial" w:hAnsi="Arial"/>
          <w:sz w:val="18"/>
          <w:szCs w:val="18"/>
          <w:color w:val="auto"/>
        </w:rPr>
        <w:t>*</w:t>
      </w:r>
    </w:p>
    <w:p>
      <w:pPr>
        <w:spacing w:after="0" w:line="185" w:lineRule="auto"/>
        <w:rPr>
          <w:sz w:val="20"/>
          <w:szCs w:val="20"/>
          <w:color w:val="auto"/>
        </w:rPr>
      </w:pPr>
      <w:r>
        <w:rPr>
          <w:rFonts w:ascii="Arial" w:cs="Arial" w:eastAsia="Arial" w:hAnsi="Arial"/>
          <w:sz w:val="18"/>
          <w:szCs w:val="18"/>
          <w:color w:val="auto"/>
        </w:rPr>
        <w:t>Form of Indemnification Agreement for Officers and Directors of the Company.</w:t>
      </w:r>
      <w:r>
        <w:rPr>
          <w:rFonts w:ascii="Arial" w:cs="Arial" w:eastAsia="Arial" w:hAnsi="Arial"/>
          <w:sz w:val="29"/>
          <w:szCs w:val="29"/>
          <w:color w:val="auto"/>
          <w:vertAlign w:val="superscript"/>
        </w:rPr>
        <w:t>(7)</w:t>
      </w:r>
    </w:p>
    <w:p>
      <w:pPr>
        <w:spacing w:after="0" w:line="184" w:lineRule="auto"/>
        <w:rPr>
          <w:sz w:val="20"/>
          <w:szCs w:val="20"/>
          <w:color w:val="auto"/>
        </w:rPr>
      </w:pPr>
      <w:r>
        <w:rPr>
          <w:rFonts w:ascii="Arial" w:cs="Arial" w:eastAsia="Arial" w:hAnsi="Arial"/>
          <w:sz w:val="18"/>
          <w:szCs w:val="18"/>
          <w:color w:val="auto"/>
        </w:rPr>
        <w:t>Amended and Restated Non-Employee Director Plan.</w:t>
      </w:r>
      <w:r>
        <w:rPr>
          <w:rFonts w:ascii="Arial" w:cs="Arial" w:eastAsia="Arial" w:hAnsi="Arial"/>
          <w:sz w:val="29"/>
          <w:szCs w:val="29"/>
          <w:color w:val="auto"/>
          <w:vertAlign w:val="superscript"/>
        </w:rPr>
        <w:t>(8)</w:t>
      </w:r>
      <w:r>
        <w:rPr>
          <w:rFonts w:ascii="Arial" w:cs="Arial" w:eastAsia="Arial" w:hAnsi="Arial"/>
          <w:sz w:val="18"/>
          <w:szCs w:val="18"/>
          <w:color w:val="auto"/>
        </w:rPr>
        <w:t>*</w:t>
      </w:r>
    </w:p>
    <w:p>
      <w:pPr>
        <w:spacing w:after="0" w:line="1"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Purchase Agreement, dated June 16, 2013, by and among KCAP Financial, Inc., KCAP Senior</w:t>
      </w:r>
    </w:p>
    <w:p>
      <w:pPr>
        <w:spacing w:after="0" w:line="30" w:lineRule="exact"/>
        <w:rPr>
          <w:rFonts w:ascii="Arial" w:cs="Arial" w:eastAsia="Arial" w:hAnsi="Arial"/>
          <w:sz w:val="15"/>
          <w:szCs w:val="15"/>
          <w:color w:val="auto"/>
        </w:rPr>
      </w:pPr>
    </w:p>
    <w:p>
      <w:pPr>
        <w:ind w:right="2239"/>
        <w:spacing w:after="0" w:line="208" w:lineRule="auto"/>
        <w:rPr>
          <w:sz w:val="20"/>
          <w:szCs w:val="20"/>
          <w:color w:val="auto"/>
        </w:rPr>
      </w:pPr>
      <w:r>
        <w:rPr>
          <w:rFonts w:ascii="Arial" w:cs="Arial" w:eastAsia="Arial" w:hAnsi="Arial"/>
          <w:sz w:val="17"/>
          <w:szCs w:val="17"/>
          <w:color w:val="auto"/>
        </w:rPr>
        <w:t>Funding I Holdings, LLC, KCAP Senior Funding I, LLC and Guggenheim Securities, LLC.</w:t>
      </w:r>
      <w:r>
        <w:rPr>
          <w:rFonts w:ascii="Arial" w:cs="Arial" w:eastAsia="Arial" w:hAnsi="Arial"/>
          <w:sz w:val="28"/>
          <w:szCs w:val="28"/>
          <w:color w:val="auto"/>
          <w:vertAlign w:val="superscript"/>
        </w:rPr>
        <w:t>(9)</w:t>
      </w:r>
      <w:r>
        <w:rPr>
          <w:rFonts w:ascii="Arial" w:cs="Arial" w:eastAsia="Arial" w:hAnsi="Arial"/>
          <w:sz w:val="17"/>
          <w:szCs w:val="17"/>
          <w:color w:val="auto"/>
        </w:rPr>
        <w:t xml:space="preserve"> Master Loan Sale Agreement, dated June 18, 2013, by and among KCAP Financial, Inc., KCAP Senior Funding I Holdings, LLC and KCAP Senior Funding I, LLC.</w:t>
      </w:r>
      <w:r>
        <w:rPr>
          <w:rFonts w:ascii="Arial" w:cs="Arial" w:eastAsia="Arial" w:hAnsi="Arial"/>
          <w:sz w:val="28"/>
          <w:szCs w:val="28"/>
          <w:color w:val="auto"/>
          <w:vertAlign w:val="superscript"/>
        </w:rPr>
        <w:t>(10)</w:t>
      </w:r>
    </w:p>
    <w:p>
      <w:pPr>
        <w:spacing w:after="0" w:line="3"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Indenture, dated June 18, 2013, by and between KCAP Senior Funding I, LLC and U.S. Bank</w:t>
      </w:r>
    </w:p>
    <w:p>
      <w:pPr>
        <w:spacing w:after="0" w:line="1" w:lineRule="exact"/>
        <w:rPr>
          <w:rFonts w:ascii="Arial" w:cs="Arial" w:eastAsia="Arial" w:hAnsi="Arial"/>
          <w:sz w:val="15"/>
          <w:szCs w:val="15"/>
          <w:color w:val="auto"/>
        </w:rPr>
      </w:pPr>
    </w:p>
    <w:p>
      <w:pPr>
        <w:sectPr>
          <w:pgSz w:w="11900" w:h="16838" w:orient="portrait"/>
          <w:cols w:equalWidth="0" w:num="2">
            <w:col w:w="580" w:space="340"/>
            <w:col w:w="9159"/>
          </w:cols>
          <w:pgMar w:left="380" w:top="792" w:right="1440" w:bottom="1440" w:gutter="0" w:footer="0" w:header="0"/>
          <w:type w:val="continuous"/>
        </w:sectPr>
      </w:pPr>
    </w:p>
    <w:p>
      <w:pPr>
        <w:ind w:left="920"/>
        <w:spacing w:after="0" w:line="200" w:lineRule="auto"/>
        <w:rPr>
          <w:sz w:val="20"/>
          <w:szCs w:val="20"/>
          <w:color w:val="auto"/>
        </w:rPr>
      </w:pPr>
      <w:r>
        <w:rPr>
          <w:rFonts w:ascii="Arial" w:cs="Arial" w:eastAsia="Arial" w:hAnsi="Arial"/>
          <w:sz w:val="18"/>
          <w:szCs w:val="18"/>
          <w:color w:val="auto"/>
        </w:rPr>
        <w:t>National Association.</w:t>
      </w:r>
      <w:r>
        <w:rPr>
          <w:rFonts w:ascii="Arial" w:cs="Arial" w:eastAsia="Arial" w:hAnsi="Arial"/>
          <w:sz w:val="30"/>
          <w:szCs w:val="30"/>
          <w:color w:val="auto"/>
          <w:vertAlign w:val="superscript"/>
        </w:rPr>
        <w:t>(11)</w:t>
      </w:r>
    </w:p>
    <w:p>
      <w:pPr>
        <w:spacing w:after="0" w:line="1" w:lineRule="exact"/>
        <w:rPr>
          <w:rFonts w:ascii="Arial" w:cs="Arial" w:eastAsia="Arial" w:hAnsi="Arial"/>
          <w:sz w:val="15"/>
          <w:szCs w:val="15"/>
          <w:color w:val="auto"/>
        </w:rPr>
      </w:pPr>
    </w:p>
    <w:p>
      <w:pPr>
        <w:ind w:left="920" w:right="2039" w:hanging="738"/>
        <w:spacing w:after="0" w:line="205"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Collateral Management Agreement, dated June 18, 2013, by and between KCAP Senior Funding I, LLC and KCAP Financial, Inc.</w:t>
      </w:r>
      <w:r>
        <w:rPr>
          <w:rFonts w:ascii="Arial" w:cs="Arial" w:eastAsia="Arial" w:hAnsi="Arial"/>
          <w:sz w:val="30"/>
          <w:szCs w:val="30"/>
          <w:color w:val="auto"/>
          <w:vertAlign w:val="superscript"/>
        </w:rPr>
        <w:t>(12)</w:t>
      </w:r>
    </w:p>
    <w:p>
      <w:pPr>
        <w:spacing w:after="0" w:line="1" w:lineRule="exact"/>
        <w:rPr>
          <w:rFonts w:ascii="Arial" w:cs="Arial" w:eastAsia="Arial" w:hAnsi="Arial"/>
          <w:sz w:val="15"/>
          <w:szCs w:val="15"/>
          <w:color w:val="auto"/>
        </w:rPr>
      </w:pPr>
    </w:p>
    <w:p>
      <w:pPr>
        <w:ind w:left="920" w:right="1999" w:hanging="742"/>
        <w:spacing w:after="0" w:line="219"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Collateral Administration Agreement, dated June 18, 2013, by and among KCAP Senior Funding I, LLC and U.S. Bank National Association and U.S. Bank National Association.</w:t>
      </w:r>
      <w:r>
        <w:rPr>
          <w:rFonts w:ascii="Arial" w:cs="Arial" w:eastAsia="Arial" w:hAnsi="Arial"/>
          <w:sz w:val="28"/>
          <w:szCs w:val="28"/>
          <w:color w:val="auto"/>
          <w:vertAlign w:val="superscript"/>
        </w:rPr>
        <w:t>(13)</w:t>
      </w:r>
    </w:p>
    <w:p>
      <w:pPr>
        <w:spacing w:after="0" w:line="1" w:lineRule="exact"/>
        <w:rPr>
          <w:rFonts w:ascii="Arial" w:cs="Arial" w:eastAsia="Arial" w:hAnsi="Arial"/>
          <w:sz w:val="15"/>
          <w:szCs w:val="15"/>
          <w:color w:val="auto"/>
        </w:rPr>
      </w:pPr>
    </w:p>
    <w:p>
      <w:pPr>
        <w:jc w:val="right"/>
        <w:ind w:left="160" w:right="1999"/>
        <w:spacing w:after="0" w:line="264" w:lineRule="auto"/>
        <w:rPr>
          <w:sz w:val="20"/>
          <w:szCs w:val="20"/>
          <w:color w:val="auto"/>
        </w:rPr>
      </w:pPr>
      <w:r>
        <w:rPr>
          <w:rFonts w:ascii="Arial" w:cs="Arial" w:eastAsia="Arial" w:hAnsi="Arial"/>
          <w:sz w:val="17"/>
          <w:szCs w:val="17"/>
          <w:color w:val="auto"/>
        </w:rPr>
        <w:t>10.13    Upsize Purchase Agreement, dated December 4, 2014, by and among KCAP Financial, Inc., KCAP Senior Funding I Holdings, LLC, KCAP Senior Funding I, LLC and Guggenheim Securities, LLC.</w:t>
      </w:r>
    </w:p>
    <w:p>
      <w:pPr>
        <w:ind w:left="920"/>
        <w:spacing w:after="0"/>
        <w:rPr>
          <w:sz w:val="20"/>
          <w:szCs w:val="20"/>
          <w:color w:val="auto"/>
        </w:rPr>
      </w:pPr>
      <w:r>
        <w:rPr>
          <w:rFonts w:ascii="Arial" w:cs="Arial" w:eastAsia="Arial" w:hAnsi="Arial"/>
          <w:sz w:val="15"/>
          <w:szCs w:val="15"/>
          <w:color w:val="auto"/>
        </w:rPr>
        <w:t>(14)</w:t>
      </w:r>
    </w:p>
    <w:p>
      <w:pPr>
        <w:spacing w:after="0" w:line="16" w:lineRule="exact"/>
        <w:rPr>
          <w:rFonts w:ascii="Arial" w:cs="Arial" w:eastAsia="Arial" w:hAnsi="Arial"/>
          <w:sz w:val="15"/>
          <w:szCs w:val="15"/>
          <w:color w:val="auto"/>
        </w:rPr>
      </w:pPr>
    </w:p>
    <w:p>
      <w:pPr>
        <w:ind w:left="920" w:right="2159" w:hanging="742"/>
        <w:spacing w:after="0" w:line="212"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Subordinated Note Purchase Agreement, dated December 8, 2014, by and between KCAP Senior Funding I, LLC and KCAP Senior Funding I Holdings, LLC.</w:t>
      </w:r>
      <w:r>
        <w:rPr>
          <w:rFonts w:ascii="Arial" w:cs="Arial" w:eastAsia="Arial" w:hAnsi="Arial"/>
          <w:sz w:val="30"/>
          <w:szCs w:val="30"/>
          <w:color w:val="auto"/>
          <w:vertAlign w:val="superscript"/>
        </w:rPr>
        <w:t>(15)</w:t>
      </w:r>
    </w:p>
    <w:p>
      <w:pPr>
        <w:spacing w:after="0" w:line="1" w:lineRule="exact"/>
        <w:rPr>
          <w:rFonts w:ascii="Arial" w:cs="Arial" w:eastAsia="Arial" w:hAnsi="Arial"/>
          <w:sz w:val="15"/>
          <w:szCs w:val="15"/>
          <w:color w:val="auto"/>
        </w:rPr>
      </w:pPr>
    </w:p>
    <w:p>
      <w:pPr>
        <w:ind w:left="920" w:right="2159" w:hanging="742"/>
        <w:spacing w:after="0" w:line="205"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First Supplemental Indenture, dated December 8, 2014, by and between KCAP Senior Funding I, LLC and U.S. Bank National Association.</w:t>
      </w:r>
      <w:r>
        <w:rPr>
          <w:rFonts w:ascii="Arial" w:cs="Arial" w:eastAsia="Arial" w:hAnsi="Arial"/>
          <w:sz w:val="30"/>
          <w:szCs w:val="30"/>
          <w:color w:val="auto"/>
          <w:vertAlign w:val="superscript"/>
        </w:rPr>
        <w:t>(16)</w:t>
      </w:r>
    </w:p>
    <w:p>
      <w:pPr>
        <w:spacing w:after="0" w:line="1" w:lineRule="exact"/>
        <w:rPr>
          <w:rFonts w:ascii="Arial" w:cs="Arial" w:eastAsia="Arial" w:hAnsi="Arial"/>
          <w:sz w:val="15"/>
          <w:szCs w:val="15"/>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Computation of Per Share Earnings (included in the notes to the audited financial statements</w:t>
      </w:r>
    </w:p>
    <w:p>
      <w:pPr>
        <w:spacing w:after="0" w:line="7" w:lineRule="exact"/>
        <w:rPr>
          <w:rFonts w:ascii="Arial" w:cs="Arial" w:eastAsia="Arial" w:hAnsi="Arial"/>
          <w:sz w:val="15"/>
          <w:szCs w:val="15"/>
          <w:color w:val="auto"/>
        </w:rPr>
      </w:pPr>
    </w:p>
    <w:p>
      <w:pPr>
        <w:ind w:left="920" w:right="7399"/>
        <w:spacing w:after="0" w:line="235" w:lineRule="auto"/>
        <w:rPr>
          <w:sz w:val="20"/>
          <w:szCs w:val="20"/>
          <w:color w:val="auto"/>
        </w:rPr>
      </w:pPr>
      <w:r>
        <w:rPr>
          <w:rFonts w:ascii="Arial" w:cs="Arial" w:eastAsia="Arial" w:hAnsi="Arial"/>
          <w:sz w:val="16"/>
          <w:szCs w:val="16"/>
          <w:color w:val="auto"/>
        </w:rPr>
        <w:t>contained in this report). List of Subsidiaries.</w:t>
      </w:r>
      <w:r>
        <w:rPr>
          <w:rFonts w:ascii="Arial" w:cs="Arial" w:eastAsia="Arial" w:hAnsi="Arial"/>
          <w:sz w:val="26"/>
          <w:szCs w:val="26"/>
          <w:color w:val="auto"/>
          <w:vertAlign w:val="superscript"/>
        </w:rPr>
        <w:t>(17)</w:t>
      </w:r>
    </w:p>
    <w:p>
      <w:pPr>
        <w:spacing w:after="0" w:line="1" w:lineRule="exact"/>
        <w:rPr>
          <w:rFonts w:ascii="Arial" w:cs="Arial" w:eastAsia="Arial" w:hAnsi="Arial"/>
          <w:sz w:val="15"/>
          <w:szCs w:val="15"/>
          <w:color w:val="auto"/>
        </w:rPr>
      </w:pPr>
    </w:p>
    <w:p>
      <w:pPr>
        <w:ind w:left="920" w:right="2219"/>
        <w:spacing w:after="0" w:line="264" w:lineRule="auto"/>
        <w:rPr>
          <w:sz w:val="20"/>
          <w:szCs w:val="20"/>
          <w:color w:val="auto"/>
        </w:rPr>
      </w:pPr>
      <w:r>
        <w:rPr>
          <w:rFonts w:ascii="Arial" w:cs="Arial" w:eastAsia="Arial" w:hAnsi="Arial"/>
          <w:sz w:val="17"/>
          <w:szCs w:val="17"/>
          <w:color w:val="auto"/>
        </w:rPr>
        <w:t>Chief Executive Officer Certification Pursuant to Rule 13a-14 of the Securities Exchange Act of 1934, as adopted pursuant to Section 302 of the Sarbanes-Oxley Act of 2002.**</w:t>
      </w:r>
    </w:p>
    <w:p>
      <w:pPr>
        <w:ind w:left="920" w:right="2379"/>
        <w:spacing w:after="0" w:line="250" w:lineRule="auto"/>
        <w:rPr>
          <w:sz w:val="20"/>
          <w:szCs w:val="20"/>
          <w:color w:val="auto"/>
        </w:rPr>
      </w:pPr>
      <w:r>
        <w:rPr>
          <w:rFonts w:ascii="Arial" w:cs="Arial" w:eastAsia="Arial" w:hAnsi="Arial"/>
          <w:sz w:val="18"/>
          <w:szCs w:val="18"/>
          <w:color w:val="auto"/>
        </w:rPr>
        <w:t>Chief Financial Officer Certification Pursuant to Rule 13a-14 of the Securities Act of 1934, as adopted pursuant to Section 302 of the Sarbanes-Oxley Act of 2002.**</w:t>
      </w:r>
    </w:p>
    <w:p>
      <w:pPr>
        <w:spacing w:after="0" w:line="1" w:lineRule="exact"/>
        <w:rPr>
          <w:rFonts w:ascii="Arial" w:cs="Arial" w:eastAsia="Arial" w:hAnsi="Arial"/>
          <w:sz w:val="15"/>
          <w:szCs w:val="15"/>
          <w:color w:val="auto"/>
        </w:rPr>
      </w:pPr>
    </w:p>
    <w:p>
      <w:pPr>
        <w:ind w:left="920" w:right="1899" w:hanging="719"/>
        <w:spacing w:after="0" w:line="290"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Chief Executive Officer Certification pursuant to Section 1350, Chapter 63 of Title 18, United States Code, as adopted pursuant to Section 906 of the Sarbanes-Oxley Act of 2002.**</w:t>
      </w:r>
    </w:p>
    <w:p>
      <w:pPr>
        <w:spacing w:after="0" w:line="200" w:lineRule="exact"/>
        <w:rPr>
          <w:rFonts w:ascii="Arial" w:cs="Arial" w:eastAsia="Arial" w:hAnsi="Arial"/>
          <w:sz w:val="15"/>
          <w:szCs w:val="15"/>
          <w:color w:val="auto"/>
        </w:rPr>
      </w:pPr>
    </w:p>
    <w:p>
      <w:pPr>
        <w:spacing w:after="0" w:line="299" w:lineRule="exact"/>
        <w:rPr>
          <w:rFonts w:ascii="Arial" w:cs="Arial" w:eastAsia="Arial" w:hAnsi="Arial"/>
          <w:sz w:val="15"/>
          <w:szCs w:val="15"/>
          <w:color w:val="auto"/>
        </w:rPr>
      </w:pPr>
    </w:p>
    <w:p>
      <w:pPr>
        <w:ind w:left="4520"/>
        <w:spacing w:after="0"/>
        <w:rPr>
          <w:sz w:val="20"/>
          <w:szCs w:val="20"/>
          <w:color w:val="auto"/>
        </w:rPr>
      </w:pPr>
      <w:r>
        <w:rPr>
          <w:rFonts w:ascii="Arial" w:cs="Arial" w:eastAsia="Arial" w:hAnsi="Arial"/>
          <w:sz w:val="18"/>
          <w:szCs w:val="18"/>
          <w:color w:val="auto"/>
        </w:rPr>
        <w:t>E-1</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86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206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86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521398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-274955</wp:posOffset>
            </wp:positionV>
            <wp:extent cx="517969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ind w:left="920" w:right="1959" w:hanging="697"/>
        <w:spacing w:after="0" w:line="288" w:lineRule="auto"/>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Chief Financial Officer Certification pursuant to Section 1350, Chapter 63 of Title 18,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6172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80" w:right="679" w:hanging="272"/>
        <w:spacing w:after="0" w:line="277" w:lineRule="auto"/>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1 on Form N-2, as filed on October 6, 2006 (File No. 333-136714).</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Incorporated by reference to Exhibit 3.1 of the Current Report on Form 8-K, as filed on March 1, 2012 (File No. 814-00735).</w:t>
      </w:r>
    </w:p>
    <w:p>
      <w:pPr>
        <w:spacing w:after="0" w:line="140" w:lineRule="exact"/>
        <w:rPr>
          <w:rFonts w:ascii="Arial" w:cs="Arial" w:eastAsia="Arial" w:hAnsi="Arial"/>
          <w:sz w:val="16"/>
          <w:szCs w:val="16"/>
          <w:color w:val="auto"/>
        </w:rPr>
      </w:pPr>
    </w:p>
    <w:p>
      <w:pPr>
        <w:ind w:left="280" w:right="819" w:hanging="272"/>
        <w:spacing w:after="0" w:line="277" w:lineRule="auto"/>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2 on Form N-2, as filed on November 20, 2006 (File No. 333-136714).</w:t>
      </w:r>
    </w:p>
    <w:p>
      <w:pPr>
        <w:spacing w:after="0" w:line="62" w:lineRule="exact"/>
        <w:rPr>
          <w:rFonts w:ascii="Arial" w:cs="Arial" w:eastAsia="Arial" w:hAnsi="Arial"/>
          <w:sz w:val="18"/>
          <w:szCs w:val="18"/>
          <w:color w:val="auto"/>
        </w:rPr>
      </w:pPr>
    </w:p>
    <w:p>
      <w:pPr>
        <w:ind w:left="280" w:right="719" w:hanging="272"/>
        <w:spacing w:after="0" w:line="277" w:lineRule="auto"/>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to exhibit included in the Registration Statement in Form N-2, as filed on October 3, 2012 (File No. 333-183032).</w:t>
      </w:r>
    </w:p>
    <w:p>
      <w:pPr>
        <w:spacing w:after="0" w:line="62" w:lineRule="exact"/>
        <w:rPr>
          <w:rFonts w:ascii="Arial" w:cs="Arial" w:eastAsia="Arial" w:hAnsi="Arial"/>
          <w:sz w:val="18"/>
          <w:szCs w:val="18"/>
          <w:color w:val="auto"/>
        </w:rPr>
      </w:pPr>
    </w:p>
    <w:p>
      <w:pPr>
        <w:ind w:left="280" w:right="959" w:hanging="272"/>
        <w:spacing w:after="0" w:line="277" w:lineRule="auto"/>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to Exhibit 10.1 of the Quarterly Report on Form 10-Q, as filed on August 5, 2015 (File No. 814-00735).</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Incorporated by reference to Exhibit 10.1 of the Quarterly Report on Form 10-Q, as filed on May 6, 2015 (File No. 814-00735).</w:t>
      </w:r>
    </w:p>
    <w:p>
      <w:pPr>
        <w:spacing w:after="0" w:line="140" w:lineRule="exact"/>
        <w:rPr>
          <w:rFonts w:ascii="Arial" w:cs="Arial" w:eastAsia="Arial" w:hAnsi="Arial"/>
          <w:sz w:val="16"/>
          <w:szCs w:val="16"/>
          <w:color w:val="auto"/>
        </w:rPr>
      </w:pPr>
    </w:p>
    <w:p>
      <w:pPr>
        <w:ind w:left="280" w:right="819" w:hanging="272"/>
        <w:spacing w:after="0" w:line="277" w:lineRule="auto"/>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3 on Form N-2, as filed on November 24, 2006 (File No. 333-136714).</w:t>
      </w:r>
    </w:p>
    <w:p>
      <w:pPr>
        <w:spacing w:after="0" w:line="62" w:lineRule="exact"/>
        <w:rPr>
          <w:rFonts w:ascii="Arial" w:cs="Arial" w:eastAsia="Arial" w:hAnsi="Arial"/>
          <w:sz w:val="18"/>
          <w:szCs w:val="18"/>
          <w:color w:val="auto"/>
        </w:rPr>
      </w:pPr>
    </w:p>
    <w:p>
      <w:pPr>
        <w:ind w:left="280" w:right="599" w:hanging="272"/>
        <w:spacing w:after="0" w:line="277" w:lineRule="auto"/>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to Exhibit 4.1 included in the Registration Statement on Form S-8, as filed on July 28, 2011 (File No. 333-175838).</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to Exhibit 10.1 of Current Report on Form 8-K, as filed on June 19, 2013.</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Incorporated by reference to Exhibit 10.2 of Current Report on Form 8-K, as filed on June 19, 2013.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(11)Incorporated by reference to Exhibit 10.3 of Current Report on Form 8-K, as filed on June 19, 2013.</w:t>
      </w:r>
    </w:p>
    <w:p>
      <w:pPr>
        <w:spacing w:after="0" w:line="117"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Incorporated by reference to Exhibit 10.4 of Current Report on Form 8-K, as filed on June 19, 2013.</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Incorporated by reference to Exhibit 10.5 of Current Report on Form 8-K, as filed on June 19, 2013.</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Incorporated by reference to Exhibit 10.1 of Current Report on Form 8-K, as filed on December 9, 2014.</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Incorporated by reference to Exhibit 10.2 of Current Report on Form 8-K, as filed on December 9, 2014.</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Incorporated by reference to Exhibit 10.3 of Current Report on Form 8-K, as filed on December 9, 2014.</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Incorporated by reference to Exhibit 21.1 of Annual Report on Form 10-K, as filed on March 9, 2016.</w:t>
      </w:r>
    </w:p>
    <w:p>
      <w:pPr>
        <w:spacing w:after="0" w:line="129" w:lineRule="exact"/>
        <w:rPr>
          <w:sz w:val="20"/>
          <w:szCs w:val="20"/>
          <w:color w:val="auto"/>
        </w:rPr>
      </w:pPr>
    </w:p>
    <w:p>
      <w:pPr>
        <w:ind w:right="4119" w:firstLine="8"/>
        <w:spacing w:after="0" w:line="402" w:lineRule="auto"/>
        <w:tabs>
          <w:tab w:leader="none" w:pos="27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agreement. ** Filed herewith.</w:t>
      </w:r>
    </w:p>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6" w:name="page177"/>
    <w:bookmarkEnd w:id="176"/>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Dayl W. Pearson, certify that:</w:t>
      </w:r>
    </w:p>
    <w:p>
      <w:pPr>
        <w:spacing w:after="0" w:line="117" w:lineRule="exact"/>
        <w:rPr>
          <w:sz w:val="20"/>
          <w:szCs w:val="20"/>
          <w:color w:val="auto"/>
        </w:rPr>
      </w:pPr>
    </w:p>
    <w:p>
      <w:pPr>
        <w:ind w:left="540" w:hanging="26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KCAP Financial, Inc. (the “registrant”);</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879" w:hanging="262"/>
        <w:spacing w:after="0" w:line="286" w:lineRule="auto"/>
        <w:tabs>
          <w:tab w:leader="none" w:pos="5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739" w:hanging="272"/>
        <w:spacing w:after="0" w:line="312" w:lineRule="auto"/>
        <w:tabs>
          <w:tab w:leader="none" w:pos="8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540" w:right="639" w:hanging="262"/>
        <w:spacing w:after="0" w:line="264"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19" w:hanging="272"/>
        <w:spacing w:after="0" w:line="264" w:lineRule="auto"/>
        <w:tabs>
          <w:tab w:leader="none" w:pos="8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899" w:hanging="272"/>
        <w:spacing w:after="0" w:line="277" w:lineRule="auto"/>
        <w:tabs>
          <w:tab w:leader="none" w:pos="8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9684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9, 2017</w:t>
      </w:r>
      <w:r>
        <w:rPr>
          <w:sz w:val="20"/>
          <w:szCs w:val="20"/>
          <w:color w:val="auto"/>
        </w:rPr>
        <w:tab/>
      </w:r>
      <w:r>
        <w:rPr>
          <w:rFonts w:ascii="Arial" w:cs="Arial" w:eastAsia="Arial" w:hAnsi="Arial"/>
          <w:sz w:val="17"/>
          <w:szCs w:val="17"/>
          <w:color w:val="auto"/>
        </w:rPr>
        <w:t>By: /</w:t>
      </w:r>
      <w:r>
        <w:rPr>
          <w:rFonts w:ascii="Arial" w:cs="Arial" w:eastAsia="Arial" w:hAnsi="Arial"/>
          <w:sz w:val="11"/>
          <w:szCs w:val="11"/>
          <w:color w:val="auto"/>
        </w:rPr>
        <w:t>S</w:t>
      </w:r>
      <w:r>
        <w:rPr>
          <w:rFonts w:ascii="Arial" w:cs="Arial" w:eastAsia="Arial" w:hAnsi="Arial"/>
          <w:sz w:val="17"/>
          <w:szCs w:val="17"/>
          <w:color w:val="auto"/>
        </w:rPr>
        <w:t>/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14605</wp:posOffset>
            </wp:positionV>
            <wp:extent cx="204978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Dayl W. Pearson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177" w:name="page178"/>
    <w:bookmarkEnd w:id="177"/>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Edward U. Gilpin, certify that:</w:t>
      </w:r>
    </w:p>
    <w:p>
      <w:pPr>
        <w:spacing w:after="0" w:line="117" w:lineRule="exact"/>
        <w:rPr>
          <w:sz w:val="20"/>
          <w:szCs w:val="20"/>
          <w:color w:val="auto"/>
        </w:rPr>
      </w:pPr>
    </w:p>
    <w:p>
      <w:pPr>
        <w:ind w:left="540" w:hanging="262"/>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KCAP Financial, Inc. (the “registrant”);</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879" w:hanging="262"/>
        <w:spacing w:after="0" w:line="286" w:lineRule="auto"/>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739" w:hanging="272"/>
        <w:spacing w:after="0" w:line="312" w:lineRule="auto"/>
        <w:tabs>
          <w:tab w:leader="none" w:pos="8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540" w:right="639" w:hanging="262"/>
        <w:spacing w:after="0" w:line="264"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19" w:hanging="272"/>
        <w:spacing w:after="0" w:line="264" w:lineRule="auto"/>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899" w:hanging="272"/>
        <w:spacing w:after="0" w:line="277" w:lineRule="auto"/>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9684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9, 2017</w:t>
      </w:r>
      <w:r>
        <w:rPr>
          <w:sz w:val="20"/>
          <w:szCs w:val="20"/>
          <w:color w:val="auto"/>
        </w:rPr>
        <w:tab/>
      </w:r>
      <w:r>
        <w:rPr>
          <w:rFonts w:ascii="Arial" w:cs="Arial" w:eastAsia="Arial" w:hAnsi="Arial"/>
          <w:sz w:val="17"/>
          <w:szCs w:val="17"/>
          <w:color w:val="auto"/>
        </w:rPr>
        <w:t>By: /</w:t>
      </w:r>
      <w:r>
        <w:rPr>
          <w:rFonts w:ascii="Arial" w:cs="Arial" w:eastAsia="Arial" w:hAnsi="Arial"/>
          <w:sz w:val="11"/>
          <w:szCs w:val="11"/>
          <w:color w:val="auto"/>
        </w:rPr>
        <w:t>S</w:t>
      </w:r>
      <w:r>
        <w:rPr>
          <w:rFonts w:ascii="Arial" w:cs="Arial" w:eastAsia="Arial" w:hAnsi="Arial"/>
          <w:sz w:val="17"/>
          <w:szCs w:val="17"/>
          <w:color w:val="auto"/>
        </w:rPr>
        <w:t>/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15240</wp:posOffset>
            </wp:positionV>
            <wp:extent cx="204978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Edward U. Gilpin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178" w:name="page179"/>
    <w:bookmarkEnd w:id="178"/>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left="40" w:right="939" w:firstLine="270"/>
        <w:spacing w:after="0" w:line="286" w:lineRule="auto"/>
        <w:rPr>
          <w:sz w:val="20"/>
          <w:szCs w:val="20"/>
          <w:color w:val="auto"/>
        </w:rPr>
      </w:pPr>
      <w:r>
        <w:rPr>
          <w:rFonts w:ascii="Arial" w:cs="Arial" w:eastAsia="Arial" w:hAnsi="Arial"/>
          <w:sz w:val="17"/>
          <w:szCs w:val="17"/>
          <w:color w:val="auto"/>
        </w:rPr>
        <w:t>In connection with the accompanying Annual Report of KCAP Financial, Inc.(the “Company”) on Form 10-K for the year ended December 31, 2016 (the “Report”), I, Dayl W. Pearson, President and Chief Executive Officer of the Company, certify, pursuant to 18 U.S.C. §1350, as adopted pursuant to §906 of the Sarbanes-Oxley Act of 2002, that:</w:t>
      </w:r>
    </w:p>
    <w:p>
      <w:pPr>
        <w:spacing w:after="0" w:line="57" w:lineRule="exact"/>
        <w:rPr>
          <w:sz w:val="20"/>
          <w:szCs w:val="20"/>
          <w:color w:val="auto"/>
        </w:rPr>
      </w:pPr>
    </w:p>
    <w:p>
      <w:pPr>
        <w:ind w:left="540" w:right="679" w:hanging="262"/>
        <w:spacing w:after="0" w:line="277"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540" w:right="1119" w:hanging="262"/>
        <w:spacing w:after="0" w:line="277"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9684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9, 2017</w:t>
      </w:r>
      <w:r>
        <w:rPr>
          <w:sz w:val="20"/>
          <w:szCs w:val="20"/>
          <w:color w:val="auto"/>
        </w:rPr>
        <w:tab/>
      </w:r>
      <w:r>
        <w:rPr>
          <w:rFonts w:ascii="Arial" w:cs="Arial" w:eastAsia="Arial" w:hAnsi="Arial"/>
          <w:sz w:val="17"/>
          <w:szCs w:val="17"/>
          <w:color w:val="auto"/>
        </w:rPr>
        <w:t>By: /</w:t>
      </w:r>
      <w:r>
        <w:rPr>
          <w:rFonts w:ascii="Arial" w:cs="Arial" w:eastAsia="Arial" w:hAnsi="Arial"/>
          <w:sz w:val="11"/>
          <w:szCs w:val="11"/>
          <w:color w:val="auto"/>
        </w:rPr>
        <w:t>S</w:t>
      </w:r>
      <w:r>
        <w:rPr>
          <w:rFonts w:ascii="Arial" w:cs="Arial" w:eastAsia="Arial" w:hAnsi="Arial"/>
          <w:sz w:val="17"/>
          <w:szCs w:val="17"/>
          <w:color w:val="auto"/>
        </w:rPr>
        <w:t>/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14605</wp:posOffset>
            </wp:positionV>
            <wp:extent cx="204978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Dayl W. Pearson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179" w:name="page180"/>
    <w:bookmarkEnd w:id="179"/>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left="40" w:right="919" w:firstLine="270"/>
        <w:spacing w:after="0" w:line="264" w:lineRule="auto"/>
        <w:rPr>
          <w:sz w:val="20"/>
          <w:szCs w:val="20"/>
          <w:color w:val="auto"/>
        </w:rPr>
      </w:pPr>
      <w:r>
        <w:rPr>
          <w:rFonts w:ascii="Arial" w:cs="Arial" w:eastAsia="Arial" w:hAnsi="Arial"/>
          <w:sz w:val="18"/>
          <w:szCs w:val="18"/>
          <w:color w:val="auto"/>
        </w:rPr>
        <w:t>In connection with the accompanying Annual Report of KCAP Financial, Inc.(the “Company”) on Form 10-K for the year ended December 31, 2016 (the “Report”), I, Edward U. Gilpin, Chief Financial Officer of the Company, certify, pursuant to 18 U.S.C. §1350, as adopted pursuant to §906 of the Sarbanes-Oxley Act of 2002, that:</w:t>
      </w:r>
    </w:p>
    <w:p>
      <w:pPr>
        <w:spacing w:after="0" w:line="73" w:lineRule="exact"/>
        <w:rPr>
          <w:sz w:val="20"/>
          <w:szCs w:val="20"/>
          <w:color w:val="auto"/>
        </w:rPr>
      </w:pPr>
    </w:p>
    <w:p>
      <w:pPr>
        <w:ind w:left="540" w:right="679" w:hanging="262"/>
        <w:spacing w:after="0" w:line="277"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540" w:right="1119" w:hanging="262"/>
        <w:spacing w:after="0" w:line="277"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9684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9, 2017</w:t>
      </w:r>
      <w:r>
        <w:rPr>
          <w:sz w:val="20"/>
          <w:szCs w:val="20"/>
          <w:color w:val="auto"/>
        </w:rPr>
        <w:tab/>
      </w:r>
      <w:r>
        <w:rPr>
          <w:rFonts w:ascii="Arial" w:cs="Arial" w:eastAsia="Arial" w:hAnsi="Arial"/>
          <w:sz w:val="17"/>
          <w:szCs w:val="17"/>
          <w:color w:val="auto"/>
        </w:rPr>
        <w:t>By: /</w:t>
      </w:r>
      <w:r>
        <w:rPr>
          <w:rFonts w:ascii="Arial" w:cs="Arial" w:eastAsia="Arial" w:hAnsi="Arial"/>
          <w:sz w:val="11"/>
          <w:szCs w:val="11"/>
          <w:color w:val="auto"/>
        </w:rPr>
        <w:t>S</w:t>
      </w:r>
      <w:r>
        <w:rPr>
          <w:rFonts w:ascii="Arial" w:cs="Arial" w:eastAsia="Arial" w:hAnsi="Arial"/>
          <w:sz w:val="17"/>
          <w:szCs w:val="17"/>
          <w:color w:val="auto"/>
        </w:rPr>
        <w:t>/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14605</wp:posOffset>
            </wp:positionV>
            <wp:extent cx="204978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Edward U. Gilpin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79"/>
      </w:cols>
      <w:pgMar w:left="38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x"/>
      <w:numFmt w:val="bullet"/>
      <w:start w:val="1"/>
    </w:lvl>
  </w:abstractNum>
  <w:abstractNum w:abstractNumId="1">
    <w:nsid w:val="3855585C"/>
    <w:multiLevelType w:val="hybridMultilevel"/>
    <w:lvl w:ilvl="0">
      <w:lvlJc w:val="left"/>
      <w:lvlText w:val="o"/>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6">
    <w:nsid w:val="684A481A"/>
    <w:multiLevelType w:val="hybridMultilevel"/>
    <w:lvl w:ilvl="0">
      <w:lvlJc w:val="left"/>
      <w:lvlText w:val="(%1)"/>
      <w:numFmt w:val="lowerRoman"/>
      <w:start w:val="2"/>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º"/>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3"/>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2"/>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1)"/>
      <w:numFmt w:val="lowerLetter"/>
      <w:start w:val="1"/>
    </w:lvl>
    <w:lvl w:ilvl="1">
      <w:lvlJc w:val="left"/>
      <w:lvlText w:val="%2."/>
      <w:numFmt w:val="decimal"/>
      <w:start w:val="1"/>
    </w:lvl>
  </w:abstractNum>
  <w:abstractNum w:abstractNumId="44">
    <w:nsid w:val="77AE35EB"/>
    <w:multiLevelType w:val="hybridMultilevel"/>
    <w:lvl w:ilvl="0">
      <w:lvlJc w:val="left"/>
      <w:lvlText w:val="%1."/>
      <w:numFmt w:val="upperLetter"/>
      <w:start w:val="3"/>
    </w:lvl>
  </w:abstractNum>
  <w:abstractNum w:abstractNumId="45">
    <w:nsid w:val="579BE4F1"/>
    <w:multiLevelType w:val="hybridMultilevel"/>
    <w:lvl w:ilvl="0">
      <w:lvlJc w:val="left"/>
      <w:lvlText w:val="%1"/>
      <w:numFmt w:val="upperLetter"/>
      <w:start w:val="54"/>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13"/>
    </w:lvl>
  </w:abstractNum>
  <w:abstractNum w:abstractNumId="48">
    <w:nsid w:val="2F305DEF"/>
    <w:multiLevelType w:val="hybridMultilevel"/>
    <w:lvl w:ilvl="0">
      <w:lvlJc w:val="left"/>
      <w:lvlText w:val="%1"/>
      <w:numFmt w:val="upperLetter"/>
      <w:start w:val="54"/>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upperLetter"/>
      <w:start w:val="61"/>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lowerRoman"/>
      <w:start w:val="1"/>
    </w:lvl>
  </w:abstractNum>
  <w:abstractNum w:abstractNumId="60">
    <w:nsid w:val="799D0247"/>
    <w:multiLevelType w:val="hybridMultilevel"/>
    <w:lvl w:ilvl="0">
      <w:lvlJc w:val="left"/>
      <w:lvlText w:val="%1."/>
      <w:numFmt w:val="decimal"/>
      <w:start w:val="13"/>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1:"/>
      <w:numFmt w:val="decimal"/>
      <w:start w:val="820"/>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1."/>
      <w:numFmt w:val="decimal"/>
      <w:start w:val="2"/>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2"/>
    </w:lvl>
    <w:lvl w:ilvl="1">
      <w:lvlJc w:val="left"/>
      <w:lvlText w:val="%2."/>
      <w:numFmt w:val="decimal"/>
      <w:start w:val="5"/>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2"/>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2019-12-29T09:03:03Z</dcterms:created>
  <dcterms:modified xsi:type="dcterms:W3CDTF">2019-12-29T09:03:03Z</dcterms:modified>
</cp:coreProperties>
</file>