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-224155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24130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3" w:lineRule="exact"/>
        <w:rPr>
          <w:sz w:val="24"/>
          <w:szCs w:val="24"/>
          <w:color w:val="auto"/>
        </w:rPr>
      </w:pPr>
    </w:p>
    <w:p>
      <w:pPr>
        <w:ind w:left="1040" w:hanging="1032"/>
        <w:spacing w:after="0"/>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25" w:lineRule="exact"/>
        <w:rPr>
          <w:sz w:val="24"/>
          <w:szCs w:val="24"/>
          <w:color w:val="auto"/>
        </w:rPr>
      </w:pPr>
    </w:p>
    <w:p>
      <w:pPr>
        <w:ind w:left="1040" w:hanging="1032"/>
        <w:spacing w:after="0"/>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1040"/>
        <w:spacing w:after="0"/>
        <w:tabs>
          <w:tab w:leader="none" w:pos="3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KCAP Financial,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00"/>
          </w:cols>
          <w:pgMar w:left="240" w:top="742" w:right="25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20-5951150</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6960" w:space="720"/>
            <w:col w:w="3720"/>
          </w:cols>
          <w:pgMar w:left="240" w:top="742"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295 Madison Avenue, 6th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00"/>
          </w:cols>
          <w:pgMar w:left="240" w:top="742" w:right="259" w:bottom="1440" w:gutter="0" w:footer="0" w:header="0"/>
          <w:type w:val="continuous"/>
        </w:sect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455-8300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ind w:right="1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00"/>
          </w:cols>
          <w:pgMar w:left="240" w:top="742" w:right="25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2160" w:space="720"/>
            <w:col w:w="4400" w:space="720"/>
            <w:col w:w="2140" w:space="720"/>
            <w:col w:w="540"/>
          </w:cols>
          <w:pgMar w:left="240" w:top="742" w:right="25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2160" w:space="720"/>
            <w:col w:w="160" w:space="400"/>
            <w:col w:w="3840" w:space="720"/>
            <w:col w:w="2140" w:space="720"/>
            <w:col w:w="540"/>
          </w:cols>
          <w:pgMar w:left="240" w:top="742" w:right="259" w:bottom="1440" w:gutter="0" w:footer="0" w:header="0"/>
          <w:type w:val="continuous"/>
        </w:sectPr>
      </w:pPr>
    </w:p>
    <w:p>
      <w:pPr>
        <w:spacing w:after="0" w:line="16"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ind w:left="660"/>
        <w:spacing w:after="0"/>
        <w:rPr>
          <w:sz w:val="20"/>
          <w:szCs w:val="20"/>
          <w:color w:val="auto"/>
        </w:rPr>
      </w:pPr>
      <w:r>
        <w:rPr>
          <w:rFonts w:ascii="Arial" w:cs="Arial" w:eastAsia="Arial" w:hAnsi="Arial"/>
          <w:sz w:val="17"/>
          <w:szCs w:val="17"/>
          <w:color w:val="auto"/>
        </w:rPr>
        <w:t>The number of outstanding shares of common stock of the registrant as of November 1, 2016 was 37,178,294.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42"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0" w:type="dxa"/>
            <w:vAlign w:val="bottom"/>
            <w:gridSpan w:val="15"/>
          </w:tcPr>
          <w:p>
            <w:pPr>
              <w:ind w:left="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40" w:type="dxa"/>
            <w:vAlign w:val="bottom"/>
            <w:gridSpan w:val="16"/>
            <w:shd w:val="clear" w:color="auto" w:fill="CCEEFF"/>
          </w:tcPr>
          <w:p>
            <w:pPr>
              <w:jc w:val="center"/>
              <w:ind w:right="2320"/>
              <w:spacing w:after="0" w:line="176" w:lineRule="exact"/>
              <w:rPr>
                <w:sz w:val="20"/>
                <w:szCs w:val="20"/>
                <w:color w:val="auto"/>
              </w:rPr>
            </w:pPr>
            <w:r>
              <w:rPr>
                <w:rFonts w:ascii="Arial" w:cs="Arial" w:eastAsia="Arial" w:hAnsi="Arial"/>
                <w:sz w:val="18"/>
                <w:szCs w:val="18"/>
                <w:b w:val="1"/>
                <w:bCs w:val="1"/>
                <w:color w:val="auto"/>
                <w:w w:val="94"/>
              </w:rPr>
              <w:t>Part I. Financial Information</w:t>
            </w: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936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2016 (unaudited) and December 31, 2015</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2"/>
            <w:shd w:val="clear" w:color="auto" w:fill="CCEEFF"/>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Statements of Operations (unaudited) for the three and nine months ended September 30, 2016 and 2015</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2"/>
            <w:shd w:val="clear" w:color="auto" w:fill="CCEEFF"/>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Consolidated Statements of Changes in Net Assets (unaudited) for the nine months ended September 30, 2016 and 2015</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nine months ended September 30, 2016 and 2015</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September 30, 2016 (unaudited) and December 31, 2015</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Consolidated Financial Highlights (unaudited) for the nine months ended September 30, 2016 and 2015</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Notes to Consolidated Financial Statements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Changes in and Disagreements with Accountants on Accounting and Financial Disclosure</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720" w:type="dxa"/>
            <w:vAlign w:val="bottom"/>
            <w:gridSpan w:val="14"/>
            <w:shd w:val="clear" w:color="auto" w:fill="CCEEFF"/>
          </w:tcPr>
          <w:p>
            <w:pPr>
              <w:jc w:val="center"/>
              <w:ind w:right="3660"/>
              <w:spacing w:after="0" w:line="176" w:lineRule="exact"/>
              <w:rPr>
                <w:rFonts w:ascii="Arial" w:cs="Arial" w:eastAsia="Arial" w:hAnsi="Arial"/>
                <w:sz w:val="18"/>
                <w:szCs w:val="18"/>
                <w:b w:val="1"/>
                <w:bCs w:val="1"/>
                <w:color w:val="0000EE"/>
                <w:w w:val="97"/>
              </w:rPr>
            </w:pPr>
            <w:hyperlink w:anchor="page83">
              <w:r>
                <w:rPr>
                  <w:rFonts w:ascii="Arial" w:cs="Arial" w:eastAsia="Arial" w:hAnsi="Arial"/>
                  <w:sz w:val="18"/>
                  <w:szCs w:val="18"/>
                  <w:b w:val="1"/>
                  <w:bCs w:val="1"/>
                  <w:color w:val="0000EE"/>
                  <w:w w:val="97"/>
                </w:rPr>
                <w:t>Part II. Other Information</w:t>
              </w:r>
            </w:hyperlink>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36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rPr>
              <w:t>KCAP FINANCIAL, INC.</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740" w:type="dxa"/>
            <w:vAlign w:val="bottom"/>
            <w:gridSpan w:val="4"/>
          </w:tcPr>
          <w:p>
            <w:pPr>
              <w:ind w:left="120"/>
              <w:spacing w:after="0"/>
              <w:rPr>
                <w:sz w:val="20"/>
                <w:szCs w:val="20"/>
                <w:color w:val="auto"/>
              </w:rPr>
            </w:pPr>
            <w:r>
              <w:rPr>
                <w:rFonts w:ascii="Arial" w:cs="Arial" w:eastAsia="Arial" w:hAnsi="Arial"/>
                <w:sz w:val="18"/>
                <w:szCs w:val="18"/>
                <w:b w:val="1"/>
                <w:bCs w:val="1"/>
                <w:color w:val="auto"/>
                <w:w w:val="95"/>
              </w:rPr>
              <w:t>September 30, 2016</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 (cost: 2016 - $15,379,713; 2015 - $2,129,381)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15,379,713</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Debt securities (cost: 2016 - $275,019,503; 2015 - $298,308,845)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263,889,236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284,639,244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 Fund securities managed by affiliates (cost: 2016 - $61,430,042; 2015 - $77,764,568)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43,114,027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53,557,570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2016 - $5,284,949; 2015 - $5,450,379)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2,012,892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2,314,812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(cost: 2016 - $10,208,846; 2015 - $10,467,786)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4,392,696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9,548,488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Asset Manager Affiliates (cost: 2016 - $55,341,230; 2015 - $56,591,230)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43,425,000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57,381,000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 (cost: 2016 - $422,664,283; 2015 - $450,712,189)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372,213,564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409,570,495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Cash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1,804,666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10,909,618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1,158,010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1,812,624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1,743,537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2,117,095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279,604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566,211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388,108,999</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421,204,697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 (net of offering costs of: 2016 - $599,542; 2015 - $890,344)</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33,400,808</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40,509,656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4"/>
              </w:rPr>
              <w:t>Notes issued by KCAP Senior Funding I, LLC (net of discount and offering costs of: 2016 - $2,443,275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$2,627,599, respectively; 2015 - $2,907,595 and $3,126,009, respectively)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142,279,126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141,316,396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(net of offering costs of: 2015 - $21,292)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19,277,709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Payable for open trades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9,652,500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1,998,478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874,624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1,228,068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554,333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188,205,626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205,104,227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2"/>
              </w:rPr>
              <w:t>Common stock, par value $0.01 per share, 100,000,000 common shares authorized; 37,264,772 issued,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w w:val="97"/>
              </w:rPr>
              <w:t>37,160,770 outstanding at September 30, 2016, and 37,136,353 issued, and 37,100,005 outstanding at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371,608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363,417,727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361,962,511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Excess distribution of net investment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(23,776,687)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(21,638,184)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(88,259,512)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(82,054,107)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(51,849,763)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(42,540,750)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199,903,373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216,100,470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388,108,999</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421,204,697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ASSET VALUE PER COMMON SHARE</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jc w:val="center"/>
              <w:ind w:left="329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20" w:type="dxa"/>
            <w:vAlign w:val="bottom"/>
            <w:tcBorders>
              <w:bottom w:val="single" w:sz="8" w:color="auto"/>
            </w:tcBorders>
          </w:tcPr>
          <w:p>
            <w:pPr>
              <w:jc w:val="center"/>
              <w:ind w:left="329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5,186,745</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6,302,777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16,106,654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18,380,536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from cash and time deposits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21,521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Investment income on CLO Fund Securities managed by affiliates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3,307,950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3,684,802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9,595,522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11,624,644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Investment income on CLO Fund Securities managed by non-affiliates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196,965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503,358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Dividends from Asset Manager Affiliates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1,547,069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1,400,000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4,196,483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structuring service fees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321,744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481,456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investment income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9,018,789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11,779,348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28,108,511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35,292,863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2,122,325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3,007,283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6,960,355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8,965,252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892,119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3,212,886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699,607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762,357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1,913,722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2,638,931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315,307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Administrative and other</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372,164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469,481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1,310,424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1,459,447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4,495,762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5,238,268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13,712,694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16,412,584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4,523,027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6,541,080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14,395,817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18,880,279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realized gains (losses) from investment transactions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4,647,841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(6,231,759)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(6,046,199)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(6,133,352)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Net change in unrealized appreciation (depreciation) appreciation 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456,530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(6,334,456)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2,539,345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(7,587,070)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(4,579,566)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(605,432)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(4,896,852)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CLO Fund securities managed by affiliates</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(993,011)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(261,695)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5,890,984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(5,891,498)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 Fund securities managed by non-affiliates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(152,980)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(136,490)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Asset Manager Affiliates investments</w:t>
            </w: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(1,113,000)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(8,863,069)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(12,706,000)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(5,101,483)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Total net change in unrealized depreciation</w:t>
            </w: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(6,366,240)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(16,217,632)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(9,309,013)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(19,750,242)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realized and unrealized depreciation on investments</w:t>
            </w: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(1,718,399)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(22,449,391)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(15,355,212)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(25,883,594)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Realized losses on extinguishments of debt</w:t>
            </w: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(88,015)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(142,554)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(159,206)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(142,554)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Increase (Decrease) In Stockholders’ Equity Resulting From</w:t>
            </w: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2,716,613</w:t>
            </w:r>
          </w:p>
        </w:tc>
        <w:tc>
          <w:tcPr>
            <w:tcW w:w="1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(16,050,865)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(1,118,601)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(7,145,869)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Increase (Decrease) In Stockholders' Equity Resulting from</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per Common Share:</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Investment Income Per Common Share: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Shares of Common Stock Outstanding—Basic</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37,152,622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37,046,906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37,142,002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36,923,212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Weighted Average Shares of Common Stock Outstanding—Diluted</w:t>
            </w: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37,152,622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37,046,906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37,142,002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36,923,212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b w:val="1"/>
                <w:bCs w:val="1"/>
                <w:color w:val="auto"/>
              </w:rPr>
              <w:t>KCAP FINANCIAL, INC.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b w:val="1"/>
                <w:bCs w:val="1"/>
                <w:color w:val="auto"/>
                <w:w w:val="98"/>
              </w:rPr>
              <w:t>CONSOLIDATED STATEMENTS OF CHANGES IN NET ASSETS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investment income</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14,395,817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18,880,279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from investment transactions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(6,046,199)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(6,133,352)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Realized losses from extinguishments of debt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(159,206)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(142,554)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on investments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(9,309,013)</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(19,750,242)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(1,118,601)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(7,145,869)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(16,534,320)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(15,313,691)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(Repurchase) issuance of common stock for:</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(247,926)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(220,301)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reinvestment plan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549,627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1,154,123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1,151,525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Net increase in net assets resulting from capital transactions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1,455,824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1,742,741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216,100,470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255,316,701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assets at end of period (including undistributed net investment income of $0 in 2016 and $0 in 2015)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199,903,373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234,599,882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asset value per common share</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at end of period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37,160,770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37,052,575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b w:val="1"/>
                <w:bCs w:val="1"/>
                <w:color w:val="auto"/>
              </w:rPr>
              <w:t>KCAP FINANCIAL, INC.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Net decrease in stockholder's equity resulting from operations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(1,118,601)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(7,145,869)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Adjustments to reconcile net decrease in stockholder’s equity resulting from operations to net cash provided by in</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Net realized losses on investment transactions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6,046,199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6,133,352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depreciation on investments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9,309,013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19,750,242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(54,437,487)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(100,476,581)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75,555,567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111,864,151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Net accretion of amortization on investments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1,859,301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6,123,977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original issue discount on indebtedness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464,320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651,298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897,566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Realized losses on extinguishments of debt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159,206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Payment-in-kind interest income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(975,661)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(1,097,244)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1,154,376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payable for open trades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9,652,500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(18,293,725)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654,614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(480,726)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other assets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286,607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Decrease in due from affiliates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373,558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due to affiliates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(554,243)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Decrease in accounts payable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(219,587)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(476,264)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accrued interest payable</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(353,444)</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48,507,536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18,156,900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Issuance of restricted shares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Forfeitures of restricted shares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Distributions to stockholders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(15,984,693)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(23,584,369)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Repayment/repurchase of Convertible Notes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(19,299,000)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Repurchase of 7.375% Notes Due 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(7,399,650)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(247,926)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Decrease (increase) in restricted cash</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(3,771,347)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10,991,426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(46,702,870)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(17,811,424)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CHANGE IN CASH</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1,804,666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345,476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1,220,798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1,804,666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6,173,626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8,320,809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549,627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811,517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22"/>
          <w:szCs w:val="22"/>
          <w:b w:val="1"/>
          <w:bCs w:val="1"/>
          <w:color w:val="auto"/>
        </w:rPr>
        <w:t>KCAP FINANCIAL, INC.</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CONSOLIDATED SCHEDULE OF INVESTMENTS</w:t>
      </w:r>
    </w:p>
    <w:p>
      <w:pPr>
        <w:jc w:val="center"/>
        <w:ind w:right="-119"/>
        <w:spacing w:after="0" w:line="232" w:lineRule="auto"/>
        <w:rPr>
          <w:sz w:val="20"/>
          <w:szCs w:val="20"/>
          <w:color w:val="auto"/>
        </w:rPr>
      </w:pPr>
      <w:r>
        <w:rPr>
          <w:rFonts w:ascii="Arial" w:cs="Arial" w:eastAsia="Arial" w:hAnsi="Arial"/>
          <w:sz w:val="22"/>
          <w:szCs w:val="22"/>
          <w:b w:val="1"/>
          <w:bCs w:val="1"/>
          <w:color w:val="auto"/>
        </w:rPr>
        <w:t>As of September 30, 2016</w:t>
      </w:r>
    </w:p>
    <w:p>
      <w:pPr>
        <w:jc w:val="center"/>
        <w:ind w:right="-119"/>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 Securities Portfolio</w:t>
      </w:r>
    </w:p>
    <w:p>
      <w:pPr>
        <w:sectPr>
          <w:pgSz w:w="11900" w:h="16838" w:orient="portrait"/>
          <w:cols w:equalWidth="0" w:num="1">
            <w:col w:w="11320"/>
          </w:cols>
          <w:pgMar w:left="240" w:top="895"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Portfolio Company / Principal Business</w:t>
      </w:r>
    </w:p>
    <w:p>
      <w:pPr>
        <w:spacing w:after="0" w:line="53" w:lineRule="exact"/>
        <w:rPr>
          <w:sz w:val="20"/>
          <w:szCs w:val="20"/>
          <w:color w:val="auto"/>
        </w:rPr>
      </w:pPr>
    </w:p>
    <w:p>
      <w:pPr>
        <w:ind w:left="140" w:right="780" w:hanging="129"/>
        <w:spacing w:after="0"/>
        <w:rPr>
          <w:sz w:val="20"/>
          <w:szCs w:val="20"/>
          <w:color w:val="auto"/>
        </w:rPr>
      </w:pPr>
      <w:r>
        <w:rPr>
          <w:rFonts w:ascii="Arial" w:cs="Arial" w:eastAsia="Arial" w:hAnsi="Arial"/>
          <w:sz w:val="16"/>
          <w:szCs w:val="16"/>
          <w:color w:val="auto"/>
        </w:rPr>
        <w:t xml:space="preserve">1A Smart Start LLC </w:t>
      </w:r>
      <w:r>
        <w:rPr>
          <w:rFonts w:ascii="Arial" w:cs="Arial" w:eastAsia="Arial" w:hAnsi="Arial"/>
          <w:sz w:val="26"/>
          <w:szCs w:val="26"/>
          <w:color w:val="auto"/>
          <w:vertAlign w:val="superscript"/>
        </w:rPr>
        <w:t>9, 10</w:t>
      </w:r>
      <w:r>
        <w:rPr>
          <w:rFonts w:ascii="Arial" w:cs="Arial" w:eastAsia="Arial" w:hAnsi="Arial"/>
          <w:sz w:val="16"/>
          <w:szCs w:val="16"/>
          <w:color w:val="auto"/>
        </w:rPr>
        <w:t xml:space="preserve"> Consumer goods: Non-durable</w:t>
      </w:r>
    </w:p>
    <w:p>
      <w:pPr>
        <w:spacing w:after="0" w:line="378" w:lineRule="exact"/>
        <w:rPr>
          <w:sz w:val="20"/>
          <w:szCs w:val="20"/>
          <w:color w:val="auto"/>
        </w:rPr>
      </w:pPr>
    </w:p>
    <w:p>
      <w:pPr>
        <w:ind w:left="180" w:hanging="174"/>
        <w:spacing w:after="0" w:line="212" w:lineRule="auto"/>
        <w:rPr>
          <w:sz w:val="20"/>
          <w:szCs w:val="20"/>
          <w:color w:val="auto"/>
        </w:rPr>
      </w:pPr>
      <w:r>
        <w:rPr>
          <w:rFonts w:ascii="Arial" w:cs="Arial" w:eastAsia="Arial" w:hAnsi="Arial"/>
          <w:sz w:val="18"/>
          <w:szCs w:val="18"/>
          <w:color w:val="auto"/>
        </w:rPr>
        <w:t xml:space="preserve">4L Technologies Inc. (fka Clover Holdings, Inc.) </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Consumer goods: Non-durable</w:t>
      </w:r>
    </w:p>
    <w:p>
      <w:pPr>
        <w:spacing w:after="0" w:line="213" w:lineRule="exact"/>
        <w:rPr>
          <w:sz w:val="20"/>
          <w:szCs w:val="20"/>
          <w:color w:val="auto"/>
        </w:rPr>
      </w:pPr>
    </w:p>
    <w:p>
      <w:pPr>
        <w:ind w:left="140" w:right="20" w:hanging="129"/>
        <w:spacing w:after="0" w:line="210" w:lineRule="auto"/>
        <w:rPr>
          <w:sz w:val="20"/>
          <w:szCs w:val="20"/>
          <w:color w:val="auto"/>
        </w:rPr>
      </w:pPr>
      <w:r>
        <w:rPr>
          <w:rFonts w:ascii="Arial" w:cs="Arial" w:eastAsia="Arial" w:hAnsi="Arial"/>
          <w:sz w:val="18"/>
          <w:szCs w:val="18"/>
          <w:color w:val="auto"/>
        </w:rPr>
        <w:t xml:space="preserve">Advanced Lighting Technologies, Inc. </w:t>
      </w:r>
      <w:r>
        <w:rPr>
          <w:rFonts w:ascii="Arial" w:cs="Arial" w:eastAsia="Arial" w:hAnsi="Arial"/>
          <w:sz w:val="30"/>
          <w:szCs w:val="30"/>
          <w:color w:val="auto"/>
          <w:vertAlign w:val="superscript"/>
        </w:rPr>
        <w:t>9, 10</w:t>
      </w:r>
      <w:r>
        <w:rPr>
          <w:rFonts w:ascii="Arial" w:cs="Arial" w:eastAsia="Arial" w:hAnsi="Arial"/>
          <w:sz w:val="18"/>
          <w:szCs w:val="18"/>
          <w:color w:val="auto"/>
        </w:rPr>
        <w:t xml:space="preserve"> Consumer goods: Durable</w:t>
      </w:r>
    </w:p>
    <w:p>
      <w:pPr>
        <w:spacing w:after="0" w:line="381" w:lineRule="exact"/>
        <w:rPr>
          <w:sz w:val="20"/>
          <w:szCs w:val="20"/>
          <w:color w:val="auto"/>
        </w:rPr>
      </w:pPr>
    </w:p>
    <w:p>
      <w:pPr>
        <w:ind w:left="140" w:right="500" w:hanging="129"/>
        <w:spacing w:after="0" w:line="210" w:lineRule="auto"/>
        <w:rPr>
          <w:sz w:val="20"/>
          <w:szCs w:val="20"/>
          <w:color w:val="auto"/>
        </w:rPr>
      </w:pPr>
      <w:r>
        <w:rPr>
          <w:rFonts w:ascii="Arial" w:cs="Arial" w:eastAsia="Arial" w:hAnsi="Arial"/>
          <w:sz w:val="18"/>
          <w:szCs w:val="18"/>
          <w:color w:val="auto"/>
        </w:rPr>
        <w:t xml:space="preserve">Advantage Sales &amp; Marketing Inc. </w:t>
      </w:r>
      <w:r>
        <w:rPr>
          <w:rFonts w:ascii="Arial" w:cs="Arial" w:eastAsia="Arial" w:hAnsi="Arial"/>
          <w:sz w:val="30"/>
          <w:szCs w:val="30"/>
          <w:color w:val="auto"/>
          <w:vertAlign w:val="superscript"/>
        </w:rPr>
        <w:t>9</w:t>
      </w:r>
      <w:r>
        <w:rPr>
          <w:rFonts w:ascii="Arial" w:cs="Arial" w:eastAsia="Arial" w:hAnsi="Arial"/>
          <w:sz w:val="18"/>
          <w:szCs w:val="18"/>
          <w:color w:val="auto"/>
        </w:rPr>
        <w:t xml:space="preserve"> Services: Business</w:t>
      </w:r>
    </w:p>
    <w:p>
      <w:pPr>
        <w:spacing w:after="0" w:line="381" w:lineRule="exact"/>
        <w:rPr>
          <w:sz w:val="20"/>
          <w:szCs w:val="20"/>
          <w:color w:val="auto"/>
        </w:rPr>
      </w:pPr>
    </w:p>
    <w:p>
      <w:pPr>
        <w:ind w:left="140" w:right="140" w:hanging="129"/>
        <w:spacing w:after="0" w:line="210" w:lineRule="auto"/>
        <w:rPr>
          <w:sz w:val="20"/>
          <w:szCs w:val="20"/>
          <w:color w:val="auto"/>
        </w:rPr>
      </w:pPr>
      <w:r>
        <w:rPr>
          <w:rFonts w:ascii="Arial" w:cs="Arial" w:eastAsia="Arial" w:hAnsi="Arial"/>
          <w:sz w:val="18"/>
          <w:szCs w:val="18"/>
          <w:color w:val="auto"/>
        </w:rPr>
        <w:t xml:space="preserve">Alere Inc. (fka IM US Holdings, LLC) </w:t>
      </w:r>
      <w:r>
        <w:rPr>
          <w:rFonts w:ascii="Arial" w:cs="Arial" w:eastAsia="Arial" w:hAnsi="Arial"/>
          <w:sz w:val="30"/>
          <w:szCs w:val="30"/>
          <w:color w:val="auto"/>
          <w:vertAlign w:val="superscript"/>
        </w:rPr>
        <w:t>10</w:t>
      </w:r>
      <w:r>
        <w:rPr>
          <w:rFonts w:ascii="Arial" w:cs="Arial" w:eastAsia="Arial" w:hAnsi="Arial"/>
          <w:sz w:val="18"/>
          <w:szCs w:val="18"/>
          <w:color w:val="auto"/>
        </w:rPr>
        <w:t xml:space="preserve"> Healthcare &amp; Pharmaceuticals</w:t>
      </w:r>
    </w:p>
    <w:p>
      <w:pPr>
        <w:spacing w:after="0" w:line="206" w:lineRule="exact"/>
        <w:rPr>
          <w:sz w:val="20"/>
          <w:szCs w:val="20"/>
          <w:color w:val="auto"/>
        </w:rPr>
      </w:pPr>
    </w:p>
    <w:p>
      <w:pPr>
        <w:ind w:left="140" w:right="480" w:hanging="129"/>
        <w:spacing w:after="0" w:line="180" w:lineRule="auto"/>
        <w:rPr>
          <w:sz w:val="20"/>
          <w:szCs w:val="20"/>
          <w:color w:val="auto"/>
        </w:rPr>
      </w:pPr>
      <w:r>
        <w:rPr>
          <w:rFonts w:ascii="Arial" w:cs="Arial" w:eastAsia="Arial" w:hAnsi="Arial"/>
          <w:sz w:val="17"/>
          <w:szCs w:val="17"/>
          <w:color w:val="auto"/>
        </w:rPr>
        <w:t xml:space="preserve">American Seafoods Group LLC </w:t>
      </w:r>
      <w:r>
        <w:rPr>
          <w:rFonts w:ascii="Arial" w:cs="Arial" w:eastAsia="Arial" w:hAnsi="Arial"/>
          <w:sz w:val="28"/>
          <w:szCs w:val="28"/>
          <w:color w:val="auto"/>
          <w:vertAlign w:val="superscript"/>
        </w:rPr>
        <w:t>9, 10</w:t>
      </w:r>
      <w:r>
        <w:rPr>
          <w:rFonts w:ascii="Arial" w:cs="Arial" w:eastAsia="Arial" w:hAnsi="Arial"/>
          <w:sz w:val="17"/>
          <w:szCs w:val="17"/>
          <w:color w:val="auto"/>
        </w:rPr>
        <w:t xml:space="preserve"> Beverage, Food and Tobacco</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Anaren, Inc. </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Aerospace and Defense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Apco Holdings, Inc. </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Services: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API Technologies Corp. </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High Tech Industries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Aristotle Corporation, The </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Consumer goods: Non-durable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0" w:type="dxa"/>
            <w:vAlign w:val="bottom"/>
          </w:tcPr>
          <w:p>
            <w:pPr>
              <w:spacing w:after="0"/>
              <w:rPr>
                <w:sz w:val="18"/>
                <w:szCs w:val="18"/>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9"/>
              </w:rPr>
              <w:t>Principal</w:t>
            </w:r>
          </w:p>
        </w:tc>
        <w:tc>
          <w:tcPr>
            <w:tcW w:w="240" w:type="dxa"/>
            <w:vAlign w:val="bottom"/>
          </w:tcPr>
          <w:p>
            <w:pPr>
              <w:spacing w:after="0"/>
              <w:rPr>
                <w:sz w:val="18"/>
                <w:szCs w:val="18"/>
                <w:color w:val="auto"/>
              </w:rPr>
            </w:pPr>
          </w:p>
        </w:tc>
        <w:tc>
          <w:tcPr>
            <w:tcW w:w="13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Initial Term Loan</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 Due 2/22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2,977,500</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2,952,690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2,880,136</w:t>
            </w:r>
          </w:p>
        </w:tc>
        <w:tc>
          <w:tcPr>
            <w:tcW w:w="0" w:type="dxa"/>
            <w:vAlign w:val="bottom"/>
          </w:tcPr>
          <w:p>
            <w:pPr>
              <w:spacing w:after="0"/>
              <w:rPr>
                <w:sz w:val="1"/>
                <w:szCs w:val="1"/>
                <w:color w:val="auto"/>
              </w:rPr>
            </w:pP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 Due 5/20</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2,727,465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2,711,073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2,594,096</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 Bond — 10.5% - 06/2019 -</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00753CAE2</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10.5% Cash, Due 6/19</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1,035,000</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 Due 7/22</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1,001,833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970,600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B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4.3% Cash, 1.0% Libor Floor, Due 6/22</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3,037,968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3,031,835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3,020,880</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 Due 8/21</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3,853,704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3,837,980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3,824,030</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 Due 2/21</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1,876,736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1,864,940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1,841,829</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7.0% Cash, 1.0% Libor Floor, Due 1/22</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3,950,000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3,844,546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3,950,000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 Due 4/22</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3,491,250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3,426,291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3,452,148</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 Due 6/21</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3,675,164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3,660,570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3,578,875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-4381500</wp:posOffset>
            </wp:positionV>
            <wp:extent cx="7246620" cy="43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-3806825</wp:posOffset>
            </wp:positionV>
            <wp:extent cx="724662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-3258185</wp:posOffset>
            </wp:positionV>
            <wp:extent cx="72466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-2709545</wp:posOffset>
            </wp:positionV>
            <wp:extent cx="724662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-2272030</wp:posOffset>
            </wp:positionV>
            <wp:extent cx="72466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-1723390</wp:posOffset>
            </wp:positionV>
            <wp:extent cx="72466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-1174115</wp:posOffset>
            </wp:positionV>
            <wp:extent cx="724662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-736600</wp:posOffset>
            </wp:positionV>
            <wp:extent cx="724662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-4939030</wp:posOffset>
            </wp:positionV>
            <wp:extent cx="7246620"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420"/>
            <w:col w:w="7760"/>
          </w:cols>
          <w:pgMar w:left="240" w:top="895" w:right="339" w:bottom="1440" w:gutter="0" w:footer="0" w:header="0"/>
          <w:type w:val="continuous"/>
        </w:sect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95"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9"/>
              </w:rPr>
              <w:t>Principal</w:t>
            </w:r>
          </w:p>
        </w:tc>
        <w:tc>
          <w:tcPr>
            <w:tcW w:w="120" w:type="dxa"/>
            <w:vAlign w:val="bottom"/>
          </w:tcPr>
          <w:p>
            <w:pPr>
              <w:spacing w:after="0"/>
              <w:rPr>
                <w:sz w:val="18"/>
                <w:szCs w:val="18"/>
                <w:color w:val="auto"/>
              </w:rPr>
            </w:pPr>
          </w:p>
        </w:tc>
        <w:tc>
          <w:tcPr>
            <w:tcW w:w="13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 xml:space="preserve">Asurion, LLC (fka Asurion Corporation) </w:t>
            </w:r>
            <w:r>
              <w:rPr>
                <w:rFonts w:ascii="Arial" w:cs="Arial" w:eastAsia="Arial" w:hAnsi="Arial"/>
                <w:sz w:val="22"/>
                <w:szCs w:val="22"/>
                <w:color w:val="auto"/>
                <w:vertAlign w:val="superscript"/>
              </w:rPr>
              <w:t>9, 10</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w w:val="94"/>
              </w:rPr>
              <w:t>Senior Secured Loan — Incremental Tranche</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Banking, Finance, Insurance &amp; Real Estate</w:t>
            </w: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B-1 Term Loan</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5/19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849,252</w:t>
            </w: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850,205</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853,325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Asurion, LLC (fka Asurion Corporation) </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7"/>
              </w:rPr>
              <w:t>Senior Secured Loan — Incremental Tranche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Banking, Finance, Insurance &amp; Real Estate</w:t>
            </w: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B-4 Term Loan</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8/22</w:t>
            </w:r>
          </w:p>
        </w:tc>
        <w:tc>
          <w:tcPr>
            <w:tcW w:w="14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879,162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875,482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884,877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Avalign Technologies, Inc. </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Lien)</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7/22</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991,717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972,000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9.5%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Avalign Technologies, Inc. </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7/21</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2,913,305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2,894,873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Bankruptcy Management Solutions, Inc. </w:t>
            </w:r>
            <w:r>
              <w:rPr>
                <w:rFonts w:ascii="Arial" w:cs="Arial" w:eastAsia="Arial" w:hAnsi="Arial"/>
                <w:sz w:val="28"/>
                <w:szCs w:val="28"/>
                <w:color w:val="auto"/>
                <w:vertAlign w:val="superscript"/>
              </w:rPr>
              <w:t>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B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6/18</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669,867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BarBri, Inc. (Gemini Holdings, Inc.) </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Consumer</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7/19</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2,619,636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2,613,502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2,553,359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BBB Industries US Holdings, Inc. </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Automotive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11/21</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2,955,000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2,911,982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2,777,996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Bellisio Foods, Inc. </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U.S. Term B Loans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Beverage, Food and Tobacco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8/19</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1,876,982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1,872,338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1,876,606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Bestop, Inc. </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First Amendment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Automotive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Term Loan</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7/21</w:t>
            </w:r>
          </w:p>
        </w:tc>
        <w:tc>
          <w:tcPr>
            <w:tcW w:w="14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495,031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495,000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Bestop, Inc. </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Automotive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7/21</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1,494,548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Carolina Beverage Group LLC </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7"/>
              </w:rPr>
              <w:t>Senior Secured Bond — 10.625% - 08/2018 -</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Beverage, Food and Tobacco</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143818AA0 144A</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1,507,492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1,400,625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10.6% Cash, Due 8/18</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CCS Intermediate Holdings, LLC </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7/21</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2,929,817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2,469,600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40" w:type="dxa"/>
            <w:vAlign w:val="bottom"/>
          </w:tcPr>
          <w:p>
            <w:pPr>
              <w:spacing w:after="0"/>
              <w:rPr>
                <w:sz w:val="18"/>
                <w:szCs w:val="18"/>
                <w:color w:val="auto"/>
              </w:rPr>
            </w:pP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9"/>
              </w:rPr>
              <w:t>Principal</w:t>
            </w:r>
          </w:p>
        </w:tc>
        <w:tc>
          <w:tcPr>
            <w:tcW w:w="120" w:type="dxa"/>
            <w:vAlign w:val="bottom"/>
          </w:tcPr>
          <w:p>
            <w:pPr>
              <w:spacing w:after="0"/>
              <w:rPr>
                <w:sz w:val="18"/>
                <w:szCs w:val="18"/>
                <w:color w:val="auto"/>
              </w:rPr>
            </w:pPr>
          </w:p>
        </w:tc>
        <w:tc>
          <w:tcPr>
            <w:tcW w:w="13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Interest Rate¹ / Maturity</w:t>
            </w:r>
          </w:p>
        </w:tc>
        <w:tc>
          <w:tcPr>
            <w:tcW w:w="1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 xml:space="preserve">Cengage Learning, Inc. </w:t>
            </w:r>
            <w:r>
              <w:rPr>
                <w:rFonts w:ascii="Arial" w:cs="Arial" w:eastAsia="Arial" w:hAnsi="Arial"/>
                <w:sz w:val="22"/>
                <w:szCs w:val="22"/>
                <w:color w:val="auto"/>
                <w:vertAlign w:val="superscript"/>
              </w:rPr>
              <w:t>9, 10</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2016 Refinancing</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 Publishing</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3,803,445</w:t>
            </w:r>
          </w:p>
        </w:tc>
        <w:tc>
          <w:tcPr>
            <w:tcW w:w="120" w:type="dxa"/>
            <w:vAlign w:val="bottom"/>
            <w:shd w:val="clear" w:color="auto" w:fill="CCEEFF"/>
          </w:tcPr>
          <w:p>
            <w:pPr>
              <w:spacing w:after="0"/>
              <w:rPr>
                <w:sz w:val="18"/>
                <w:szCs w:val="18"/>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3,798,307</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3,806,849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6/23</w:t>
            </w: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6"/>
              </w:rPr>
              <w:t>Charter Communications Operating, LLC (aka</w:t>
            </w:r>
          </w:p>
        </w:tc>
        <w:tc>
          <w:tcPr>
            <w:tcW w:w="4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CCO Safari LLC) </w:t>
            </w:r>
            <w:r>
              <w:rPr>
                <w:rFonts w:ascii="Arial" w:cs="Arial" w:eastAsia="Arial" w:hAnsi="Arial"/>
                <w:sz w:val="29"/>
                <w:szCs w:val="29"/>
                <w:color w:val="auto"/>
                <w:vertAlign w:val="superscript"/>
              </w:rPr>
              <w:t>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I Loan (2016)</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Broadcasting &amp; Subscription</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3.5%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0.8% Libor Floor, Due 1/23</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996,174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1,002,666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Checkout Holding Corp. (fka Catalina</w:t>
            </w:r>
          </w:p>
        </w:tc>
        <w:tc>
          <w:tcPr>
            <w:tcW w:w="35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Term B Loan (First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Marketing) </w:t>
            </w:r>
            <w:r>
              <w:rPr>
                <w:rFonts w:ascii="Arial" w:cs="Arial" w:eastAsia="Arial" w:hAnsi="Arial"/>
                <w:sz w:val="29"/>
                <w:szCs w:val="29"/>
                <w:color w:val="auto"/>
                <w:vertAlign w:val="superscript"/>
              </w:rPr>
              <w:t>9, 10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4/21</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977,500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974,337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891,358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CHS/Community Health Systems, Inc. </w:t>
            </w:r>
            <w:r>
              <w:rPr>
                <w:rFonts w:ascii="Arial" w:cs="Arial" w:eastAsia="Arial" w:hAnsi="Arial"/>
                <w:sz w:val="23"/>
                <w:szCs w:val="23"/>
                <w:color w:val="auto"/>
                <w:vertAlign w:val="superscript"/>
              </w:rPr>
              <w:t>10</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Incremental 2021</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H Loan</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2,977,425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2,949,362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2,929,235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1/21</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Consolidated Communications, Inc. </w:t>
            </w:r>
            <w:r>
              <w:rPr>
                <w:rFonts w:ascii="Arial" w:cs="Arial" w:eastAsia="Arial" w:hAnsi="Arial"/>
                <w:sz w:val="28"/>
                <w:szCs w:val="28"/>
                <w:color w:val="auto"/>
                <w:vertAlign w:val="superscript"/>
              </w:rPr>
              <w:t>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Telecommunications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12/20</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2,939,547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2,947,290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2,939,547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CRGT Inc. </w:t>
            </w:r>
            <w:r>
              <w:rPr>
                <w:rFonts w:ascii="Arial" w:cs="Arial" w:eastAsia="Arial" w:hAnsi="Arial"/>
                <w:sz w:val="28"/>
                <w:szCs w:val="28"/>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12/20</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3,495,853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3,457,041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CSM Bakery Solutions Limited (fka CSM</w:t>
            </w:r>
          </w:p>
        </w:tc>
        <w:tc>
          <w:tcPr>
            <w:tcW w:w="35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Junior Secured Loan — Term Loan (Second</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Bakery Supplies Limited) </w:t>
            </w:r>
            <w:r>
              <w:rPr>
                <w:rFonts w:ascii="Arial" w:cs="Arial" w:eastAsia="Arial" w:hAnsi="Arial"/>
                <w:sz w:val="29"/>
                <w:szCs w:val="29"/>
                <w:color w:val="auto"/>
                <w:vertAlign w:val="superscript"/>
              </w:rPr>
              <w:t>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Beverage, Food and Tobacco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8.8%</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7/21</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3,011,961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2,935,500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9"/>
              </w:rPr>
              <w:t>CT Technologies Intermediate Holdings, Inc.</w:t>
            </w:r>
          </w:p>
        </w:tc>
        <w:tc>
          <w:tcPr>
            <w:tcW w:w="35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New Term Loan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w w:val="92"/>
              </w:rPr>
              <w:t xml:space="preserve">(Smart Holdings Corp.) (aka HealthPort) </w:t>
            </w:r>
            <w:r>
              <w:rPr>
                <w:rFonts w:ascii="Arial" w:cs="Arial" w:eastAsia="Arial" w:hAnsi="Arial"/>
                <w:sz w:val="29"/>
                <w:szCs w:val="29"/>
                <w:color w:val="auto"/>
                <w:w w:val="92"/>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Facility</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12/21</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2,947,688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2,923,968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DJO Finance LLC </w:t>
            </w:r>
            <w:r>
              <w:rPr>
                <w:rFonts w:ascii="Arial" w:cs="Arial" w:eastAsia="Arial" w:hAnsi="Arial"/>
                <w:sz w:val="28"/>
                <w:szCs w:val="28"/>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6/20</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1,488,722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1,481,222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Drew Marine Group Inc. </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Transportation: Cargo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Cash, 1.0% Libor Floor, Due 5/21</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2,496,120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2,312,500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8.0%</w:t>
            </w:r>
          </w:p>
        </w:tc>
        <w:tc>
          <w:tcPr>
            <w:tcW w:w="3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Eastern Power, LLC (Eastern Covert Midco,</w:t>
            </w:r>
          </w:p>
        </w:tc>
        <w:tc>
          <w:tcPr>
            <w:tcW w:w="4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LLC) (aka TPF II LC, LLC) </w:t>
            </w:r>
            <w:r>
              <w:rPr>
                <w:rFonts w:ascii="Arial" w:cs="Arial" w:eastAsia="Arial" w:hAnsi="Arial"/>
                <w:sz w:val="29"/>
                <w:szCs w:val="29"/>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Utilities: Electric</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10/21</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2,796,756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2,815,359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2,828,570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Electric Lightwave Holdings, Inc. (f.k.a.</w:t>
            </w:r>
          </w:p>
        </w:tc>
        <w:tc>
          <w:tcPr>
            <w:tcW w:w="4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Integra Telecom Holdings, Inc.) </w:t>
            </w:r>
            <w:r>
              <w:rPr>
                <w:rFonts w:ascii="Arial" w:cs="Arial" w:eastAsia="Arial" w:hAnsi="Arial"/>
                <w:sz w:val="29"/>
                <w:szCs w:val="29"/>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B-1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Telecommunications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8/20</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2,931,882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2,936,325</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9"/>
              </w:rPr>
              <w:t>Principal</w:t>
            </w:r>
          </w:p>
        </w:tc>
        <w:tc>
          <w:tcPr>
            <w:tcW w:w="120" w:type="dxa"/>
            <w:vAlign w:val="bottom"/>
          </w:tcPr>
          <w:p>
            <w:pPr>
              <w:spacing w:after="0"/>
              <w:rPr>
                <w:sz w:val="18"/>
                <w:szCs w:val="18"/>
                <w:color w:val="auto"/>
              </w:rPr>
            </w:pPr>
          </w:p>
        </w:tc>
        <w:tc>
          <w:tcPr>
            <w:tcW w:w="13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 xml:space="preserve">ELO Touch Solutions, Inc. </w:t>
            </w:r>
            <w:r>
              <w:rPr>
                <w:rFonts w:ascii="Arial" w:cs="Arial" w:eastAsia="Arial" w:hAnsi="Arial"/>
                <w:sz w:val="22"/>
                <w:szCs w:val="22"/>
                <w:color w:val="auto"/>
                <w:vertAlign w:val="superscript"/>
              </w:rPr>
              <w:t>9, 10</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Term Loan (First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1.5%</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6/18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1,420,897</w:t>
            </w:r>
          </w:p>
        </w:tc>
        <w:tc>
          <w:tcPr>
            <w:tcW w:w="120" w:type="dxa"/>
            <w:vAlign w:val="bottom"/>
            <w:shd w:val="clear" w:color="auto" w:fill="CCEEFF"/>
          </w:tcPr>
          <w:p>
            <w:pPr>
              <w:spacing w:after="0"/>
              <w:rPr>
                <w:sz w:val="18"/>
                <w:szCs w:val="18"/>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1,392,794</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1,379,123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8.5%</w:t>
            </w:r>
          </w:p>
        </w:tc>
        <w:tc>
          <w:tcPr>
            <w:tcW w:w="46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EWT Holdings III Corp. (fka WTG Holdings</w:t>
            </w:r>
          </w:p>
        </w:tc>
        <w:tc>
          <w:tcPr>
            <w:tcW w:w="3560" w:type="dxa"/>
            <w:vAlign w:val="bottom"/>
            <w:gridSpan w:val="5"/>
            <w:shd w:val="clear" w:color="auto" w:fill="CCEEFF"/>
          </w:tcPr>
          <w:p>
            <w:pPr>
              <w:spacing w:after="0" w:line="206" w:lineRule="exact"/>
              <w:rPr>
                <w:sz w:val="20"/>
                <w:szCs w:val="20"/>
                <w:color w:val="auto"/>
              </w:rPr>
            </w:pPr>
            <w:r>
              <w:rPr>
                <w:rFonts w:ascii="Arial" w:cs="Arial" w:eastAsia="Arial" w:hAnsi="Arial"/>
                <w:sz w:val="18"/>
                <w:szCs w:val="18"/>
                <w:color w:val="auto"/>
              </w:rPr>
              <w:t>Junior Secured Loan — Term Loan (Second</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III Corp.) </w:t>
            </w:r>
            <w:r>
              <w:rPr>
                <w:rFonts w:ascii="Arial" w:cs="Arial" w:eastAsia="Arial" w:hAnsi="Arial"/>
                <w:sz w:val="29"/>
                <w:szCs w:val="29"/>
                <w:color w:val="auto"/>
                <w:vertAlign w:val="superscript"/>
              </w:rPr>
              <w:t>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Environmental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1/22</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3,986,767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3,812,400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Fender Musical Instruments Corporation </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 goods: Durable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5.8%</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4/19</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1,346,300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1,353,247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1,345,896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FHC Health Systems, Inc. </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12/21</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3,848,536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3,819,520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3,765,561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First American Payment Systems, L.P. </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Banking, Finance, Insurance &amp; Real Estate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1,796,448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1,782,444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1,758,902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10.8% Cash, 1.3% Libor Floor, Due 4/19</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Getty Images, Inc. </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4.8%</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10/19</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2,146,144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2,153,929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1,800,979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GI Advo Opco, LLC </w:t>
            </w:r>
            <w:r>
              <w:rPr>
                <w:rFonts w:ascii="Arial" w:cs="Arial" w:eastAsia="Arial" w:hAnsi="Arial"/>
                <w:sz w:val="28"/>
                <w:szCs w:val="28"/>
                <w:color w:val="auto"/>
                <w:vertAlign w:val="superscript"/>
              </w:rPr>
              <w:t>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11/21</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248,125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GI Advo Opco, LLC </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11/21</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2,729,375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2,705,893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2,467,628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GK Holdings, Inc. (aka Global Knowledge) </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Lien)</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1,477,122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1,436,700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10.5% Cash, 1.0% Libor Floor, Due 1/22</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4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 xml:space="preserve">GK Holdings, Inc. (aka Global Knowledge) </w:t>
            </w:r>
            <w:r>
              <w:rPr>
                <w:rFonts w:ascii="Arial" w:cs="Arial" w:eastAsia="Arial" w:hAnsi="Arial"/>
                <w:sz w:val="26"/>
                <w:szCs w:val="26"/>
                <w:color w:val="auto"/>
                <w:vertAlign w:val="superscript"/>
              </w:rPr>
              <w:t>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1/21</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2,456,250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2,438,497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Global Tel*Link Corporation </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Telecommunications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11/20</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3,954,755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3,808,320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9.0%</w:t>
            </w:r>
          </w:p>
        </w:tc>
        <w:tc>
          <w:tcPr>
            <w:tcW w:w="46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Gold Standard Baking, Inc. </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Beverage, Food and Tobacco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4/21</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2,468,750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2,459,257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2,467,516</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40" w:type="dxa"/>
            <w:vAlign w:val="bottom"/>
          </w:tcPr>
          <w:p>
            <w:pPr>
              <w:spacing w:after="0"/>
              <w:rPr>
                <w:sz w:val="18"/>
                <w:szCs w:val="18"/>
                <w:color w:val="auto"/>
              </w:rPr>
            </w:pP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9"/>
              </w:rPr>
              <w:t>Principal</w:t>
            </w:r>
          </w:p>
        </w:tc>
        <w:tc>
          <w:tcPr>
            <w:tcW w:w="120" w:type="dxa"/>
            <w:vAlign w:val="bottom"/>
          </w:tcPr>
          <w:p>
            <w:pPr>
              <w:spacing w:after="0"/>
              <w:rPr>
                <w:sz w:val="18"/>
                <w:szCs w:val="18"/>
                <w:color w:val="auto"/>
              </w:rPr>
            </w:pPr>
          </w:p>
        </w:tc>
        <w:tc>
          <w:tcPr>
            <w:tcW w:w="13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Interest Rate¹ / Maturity</w:t>
            </w:r>
          </w:p>
        </w:tc>
        <w:tc>
          <w:tcPr>
            <w:tcW w:w="1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w w:val="98"/>
              </w:rPr>
              <w:t xml:space="preserve">Grande Communications Networks LLC </w:t>
            </w:r>
            <w:r>
              <w:rPr>
                <w:rFonts w:ascii="Arial" w:cs="Arial" w:eastAsia="Arial" w:hAnsi="Arial"/>
                <w:sz w:val="27"/>
                <w:szCs w:val="27"/>
                <w:color w:val="auto"/>
                <w:w w:val="98"/>
                <w:vertAlign w:val="superscript"/>
              </w:rPr>
              <w:t>9, 10</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Telecommunications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5/20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3,870,132</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3,875,227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3,843,428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Grifols Worldwide Operations Limited </w:t>
            </w:r>
            <w:r>
              <w:rPr>
                <w:rFonts w:ascii="Arial" w:cs="Arial" w:eastAsia="Arial" w:hAnsi="Arial"/>
                <w:sz w:val="23"/>
                <w:szCs w:val="23"/>
                <w:color w:val="auto"/>
                <w:vertAlign w:val="superscript"/>
              </w:rPr>
              <w:t>10</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96"/>
              </w:rPr>
              <w:t>Senior Secured Loan — U.S. Tranche B Term</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Cash, Due 2/21</w:t>
            </w:r>
          </w:p>
        </w:tc>
        <w:tc>
          <w:tcPr>
            <w:tcW w:w="14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989,848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987,761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1,000,365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3.4%</w:t>
            </w:r>
          </w:p>
        </w:tc>
        <w:tc>
          <w:tcPr>
            <w:tcW w:w="3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Grupo HIMA San Pablo, Inc. </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B Loan (First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Cash, 1.5% Libor Floor, Due 1/18</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2,879,549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2,779,200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8.5%</w:t>
            </w:r>
          </w:p>
        </w:tc>
        <w:tc>
          <w:tcPr>
            <w:tcW w:w="3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Grupo HIMA San Pablo, Inc. </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6,946,210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6,370,000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13.8% Cash, Due 7/18</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Gymboree Corporation., The </w:t>
            </w:r>
            <w:r>
              <w:rPr>
                <w:rFonts w:ascii="Arial" w:cs="Arial" w:eastAsia="Arial" w:hAnsi="Arial"/>
                <w:sz w:val="28"/>
                <w:szCs w:val="28"/>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1.5% Libor Floor, Due 2/18</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1,421,105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1,414,214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1,132,088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Hargray Communications Group, Inc. (HCP</w:t>
            </w:r>
          </w:p>
        </w:tc>
        <w:tc>
          <w:tcPr>
            <w:tcW w:w="35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Initial Term Loan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Acquisition LLC) </w:t>
            </w:r>
            <w:r>
              <w:rPr>
                <w:rFonts w:ascii="Arial" w:cs="Arial" w:eastAsia="Arial" w:hAnsi="Arial"/>
                <w:sz w:val="29"/>
                <w:szCs w:val="29"/>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Retired 10/06/2016</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Broadcasting &amp; Subscription</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6/19</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2,894,511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2,881,254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2,915,018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 (fka Clarke</w:t>
            </w:r>
          </w:p>
        </w:tc>
        <w:tc>
          <w:tcPr>
            <w:tcW w:w="35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Tranche B-3 Term</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American Corp.) </w:t>
            </w:r>
            <w:r>
              <w:rPr>
                <w:rFonts w:ascii="Arial" w:cs="Arial" w:eastAsia="Arial" w:hAnsi="Arial"/>
                <w:sz w:val="29"/>
                <w:szCs w:val="29"/>
                <w:color w:val="auto"/>
                <w:vertAlign w:val="superscript"/>
              </w:rPr>
              <w:t>9, 10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1.5% Libor Floor, Due 5/18</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1,743,529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1,735,560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 (fka Clarke</w:t>
            </w:r>
          </w:p>
        </w:tc>
        <w:tc>
          <w:tcPr>
            <w:tcW w:w="35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Tranche B-4 Term</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American Corp.) </w:t>
            </w:r>
            <w:r>
              <w:rPr>
                <w:rFonts w:ascii="Arial" w:cs="Arial" w:eastAsia="Arial" w:hAnsi="Arial"/>
                <w:sz w:val="29"/>
                <w:szCs w:val="29"/>
                <w:color w:val="auto"/>
                <w:vertAlign w:val="superscript"/>
              </w:rPr>
              <w:t>9, 10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8/19</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1,393,261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1,376,502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 (fka Clarke</w:t>
            </w:r>
          </w:p>
        </w:tc>
        <w:tc>
          <w:tcPr>
            <w:tcW w:w="35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Tranche B-5 Term</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American Corp.) </w:t>
            </w:r>
            <w:r>
              <w:rPr>
                <w:rFonts w:ascii="Arial" w:cs="Arial" w:eastAsia="Arial" w:hAnsi="Arial"/>
                <w:sz w:val="29"/>
                <w:szCs w:val="29"/>
                <w:color w:val="auto"/>
                <w:vertAlign w:val="superscript"/>
              </w:rPr>
              <w:t>9, 10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12/19</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1,421,875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1,403,928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1,397,348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Hoffmaster Group, Inc. </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Forest Products &amp; Paper</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Lien)</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1,980,239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1,912,600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 Cash, 1.0% Libor Floor, Due 5/21</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Hoffmaster Group, Inc. </w:t>
            </w:r>
            <w:r>
              <w:rPr>
                <w:rFonts w:ascii="Arial" w:cs="Arial" w:eastAsia="Arial" w:hAnsi="Arial"/>
                <w:sz w:val="23"/>
                <w:szCs w:val="23"/>
                <w:color w:val="auto"/>
                <w:vertAlign w:val="superscript"/>
              </w:rPr>
              <w:t>9, 10</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Forest Products &amp; Paper</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Lien)</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3,886,407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3,837,274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5/20</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Industrial Services Acquisition, LLC (aka</w:t>
            </w:r>
          </w:p>
        </w:tc>
        <w:tc>
          <w:tcPr>
            <w:tcW w:w="4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Evergreen / NAIC) </w:t>
            </w:r>
            <w:r>
              <w:rPr>
                <w:rFonts w:ascii="Arial" w:cs="Arial" w:eastAsia="Arial" w:hAnsi="Arial"/>
                <w:sz w:val="29"/>
                <w:szCs w:val="29"/>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Ecological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6/22</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2,962,500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2,934,140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2,962,500</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11" w:name="page12"/>
    <w:bookmarkEnd w:id="11"/>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Company / Principal Business</w:t>
      </w:r>
    </w:p>
    <w:p>
      <w:pPr>
        <w:spacing w:after="0" w:line="42" w:lineRule="exact"/>
        <w:rPr>
          <w:sz w:val="20"/>
          <w:szCs w:val="20"/>
          <w:color w:val="auto"/>
        </w:rPr>
      </w:pPr>
    </w:p>
    <w:p>
      <w:pPr>
        <w:ind w:left="140" w:hanging="129"/>
        <w:spacing w:after="0" w:line="210" w:lineRule="auto"/>
        <w:rPr>
          <w:sz w:val="20"/>
          <w:szCs w:val="20"/>
          <w:color w:val="auto"/>
        </w:rPr>
      </w:pPr>
      <w:r>
        <w:rPr>
          <w:rFonts w:ascii="Arial" w:cs="Arial" w:eastAsia="Arial" w:hAnsi="Arial"/>
          <w:sz w:val="18"/>
          <w:szCs w:val="18"/>
          <w:color w:val="auto"/>
        </w:rPr>
        <w:t xml:space="preserve">International Architectural Products, Inc. </w:t>
      </w:r>
      <w:r>
        <w:rPr>
          <w:rFonts w:ascii="Arial" w:cs="Arial" w:eastAsia="Arial" w:hAnsi="Arial"/>
          <w:sz w:val="30"/>
          <w:szCs w:val="30"/>
          <w:color w:val="auto"/>
          <w:vertAlign w:val="superscript"/>
        </w:rPr>
        <w:t>7, 9</w:t>
      </w:r>
      <w:r>
        <w:rPr>
          <w:rFonts w:ascii="Arial" w:cs="Arial" w:eastAsia="Arial" w:hAnsi="Arial"/>
          <w:sz w:val="18"/>
          <w:szCs w:val="18"/>
          <w:color w:val="auto"/>
        </w:rPr>
        <w:t xml:space="preserve"> Metals &amp; Mining</w:t>
      </w:r>
    </w:p>
    <w:p>
      <w:pPr>
        <w:spacing w:after="0" w:line="381" w:lineRule="exact"/>
        <w:rPr>
          <w:sz w:val="20"/>
          <w:szCs w:val="20"/>
          <w:color w:val="auto"/>
        </w:rPr>
      </w:pPr>
    </w:p>
    <w:p>
      <w:pPr>
        <w:ind w:left="140" w:right="20" w:hanging="129"/>
        <w:spacing w:after="0" w:line="210" w:lineRule="auto"/>
        <w:rPr>
          <w:sz w:val="20"/>
          <w:szCs w:val="20"/>
          <w:color w:val="auto"/>
        </w:rPr>
      </w:pPr>
      <w:r>
        <w:rPr>
          <w:rFonts w:ascii="Arial" w:cs="Arial" w:eastAsia="Arial" w:hAnsi="Arial"/>
          <w:sz w:val="18"/>
          <w:szCs w:val="18"/>
          <w:color w:val="auto"/>
        </w:rPr>
        <w:t xml:space="preserve">Kellermeyer Bergensons Services, LLC </w:t>
      </w:r>
      <w:r>
        <w:rPr>
          <w:rFonts w:ascii="Arial" w:cs="Arial" w:eastAsia="Arial" w:hAnsi="Arial"/>
          <w:sz w:val="30"/>
          <w:szCs w:val="30"/>
          <w:color w:val="auto"/>
          <w:vertAlign w:val="superscript"/>
        </w:rPr>
        <w:t>9, 10</w:t>
      </w:r>
      <w:r>
        <w:rPr>
          <w:rFonts w:ascii="Arial" w:cs="Arial" w:eastAsia="Arial" w:hAnsi="Arial"/>
          <w:sz w:val="18"/>
          <w:szCs w:val="18"/>
          <w:color w:val="auto"/>
        </w:rPr>
        <w:t xml:space="preserve"> Services: Business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Key Safety Systems, Inc. </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Automotive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Landslide Holdings, Inc. </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High Tech Industries</w:t>
      </w:r>
    </w:p>
    <w:p>
      <w:pPr>
        <w:spacing w:after="0" w:line="388" w:lineRule="exact"/>
        <w:rPr>
          <w:sz w:val="20"/>
          <w:szCs w:val="20"/>
          <w:color w:val="auto"/>
        </w:rPr>
      </w:pPr>
    </w:p>
    <w:p>
      <w:pPr>
        <w:ind w:left="140" w:right="80" w:hanging="129"/>
        <w:spacing w:after="0" w:line="210" w:lineRule="auto"/>
        <w:rPr>
          <w:sz w:val="20"/>
          <w:szCs w:val="20"/>
          <w:color w:val="auto"/>
        </w:rPr>
      </w:pPr>
      <w:r>
        <w:rPr>
          <w:rFonts w:ascii="Arial" w:cs="Arial" w:eastAsia="Arial" w:hAnsi="Arial"/>
          <w:sz w:val="18"/>
          <w:szCs w:val="18"/>
          <w:color w:val="auto"/>
        </w:rPr>
        <w:t xml:space="preserve">MB Aerospace ACP Holdings II Corp. </w:t>
      </w:r>
      <w:r>
        <w:rPr>
          <w:rFonts w:ascii="Arial" w:cs="Arial" w:eastAsia="Arial" w:hAnsi="Arial"/>
          <w:sz w:val="30"/>
          <w:szCs w:val="30"/>
          <w:color w:val="auto"/>
          <w:vertAlign w:val="superscript"/>
        </w:rPr>
        <w:t>9, 10</w:t>
      </w:r>
      <w:r>
        <w:rPr>
          <w:rFonts w:ascii="Arial" w:cs="Arial" w:eastAsia="Arial" w:hAnsi="Arial"/>
          <w:sz w:val="18"/>
          <w:szCs w:val="18"/>
          <w:color w:val="auto"/>
        </w:rPr>
        <w:t xml:space="preserve"> Aerospace and Defense</w:t>
      </w:r>
    </w:p>
    <w:p>
      <w:pPr>
        <w:spacing w:after="0" w:line="206" w:lineRule="exact"/>
        <w:rPr>
          <w:sz w:val="20"/>
          <w:szCs w:val="20"/>
          <w:color w:val="auto"/>
        </w:rPr>
      </w:pPr>
    </w:p>
    <w:p>
      <w:pPr>
        <w:ind w:left="140" w:right="140" w:hanging="129"/>
        <w:spacing w:after="0" w:line="210" w:lineRule="auto"/>
        <w:rPr>
          <w:sz w:val="20"/>
          <w:szCs w:val="20"/>
          <w:color w:val="auto"/>
        </w:rPr>
      </w:pPr>
      <w:r>
        <w:rPr>
          <w:rFonts w:ascii="Arial" w:cs="Arial" w:eastAsia="Arial" w:hAnsi="Arial"/>
          <w:sz w:val="18"/>
          <w:szCs w:val="18"/>
          <w:color w:val="auto"/>
        </w:rPr>
        <w:t xml:space="preserve">Medical Specialties Distributors, LLC </w:t>
      </w:r>
      <w:r>
        <w:rPr>
          <w:rFonts w:ascii="Arial" w:cs="Arial" w:eastAsia="Arial" w:hAnsi="Arial"/>
          <w:sz w:val="30"/>
          <w:szCs w:val="30"/>
          <w:color w:val="auto"/>
          <w:vertAlign w:val="superscript"/>
        </w:rPr>
        <w:t>9, 10</w:t>
      </w:r>
      <w:r>
        <w:rPr>
          <w:rFonts w:ascii="Arial" w:cs="Arial" w:eastAsia="Arial" w:hAnsi="Arial"/>
          <w:sz w:val="18"/>
          <w:szCs w:val="18"/>
          <w:color w:val="auto"/>
        </w:rPr>
        <w:t xml:space="preserve"> Healthcare &amp; Pharmaceuticals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Medrisk, Inc. </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Healthcare &amp; Pharmaceuticals</w:t>
      </w:r>
    </w:p>
    <w:p>
      <w:pPr>
        <w:spacing w:after="0" w:line="213" w:lineRule="exact"/>
        <w:rPr>
          <w:sz w:val="20"/>
          <w:szCs w:val="20"/>
          <w:color w:val="auto"/>
        </w:rPr>
      </w:pPr>
    </w:p>
    <w:p>
      <w:pPr>
        <w:ind w:left="140" w:right="260" w:hanging="129"/>
        <w:spacing w:after="0"/>
        <w:rPr>
          <w:sz w:val="20"/>
          <w:szCs w:val="20"/>
          <w:color w:val="auto"/>
        </w:rPr>
      </w:pPr>
      <w:r>
        <w:rPr>
          <w:rFonts w:ascii="Arial" w:cs="Arial" w:eastAsia="Arial" w:hAnsi="Arial"/>
          <w:sz w:val="16"/>
          <w:szCs w:val="16"/>
          <w:color w:val="auto"/>
        </w:rPr>
        <w:t xml:space="preserve">MGOC, Inc. (fka Media General, Inc.) </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Media: Broadcasting &amp; Subscription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9"/>
              </w:rPr>
              <w:t>Principal</w:t>
            </w:r>
          </w:p>
        </w:tc>
        <w:tc>
          <w:tcPr>
            <w:tcW w:w="120" w:type="dxa"/>
            <w:vAlign w:val="bottom"/>
          </w:tcPr>
          <w:p>
            <w:pPr>
              <w:spacing w:after="0"/>
              <w:rPr>
                <w:sz w:val="18"/>
                <w:szCs w:val="18"/>
                <w:color w:val="auto"/>
              </w:rPr>
            </w:pPr>
          </w:p>
        </w:tc>
        <w:tc>
          <w:tcPr>
            <w:tcW w:w="13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34"/>
        </w:trPr>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Senior Secured Loan — Term Loan</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0.0%</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3.3%</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PIK, 2.5% Libor Floor, Due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5/15</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247,636</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228,563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418"/>
        </w:trPr>
        <w:tc>
          <w:tcPr>
            <w:tcW w:w="3560" w:type="dxa"/>
            <w:vAlign w:val="bottom"/>
            <w:gridSpan w:val="5"/>
          </w:tcPr>
          <w:p>
            <w:pPr>
              <w:spacing w:after="0"/>
              <w:rPr>
                <w:sz w:val="20"/>
                <w:szCs w:val="20"/>
                <w:color w:val="auto"/>
              </w:rPr>
            </w:pPr>
            <w:r>
              <w:rPr>
                <w:rFonts w:ascii="Arial" w:cs="Arial" w:eastAsia="Arial" w:hAnsi="Arial"/>
                <w:sz w:val="18"/>
                <w:szCs w:val="18"/>
                <w:color w:val="auto"/>
              </w:rPr>
              <w:t>Senior Secured Loan — Initial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6.0%</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10/21</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1,950,120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1,935,937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1,902,537</w:t>
            </w:r>
          </w:p>
        </w:tc>
        <w:tc>
          <w:tcPr>
            <w:tcW w:w="0" w:type="dxa"/>
            <w:vAlign w:val="bottom"/>
          </w:tcPr>
          <w:p>
            <w:pPr>
              <w:spacing w:after="0"/>
              <w:rPr>
                <w:sz w:val="1"/>
                <w:szCs w:val="1"/>
                <w:color w:val="auto"/>
              </w:rPr>
            </w:pPr>
          </w:p>
        </w:tc>
      </w:tr>
      <w:tr>
        <w:trPr>
          <w:trHeight w:val="458"/>
        </w:trPr>
        <w:tc>
          <w:tcPr>
            <w:tcW w:w="3560" w:type="dxa"/>
            <w:vAlign w:val="bottom"/>
            <w:gridSpan w:val="5"/>
          </w:tcPr>
          <w:p>
            <w:pPr>
              <w:spacing w:after="0"/>
              <w:rPr>
                <w:sz w:val="20"/>
                <w:szCs w:val="20"/>
                <w:color w:val="auto"/>
              </w:rPr>
            </w:pPr>
            <w:r>
              <w:rPr>
                <w:rFonts w:ascii="Arial" w:cs="Arial" w:eastAsia="Arial" w:hAnsi="Arial"/>
                <w:sz w:val="18"/>
                <w:szCs w:val="18"/>
                <w:color w:val="auto"/>
              </w:rPr>
              <w:t>Senior Secured Loan — Initial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5.5%</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8/21</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1,394,077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1,389,189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1,408,889</w:t>
            </w:r>
          </w:p>
        </w:tc>
        <w:tc>
          <w:tcPr>
            <w:tcW w:w="0" w:type="dxa"/>
            <w:vAlign w:val="bottom"/>
          </w:tcPr>
          <w:p>
            <w:pPr>
              <w:spacing w:after="0"/>
              <w:rPr>
                <w:sz w:val="1"/>
                <w:szCs w:val="1"/>
                <w:color w:val="auto"/>
              </w:rPr>
            </w:pPr>
          </w:p>
        </w:tc>
      </w:tr>
      <w:tr>
        <w:trPr>
          <w:trHeight w:val="418"/>
        </w:trPr>
        <w:tc>
          <w:tcPr>
            <w:tcW w:w="3560" w:type="dxa"/>
            <w:vAlign w:val="bottom"/>
            <w:gridSpan w:val="5"/>
          </w:tcPr>
          <w:p>
            <w:pPr>
              <w:spacing w:after="0"/>
              <w:rPr>
                <w:sz w:val="20"/>
                <w:szCs w:val="20"/>
                <w:color w:val="auto"/>
              </w:rPr>
            </w:pPr>
            <w:r>
              <w:rPr>
                <w:rFonts w:ascii="Arial" w:cs="Arial" w:eastAsia="Arial" w:hAnsi="Arial"/>
                <w:sz w:val="18"/>
                <w:szCs w:val="18"/>
                <w:color w:val="auto"/>
              </w:rPr>
              <w:t>Senior Secured Loan — Term Loan (First</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Lien)</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5.5%</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9/22</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1,995,005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2,010,000</w:t>
            </w:r>
          </w:p>
        </w:tc>
        <w:tc>
          <w:tcPr>
            <w:tcW w:w="0" w:type="dxa"/>
            <w:vAlign w:val="bottom"/>
          </w:tcPr>
          <w:p>
            <w:pPr>
              <w:spacing w:after="0"/>
              <w:rPr>
                <w:sz w:val="1"/>
                <w:szCs w:val="1"/>
                <w:color w:val="auto"/>
              </w:rPr>
            </w:pPr>
          </w:p>
        </w:tc>
      </w:tr>
      <w:tr>
        <w:trPr>
          <w:trHeight w:val="458"/>
        </w:trPr>
        <w:tc>
          <w:tcPr>
            <w:tcW w:w="3560" w:type="dxa"/>
            <w:vAlign w:val="bottom"/>
            <w:gridSpan w:val="5"/>
          </w:tcPr>
          <w:p>
            <w:pPr>
              <w:spacing w:after="0"/>
              <w:rPr>
                <w:sz w:val="20"/>
                <w:szCs w:val="20"/>
                <w:color w:val="auto"/>
              </w:rPr>
            </w:pPr>
            <w:r>
              <w:rPr>
                <w:rFonts w:ascii="Arial" w:cs="Arial" w:eastAsia="Arial" w:hAnsi="Arial"/>
                <w:sz w:val="18"/>
                <w:szCs w:val="18"/>
                <w:color w:val="auto"/>
              </w:rPr>
              <w:t>Senior Secured Loan — Initial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6.5%</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12/22</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1,345,890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1,334,348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1,345,621</w:t>
            </w:r>
          </w:p>
        </w:tc>
        <w:tc>
          <w:tcPr>
            <w:tcW w:w="0" w:type="dxa"/>
            <w:vAlign w:val="bottom"/>
          </w:tcPr>
          <w:p>
            <w:pPr>
              <w:spacing w:after="0"/>
              <w:rPr>
                <w:sz w:val="1"/>
                <w:szCs w:val="1"/>
                <w:color w:val="auto"/>
              </w:rPr>
            </w:pPr>
          </w:p>
        </w:tc>
      </w:tr>
      <w:tr>
        <w:trPr>
          <w:trHeight w:val="458"/>
        </w:trPr>
        <w:tc>
          <w:tcPr>
            <w:tcW w:w="3560" w:type="dxa"/>
            <w:vAlign w:val="bottom"/>
            <w:gridSpan w:val="5"/>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6.5%</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12/19</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3,869,392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3,818,035</w:t>
            </w:r>
          </w:p>
        </w:tc>
        <w:tc>
          <w:tcPr>
            <w:tcW w:w="0" w:type="dxa"/>
            <w:vAlign w:val="bottom"/>
          </w:tcPr>
          <w:p>
            <w:pPr>
              <w:spacing w:after="0"/>
              <w:rPr>
                <w:sz w:val="1"/>
                <w:szCs w:val="1"/>
                <w:color w:val="auto"/>
              </w:rPr>
            </w:pPr>
          </w:p>
        </w:tc>
      </w:tr>
      <w:tr>
        <w:trPr>
          <w:trHeight w:val="458"/>
        </w:trPr>
        <w:tc>
          <w:tcPr>
            <w:tcW w:w="3560" w:type="dxa"/>
            <w:vAlign w:val="bottom"/>
            <w:gridSpan w:val="5"/>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2/23</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1,971,696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1,990,000</w:t>
            </w:r>
          </w:p>
        </w:tc>
        <w:tc>
          <w:tcPr>
            <w:tcW w:w="0" w:type="dxa"/>
            <w:vAlign w:val="bottom"/>
          </w:tcPr>
          <w:p>
            <w:pPr>
              <w:spacing w:after="0"/>
              <w:rPr>
                <w:sz w:val="1"/>
                <w:szCs w:val="1"/>
                <w:color w:val="auto"/>
              </w:rPr>
            </w:pPr>
          </w:p>
        </w:tc>
      </w:tr>
      <w:tr>
        <w:trPr>
          <w:trHeight w:val="458"/>
        </w:trPr>
        <w:tc>
          <w:tcPr>
            <w:tcW w:w="3560" w:type="dxa"/>
            <w:vAlign w:val="bottom"/>
            <w:gridSpan w:val="5"/>
          </w:tcPr>
          <w:p>
            <w:pPr>
              <w:spacing w:after="0"/>
              <w:rPr>
                <w:sz w:val="20"/>
                <w:szCs w:val="20"/>
                <w:color w:val="auto"/>
              </w:rPr>
            </w:pPr>
            <w:r>
              <w:rPr>
                <w:rFonts w:ascii="Arial" w:cs="Arial" w:eastAsia="Arial" w:hAnsi="Arial"/>
                <w:sz w:val="18"/>
                <w:szCs w:val="18"/>
                <w:color w:val="auto"/>
              </w:rPr>
              <w:t>Senior Secured Loan — Term B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4.0%</w:t>
            </w:r>
          </w:p>
        </w:tc>
        <w:tc>
          <w:tcPr>
            <w:tcW w:w="460" w:type="dxa"/>
            <w:vAlign w:val="bottom"/>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Libor Floor, Due 7/20</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2,611,993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2,614,249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2,611,993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-3146425</wp:posOffset>
            </wp:positionV>
            <wp:extent cx="72466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-2597785</wp:posOffset>
            </wp:positionV>
            <wp:extent cx="7246620"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-2160270</wp:posOffset>
            </wp:positionV>
            <wp:extent cx="72466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-1611630</wp:posOffset>
            </wp:positionV>
            <wp:extent cx="724662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-1174115</wp:posOffset>
            </wp:positionV>
            <wp:extent cx="7246620"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-736600</wp:posOffset>
            </wp:positionV>
            <wp:extent cx="7246620" cy="300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-3703955</wp:posOffset>
            </wp:positionV>
            <wp:extent cx="7246620" cy="420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240" w:space="320"/>
            <w:col w:w="7860"/>
          </w:cols>
          <w:pgMar w:left="240" w:top="931" w:right="239" w:bottom="1440" w:gutter="0" w:footer="0" w:header="0"/>
        </w:sect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2940" w:type="dxa"/>
            <w:vAlign w:val="bottom"/>
            <w:shd w:val="clear" w:color="auto" w:fill="CCEEFF"/>
          </w:tcPr>
          <w:p>
            <w:pPr>
              <w:jc w:val="center"/>
              <w:ind w:right="516"/>
              <w:spacing w:after="0"/>
              <w:rPr>
                <w:sz w:val="20"/>
                <w:szCs w:val="20"/>
                <w:color w:val="auto"/>
              </w:rPr>
            </w:pPr>
            <w:r>
              <w:rPr>
                <w:rFonts w:ascii="Arial" w:cs="Arial" w:eastAsia="Arial" w:hAnsi="Arial"/>
                <w:sz w:val="18"/>
                <w:szCs w:val="18"/>
                <w:color w:val="auto"/>
                <w:w w:val="89"/>
              </w:rPr>
              <w:t xml:space="preserve">Nellson Nutraceutical, LLC </w:t>
            </w:r>
            <w:r>
              <w:rPr>
                <w:rFonts w:ascii="Arial" w:cs="Arial" w:eastAsia="Arial" w:hAnsi="Arial"/>
                <w:sz w:val="30"/>
                <w:szCs w:val="30"/>
                <w:color w:val="auto"/>
                <w:w w:val="89"/>
                <w:vertAlign w:val="superscript"/>
              </w:rPr>
              <w:t>9, 10</w:t>
            </w:r>
          </w:p>
        </w:tc>
        <w:tc>
          <w:tcPr>
            <w:tcW w:w="43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Senior Secured Loan — Term A-1 Loan (First</w:t>
            </w:r>
          </w:p>
        </w:tc>
        <w:tc>
          <w:tcPr>
            <w:tcW w:w="14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jc w:val="center"/>
              <w:ind w:right="516"/>
              <w:spacing w:after="0"/>
              <w:rPr>
                <w:sz w:val="20"/>
                <w:szCs w:val="20"/>
                <w:color w:val="auto"/>
              </w:rPr>
            </w:pPr>
            <w:r>
              <w:rPr>
                <w:rFonts w:ascii="Arial" w:cs="Arial" w:eastAsia="Arial" w:hAnsi="Arial"/>
                <w:sz w:val="18"/>
                <w:szCs w:val="18"/>
                <w:color w:val="auto"/>
                <w:w w:val="88"/>
              </w:rPr>
              <w:t>Beverage, Food and Tobacco</w:t>
            </w:r>
          </w:p>
        </w:tc>
        <w:tc>
          <w:tcPr>
            <w:tcW w:w="10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4"/>
              </w:rPr>
              <w:t>Lien)</w:t>
            </w:r>
          </w:p>
        </w:tc>
        <w:tc>
          <w:tcPr>
            <w:tcW w:w="8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8"/>
              </w:rPr>
              <w:t>Cash, 1.0%</w:t>
            </w:r>
          </w:p>
        </w:tc>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12/21</w:t>
            </w:r>
          </w:p>
        </w:tc>
        <w:tc>
          <w:tcPr>
            <w:tcW w:w="1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2,356,663</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2,340,980</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2,356,898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0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6.0%</w:t>
            </w:r>
          </w:p>
        </w:tc>
        <w:tc>
          <w:tcPr>
            <w:tcW w:w="860" w:type="dxa"/>
            <w:vAlign w:val="bottom"/>
            <w:vMerge w:val="continue"/>
            <w:shd w:val="clear" w:color="auto" w:fill="CCEEFF"/>
          </w:tcPr>
          <w:p>
            <w:pPr>
              <w:spacing w:after="0"/>
              <w:rPr>
                <w:sz w:val="19"/>
                <w:szCs w:val="19"/>
                <w:color w:val="auto"/>
              </w:rPr>
            </w:pPr>
          </w:p>
        </w:tc>
        <w:tc>
          <w:tcPr>
            <w:tcW w:w="24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432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40" w:type="dxa"/>
            <w:vAlign w:val="bottom"/>
            <w:shd w:val="clear" w:color="auto" w:fill="CCEEFF"/>
          </w:tcPr>
          <w:p>
            <w:pPr>
              <w:jc w:val="center"/>
              <w:ind w:right="516"/>
              <w:spacing w:after="0" w:line="202" w:lineRule="exact"/>
              <w:rPr>
                <w:sz w:val="20"/>
                <w:szCs w:val="20"/>
                <w:color w:val="auto"/>
              </w:rPr>
            </w:pPr>
            <w:r>
              <w:rPr>
                <w:rFonts w:ascii="Arial" w:cs="Arial" w:eastAsia="Arial" w:hAnsi="Arial"/>
                <w:sz w:val="15"/>
                <w:szCs w:val="15"/>
                <w:color w:val="auto"/>
              </w:rPr>
              <w:t xml:space="preserve">Nellson Nutraceutical, LLC </w:t>
            </w:r>
            <w:r>
              <w:rPr>
                <w:rFonts w:ascii="Arial" w:cs="Arial" w:eastAsia="Arial" w:hAnsi="Arial"/>
                <w:sz w:val="23"/>
                <w:szCs w:val="23"/>
                <w:color w:val="auto"/>
                <w:vertAlign w:val="superscript"/>
              </w:rPr>
              <w:t>9, 10</w:t>
            </w:r>
          </w:p>
        </w:tc>
        <w:tc>
          <w:tcPr>
            <w:tcW w:w="4320" w:type="dxa"/>
            <w:vAlign w:val="bottom"/>
            <w:gridSpan w:val="3"/>
            <w:shd w:val="clear" w:color="auto" w:fill="CCEEFF"/>
          </w:tcPr>
          <w:p>
            <w:pPr>
              <w:ind w:left="600"/>
              <w:spacing w:after="0" w:line="202" w:lineRule="exact"/>
              <w:rPr>
                <w:sz w:val="20"/>
                <w:szCs w:val="20"/>
                <w:color w:val="auto"/>
              </w:rPr>
            </w:pPr>
            <w:r>
              <w:rPr>
                <w:rFonts w:ascii="Arial" w:cs="Arial" w:eastAsia="Arial" w:hAnsi="Arial"/>
                <w:sz w:val="18"/>
                <w:szCs w:val="18"/>
                <w:color w:val="auto"/>
              </w:rPr>
              <w:t>Senior Secured Loan — Term A-2 Loan (First</w:t>
            </w:r>
          </w:p>
        </w:tc>
        <w:tc>
          <w:tcPr>
            <w:tcW w:w="1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jc w:val="center"/>
              <w:ind w:right="516"/>
              <w:spacing w:after="0"/>
              <w:rPr>
                <w:sz w:val="20"/>
                <w:szCs w:val="20"/>
                <w:color w:val="auto"/>
              </w:rPr>
            </w:pPr>
            <w:r>
              <w:rPr>
                <w:rFonts w:ascii="Arial" w:cs="Arial" w:eastAsia="Arial" w:hAnsi="Arial"/>
                <w:sz w:val="18"/>
                <w:szCs w:val="18"/>
                <w:color w:val="auto"/>
                <w:w w:val="88"/>
              </w:rPr>
              <w:t>Beverage, Food and Tobacco</w:t>
            </w:r>
          </w:p>
        </w:tc>
        <w:tc>
          <w:tcPr>
            <w:tcW w:w="10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4"/>
              </w:rPr>
              <w:t>Lien)</w:t>
            </w:r>
          </w:p>
        </w:tc>
        <w:tc>
          <w:tcPr>
            <w:tcW w:w="8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8"/>
              </w:rPr>
              <w:t>Cash, 1.0%</w:t>
            </w:r>
          </w:p>
        </w:tc>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12/21</w:t>
            </w:r>
          </w:p>
        </w:tc>
        <w:tc>
          <w:tcPr>
            <w:tcW w:w="1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2,071,831</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2,057,440</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2,072,038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0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6.0%</w:t>
            </w:r>
          </w:p>
        </w:tc>
        <w:tc>
          <w:tcPr>
            <w:tcW w:w="860" w:type="dxa"/>
            <w:vAlign w:val="bottom"/>
            <w:vMerge w:val="continue"/>
            <w:shd w:val="clear" w:color="auto" w:fill="CCEEFF"/>
          </w:tcPr>
          <w:p>
            <w:pPr>
              <w:spacing w:after="0"/>
              <w:rPr>
                <w:sz w:val="19"/>
                <w:szCs w:val="19"/>
                <w:color w:val="auto"/>
              </w:rPr>
            </w:pPr>
          </w:p>
        </w:tc>
        <w:tc>
          <w:tcPr>
            <w:tcW w:w="24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432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40" w:type="dxa"/>
            <w:vAlign w:val="bottom"/>
            <w:shd w:val="clear" w:color="auto" w:fill="CCEEFF"/>
          </w:tcPr>
          <w:p>
            <w:pPr>
              <w:jc w:val="center"/>
              <w:ind w:right="516"/>
              <w:spacing w:after="0" w:line="202" w:lineRule="exact"/>
              <w:rPr>
                <w:sz w:val="20"/>
                <w:szCs w:val="20"/>
                <w:color w:val="auto"/>
              </w:rPr>
            </w:pPr>
            <w:r>
              <w:rPr>
                <w:rFonts w:ascii="Arial" w:cs="Arial" w:eastAsia="Arial" w:hAnsi="Arial"/>
                <w:sz w:val="15"/>
                <w:szCs w:val="15"/>
                <w:color w:val="auto"/>
              </w:rPr>
              <w:t xml:space="preserve">Nielsen &amp; Bainbridge, LLC </w:t>
            </w:r>
            <w:r>
              <w:rPr>
                <w:rFonts w:ascii="Arial" w:cs="Arial" w:eastAsia="Arial" w:hAnsi="Arial"/>
                <w:sz w:val="23"/>
                <w:szCs w:val="23"/>
                <w:color w:val="auto"/>
                <w:vertAlign w:val="superscript"/>
              </w:rPr>
              <w:t>9, 10</w:t>
            </w:r>
          </w:p>
        </w:tc>
        <w:tc>
          <w:tcPr>
            <w:tcW w:w="4320" w:type="dxa"/>
            <w:vAlign w:val="bottom"/>
            <w:gridSpan w:val="3"/>
            <w:shd w:val="clear" w:color="auto" w:fill="CCEEFF"/>
          </w:tcPr>
          <w:p>
            <w:pPr>
              <w:ind w:left="600"/>
              <w:spacing w:after="0" w:line="202" w:lineRule="exact"/>
              <w:rPr>
                <w:sz w:val="20"/>
                <w:szCs w:val="20"/>
                <w:color w:val="auto"/>
              </w:rPr>
            </w:pPr>
            <w:r>
              <w:rPr>
                <w:rFonts w:ascii="Arial" w:cs="Arial" w:eastAsia="Arial" w:hAnsi="Arial"/>
                <w:sz w:val="18"/>
                <w:szCs w:val="18"/>
                <w:color w:val="auto"/>
              </w:rPr>
              <w:t>Senior Secured Loan — Term Loan (First</w:t>
            </w:r>
          </w:p>
        </w:tc>
        <w:tc>
          <w:tcPr>
            <w:tcW w:w="1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goods: Durable</w:t>
            </w:r>
          </w:p>
        </w:tc>
        <w:tc>
          <w:tcPr>
            <w:tcW w:w="10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4"/>
              </w:rPr>
              <w:t>Lien)</w:t>
            </w:r>
          </w:p>
        </w:tc>
        <w:tc>
          <w:tcPr>
            <w:tcW w:w="8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8"/>
              </w:rPr>
              <w:t>Cash, 1.0%</w:t>
            </w:r>
          </w:p>
        </w:tc>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8/20</w:t>
            </w:r>
          </w:p>
        </w:tc>
        <w:tc>
          <w:tcPr>
            <w:tcW w:w="1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5,361,360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5,323,685</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5,138,864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0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6.2%</w:t>
            </w:r>
          </w:p>
        </w:tc>
        <w:tc>
          <w:tcPr>
            <w:tcW w:w="860" w:type="dxa"/>
            <w:vAlign w:val="bottom"/>
            <w:vMerge w:val="continue"/>
            <w:shd w:val="clear" w:color="auto" w:fill="CCEEFF"/>
          </w:tcPr>
          <w:p>
            <w:pPr>
              <w:spacing w:after="0"/>
              <w:rPr>
                <w:sz w:val="19"/>
                <w:szCs w:val="19"/>
                <w:color w:val="auto"/>
              </w:rPr>
            </w:pPr>
          </w:p>
        </w:tc>
        <w:tc>
          <w:tcPr>
            <w:tcW w:w="24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rPr>
              <w:t>10</w:t>
            </w:r>
          </w:p>
        </w:tc>
        <w:tc>
          <w:tcPr>
            <w:tcW w:w="1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9"/>
              </w:rPr>
              <w:t>Principal</w:t>
            </w:r>
          </w:p>
        </w:tc>
        <w:tc>
          <w:tcPr>
            <w:tcW w:w="120" w:type="dxa"/>
            <w:vAlign w:val="bottom"/>
          </w:tcPr>
          <w:p>
            <w:pPr>
              <w:spacing w:after="0"/>
              <w:rPr>
                <w:sz w:val="18"/>
                <w:szCs w:val="18"/>
                <w:color w:val="auto"/>
              </w:rPr>
            </w:pPr>
          </w:p>
        </w:tc>
        <w:tc>
          <w:tcPr>
            <w:tcW w:w="13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 xml:space="preserve">NM Z Parent Inc. (aka Zep, Inc.) </w:t>
            </w:r>
            <w:r>
              <w:rPr>
                <w:rFonts w:ascii="Arial" w:cs="Arial" w:eastAsia="Arial" w:hAnsi="Arial"/>
                <w:sz w:val="27"/>
                <w:szCs w:val="27"/>
                <w:color w:val="auto"/>
                <w:vertAlign w:val="superscript"/>
              </w:rPr>
              <w:t>9, 10</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Chemicals, Plastics and Rubber</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3,456,250</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3,466,419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3,457,287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Novitex Acquisition, LLC (fka ARSloane</w:t>
            </w:r>
          </w:p>
        </w:tc>
        <w:tc>
          <w:tcPr>
            <w:tcW w:w="3560" w:type="dxa"/>
            <w:vAlign w:val="bottom"/>
            <w:gridSpan w:val="5"/>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Tranche B-2 Term</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Acquisition, LLC) </w:t>
            </w:r>
            <w:r>
              <w:rPr>
                <w:rFonts w:ascii="Arial" w:cs="Arial" w:eastAsia="Arial" w:hAnsi="Arial"/>
                <w:sz w:val="29"/>
                <w:szCs w:val="29"/>
                <w:color w:val="auto"/>
                <w:vertAlign w:val="superscript"/>
              </w:rPr>
              <w:t>9, 10</w:t>
            </w: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Loan (First Lien)</w:t>
            </w:r>
          </w:p>
        </w:tc>
        <w:tc>
          <w:tcPr>
            <w:tcW w:w="2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8.0%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7/20</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954,041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948,056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Onex Carestream Finance LP </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Lien)</w:t>
            </w:r>
          </w:p>
        </w:tc>
        <w:tc>
          <w:tcPr>
            <w:tcW w:w="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12/19</w:t>
            </w:r>
          </w:p>
        </w:tc>
        <w:tc>
          <w:tcPr>
            <w:tcW w:w="14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1,932,311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1,932,311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1,803,039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9.5%</w:t>
            </w:r>
          </w:p>
        </w:tc>
        <w:tc>
          <w:tcPr>
            <w:tcW w:w="44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Onex Carestream Finance LP </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5"/>
              </w:rPr>
              <w:t>Senior Secured Loan — Term Loan (First Lien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6"/>
              </w:rPr>
              <w:t>2013)</w:t>
            </w:r>
          </w:p>
        </w:tc>
        <w:tc>
          <w:tcPr>
            <w:tcW w:w="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6/19</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1,776,652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1,780,296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1,686,043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5.0%</w:t>
            </w:r>
          </w:p>
        </w:tc>
        <w:tc>
          <w:tcPr>
            <w:tcW w:w="44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7"/>
              </w:rPr>
              <w:t>Otter Products, LLC (OtterBox Holdings, Inc.)</w:t>
            </w:r>
          </w:p>
        </w:tc>
        <w:tc>
          <w:tcPr>
            <w:tcW w:w="356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Senior Secured Loan — Term B Loan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9, 10</w:t>
            </w:r>
          </w:p>
        </w:tc>
        <w:tc>
          <w:tcPr>
            <w:tcW w:w="120" w:type="dxa"/>
            <w:vAlign w:val="bottom"/>
            <w:shd w:val="clear" w:color="auto" w:fill="CCEEFF"/>
          </w:tcPr>
          <w:p>
            <w:pPr>
              <w:spacing w:after="0"/>
              <w:rPr>
                <w:sz w:val="17"/>
                <w:szCs w:val="17"/>
                <w:color w:val="auto"/>
              </w:rPr>
            </w:pPr>
          </w:p>
        </w:tc>
        <w:tc>
          <w:tcPr>
            <w:tcW w:w="3560" w:type="dxa"/>
            <w:vAlign w:val="bottom"/>
            <w:gridSpan w:val="5"/>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 goods: Durable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6/20</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2,600,266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2,586,129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2,479,094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PGX Holdings, Inc. </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Consumer</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9/20</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3,645,714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3,621,359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3,646,079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Playpower, Inc. </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Construction &amp; Building</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6/21</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1,974,982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1,963,286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1,974,587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9"/>
              </w:rPr>
              <w:t>PrimeLine Utility Services LLC (fka FR Utility</w:t>
            </w: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Services LLC) </w:t>
            </w:r>
            <w:r>
              <w:rPr>
                <w:rFonts w:ascii="Arial" w:cs="Arial" w:eastAsia="Arial" w:hAnsi="Arial"/>
                <w:sz w:val="29"/>
                <w:szCs w:val="29"/>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Energy: Electricity</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6.5%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11/22</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3,945,686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3,913,044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3,946,869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PSC Industrial Holdings Corp. </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 (First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Environmental Industries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Lien)</w:t>
            </w:r>
          </w:p>
        </w:tc>
        <w:tc>
          <w:tcPr>
            <w:tcW w:w="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12/20</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2,981,888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2,959,759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2,904,955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5.8%</w:t>
            </w:r>
          </w:p>
        </w:tc>
        <w:tc>
          <w:tcPr>
            <w:tcW w:w="44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Quad-C JH Holdings Inc. (aka Joerns</w:t>
            </w: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Healthcare) </w:t>
            </w:r>
            <w:r>
              <w:rPr>
                <w:rFonts w:ascii="Arial" w:cs="Arial" w:eastAsia="Arial" w:hAnsi="Arial"/>
                <w:sz w:val="29"/>
                <w:szCs w:val="29"/>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 A</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6.0%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5/20</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3,910,066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3,892,265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3,817,789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Ravn Air Group, Inc. </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Transportation: Consumer</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5.3%</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7/21</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2,427,666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2,434,575</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13" w:name="page14"/>
    <w:bookmarkEnd w:id="13"/>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Company / Principal Business</w:t>
      </w:r>
    </w:p>
    <w:p>
      <w:pPr>
        <w:spacing w:after="0" w:line="216" w:lineRule="auto"/>
        <w:rPr>
          <w:sz w:val="20"/>
          <w:szCs w:val="20"/>
          <w:color w:val="auto"/>
        </w:rPr>
      </w:pPr>
      <w:r>
        <w:rPr>
          <w:rFonts w:ascii="Arial" w:cs="Arial" w:eastAsia="Arial" w:hAnsi="Arial"/>
          <w:sz w:val="18"/>
          <w:szCs w:val="18"/>
          <w:color w:val="auto"/>
        </w:rPr>
        <w:t xml:space="preserve">Roscoe Medical, Inc. </w:t>
      </w:r>
      <w:r>
        <w:rPr>
          <w:rFonts w:ascii="Arial" w:cs="Arial" w:eastAsia="Arial" w:hAnsi="Arial"/>
          <w:sz w:val="30"/>
          <w:szCs w:val="30"/>
          <w:color w:val="auto"/>
          <w:vertAlign w:val="superscript"/>
        </w:rPr>
        <w:t>9</w:t>
      </w:r>
    </w:p>
    <w:p>
      <w:pPr>
        <w:ind w:left="140"/>
        <w:spacing w:after="0"/>
        <w:rPr>
          <w:sz w:val="20"/>
          <w:szCs w:val="20"/>
          <w:color w:val="auto"/>
        </w:rPr>
      </w:pPr>
      <w:r>
        <w:rPr>
          <w:rFonts w:ascii="Arial" w:cs="Arial" w:eastAsia="Arial" w:hAnsi="Arial"/>
          <w:sz w:val="18"/>
          <w:szCs w:val="18"/>
          <w:color w:val="auto"/>
        </w:rPr>
        <w:t>Healthcare &amp; Pharmaceuticals</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Rovi Solutions Corporation / Rovi Guides,</w:t>
      </w:r>
    </w:p>
    <w:p>
      <w:pPr>
        <w:ind w:left="140"/>
        <w:spacing w:after="0" w:line="203" w:lineRule="auto"/>
        <w:rPr>
          <w:sz w:val="20"/>
          <w:szCs w:val="20"/>
          <w:color w:val="auto"/>
        </w:rPr>
      </w:pPr>
      <w:r>
        <w:rPr>
          <w:rFonts w:ascii="Arial" w:cs="Arial" w:eastAsia="Arial" w:hAnsi="Arial"/>
          <w:sz w:val="18"/>
          <w:szCs w:val="18"/>
          <w:color w:val="auto"/>
        </w:rPr>
        <w:t xml:space="preserve">Inc. </w:t>
      </w:r>
      <w:r>
        <w:rPr>
          <w:rFonts w:ascii="Arial" w:cs="Arial" w:eastAsia="Arial" w:hAnsi="Arial"/>
          <w:sz w:val="30"/>
          <w:szCs w:val="30"/>
          <w:color w:val="auto"/>
          <w:vertAlign w:val="superscript"/>
        </w:rPr>
        <w:t>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High Tech Industries</w:t>
      </w:r>
    </w:p>
    <w:p>
      <w:pPr>
        <w:spacing w:after="0" w:line="213" w:lineRule="exact"/>
        <w:rPr>
          <w:sz w:val="20"/>
          <w:szCs w:val="20"/>
          <w:color w:val="auto"/>
        </w:rPr>
      </w:pPr>
    </w:p>
    <w:p>
      <w:pPr>
        <w:ind w:left="140" w:right="240" w:hanging="129"/>
        <w:spacing w:after="0" w:line="210" w:lineRule="auto"/>
        <w:rPr>
          <w:sz w:val="20"/>
          <w:szCs w:val="20"/>
          <w:color w:val="auto"/>
        </w:rPr>
      </w:pPr>
      <w:r>
        <w:rPr>
          <w:rFonts w:ascii="Arial" w:cs="Arial" w:eastAsia="Arial" w:hAnsi="Arial"/>
          <w:sz w:val="18"/>
          <w:szCs w:val="18"/>
          <w:color w:val="auto"/>
        </w:rPr>
        <w:t xml:space="preserve">Sandy Creek Energy Associates, L.P. </w:t>
      </w:r>
      <w:r>
        <w:rPr>
          <w:rFonts w:ascii="Arial" w:cs="Arial" w:eastAsia="Arial" w:hAnsi="Arial"/>
          <w:sz w:val="30"/>
          <w:szCs w:val="30"/>
          <w:color w:val="auto"/>
          <w:vertAlign w:val="superscript"/>
        </w:rPr>
        <w:t>9, 10</w:t>
      </w:r>
      <w:r>
        <w:rPr>
          <w:rFonts w:ascii="Arial" w:cs="Arial" w:eastAsia="Arial" w:hAnsi="Arial"/>
          <w:sz w:val="18"/>
          <w:szCs w:val="18"/>
          <w:color w:val="auto"/>
        </w:rPr>
        <w:t xml:space="preserve"> Utilities: Electric</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Stafford Logistics, Inc.(dba Custom Ecology,</w:t>
      </w:r>
    </w:p>
    <w:p>
      <w:pPr>
        <w:ind w:left="140"/>
        <w:spacing w:after="0" w:line="211" w:lineRule="auto"/>
        <w:rPr>
          <w:sz w:val="20"/>
          <w:szCs w:val="20"/>
          <w:color w:val="auto"/>
        </w:rPr>
      </w:pPr>
      <w:r>
        <w:rPr>
          <w:rFonts w:ascii="Arial" w:cs="Arial" w:eastAsia="Arial" w:hAnsi="Arial"/>
          <w:sz w:val="18"/>
          <w:szCs w:val="18"/>
          <w:color w:val="auto"/>
        </w:rPr>
        <w:t xml:space="preserve">Inc.) </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Environmental Industries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Tank Partners Holdings, LLC </w:t>
      </w:r>
      <w:r>
        <w:rPr>
          <w:rFonts w:ascii="Arial" w:cs="Arial" w:eastAsia="Arial" w:hAnsi="Arial"/>
          <w:sz w:val="30"/>
          <w:szCs w:val="30"/>
          <w:color w:val="auto"/>
          <w:vertAlign w:val="superscript"/>
        </w:rPr>
        <w:t>9</w:t>
      </w:r>
    </w:p>
    <w:p>
      <w:pPr>
        <w:ind w:left="140"/>
        <w:spacing w:after="0"/>
        <w:rPr>
          <w:sz w:val="20"/>
          <w:szCs w:val="20"/>
          <w:color w:val="auto"/>
        </w:rPr>
      </w:pPr>
      <w:r>
        <w:rPr>
          <w:rFonts w:ascii="Arial" w:cs="Arial" w:eastAsia="Arial" w:hAnsi="Arial"/>
          <w:sz w:val="18"/>
          <w:szCs w:val="18"/>
          <w:color w:val="auto"/>
        </w:rPr>
        <w:t>Energy: Oil &amp; Gas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Trimaran Advisors, L.L.C. </w:t>
      </w:r>
      <w:r>
        <w:rPr>
          <w:rFonts w:ascii="Arial" w:cs="Arial" w:eastAsia="Arial" w:hAnsi="Arial"/>
          <w:sz w:val="30"/>
          <w:szCs w:val="30"/>
          <w:color w:val="auto"/>
          <w:vertAlign w:val="superscript"/>
        </w:rPr>
        <w:t>9</w:t>
      </w:r>
    </w:p>
    <w:p>
      <w:pPr>
        <w:ind w:left="140"/>
        <w:spacing w:after="0"/>
        <w:rPr>
          <w:sz w:val="20"/>
          <w:szCs w:val="20"/>
          <w:color w:val="auto"/>
        </w:rPr>
      </w:pPr>
      <w:r>
        <w:rPr>
          <w:rFonts w:ascii="Arial" w:cs="Arial" w:eastAsia="Arial" w:hAnsi="Arial"/>
          <w:sz w:val="18"/>
          <w:szCs w:val="18"/>
          <w:color w:val="auto"/>
        </w:rPr>
        <w:t>Related Party Loan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TronAir Parent Inc. </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Aerospace and Defense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TRSO I, Inc. </w:t>
      </w:r>
      <w:r>
        <w:rPr>
          <w:rFonts w:ascii="Arial" w:cs="Arial" w:eastAsia="Arial" w:hAnsi="Arial"/>
          <w:sz w:val="30"/>
          <w:szCs w:val="30"/>
          <w:color w:val="auto"/>
          <w:vertAlign w:val="superscript"/>
        </w:rPr>
        <w:t>9</w:t>
      </w:r>
    </w:p>
    <w:p>
      <w:pPr>
        <w:ind w:left="140"/>
        <w:spacing w:after="0"/>
        <w:rPr>
          <w:sz w:val="20"/>
          <w:szCs w:val="20"/>
          <w:color w:val="auto"/>
        </w:rPr>
      </w:pPr>
      <w:r>
        <w:rPr>
          <w:rFonts w:ascii="Arial" w:cs="Arial" w:eastAsia="Arial" w:hAnsi="Arial"/>
          <w:sz w:val="18"/>
          <w:szCs w:val="18"/>
          <w:color w:val="auto"/>
        </w:rPr>
        <w:t>Energy: Oil &amp; Gas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0" w:type="dxa"/>
            <w:vAlign w:val="bottom"/>
          </w:tcPr>
          <w:p>
            <w:pPr>
              <w:spacing w:after="0"/>
              <w:rPr>
                <w:sz w:val="18"/>
                <w:szCs w:val="18"/>
                <w:color w:val="auto"/>
              </w:rPr>
            </w:pP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9"/>
              </w:rPr>
              <w:t>Principal</w:t>
            </w:r>
          </w:p>
        </w:tc>
        <w:tc>
          <w:tcPr>
            <w:tcW w:w="120" w:type="dxa"/>
            <w:vAlign w:val="bottom"/>
          </w:tcPr>
          <w:p>
            <w:pPr>
              <w:spacing w:after="0"/>
              <w:rPr>
                <w:sz w:val="18"/>
                <w:szCs w:val="18"/>
                <w:color w:val="auto"/>
              </w:rPr>
            </w:pPr>
          </w:p>
        </w:tc>
        <w:tc>
          <w:tcPr>
            <w:tcW w:w="13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Junior Secured Loan — Term Loan (Second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11.3% Cash, Due 9/19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6,700,000</w:t>
            </w:r>
          </w:p>
        </w:tc>
        <w:tc>
          <w:tcPr>
            <w:tcW w:w="12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6,663,667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6,499,000</w:t>
            </w:r>
          </w:p>
        </w:tc>
        <w:tc>
          <w:tcPr>
            <w:tcW w:w="0" w:type="dxa"/>
            <w:vAlign w:val="bottom"/>
          </w:tcPr>
          <w:p>
            <w:pPr>
              <w:spacing w:after="0"/>
              <w:rPr>
                <w:sz w:val="1"/>
                <w:szCs w:val="1"/>
                <w:color w:val="auto"/>
              </w:rPr>
            </w:pP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3.8% Cash, 0.8% Libor Floor, Due 7/21</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2,939,850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2,912,602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2,948,302</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 Due 11/20</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2,636,114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2,628,351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2,139,470</w:t>
            </w:r>
          </w:p>
        </w:tc>
        <w:tc>
          <w:tcPr>
            <w:tcW w:w="0" w:type="dxa"/>
            <w:vAlign w:val="bottom"/>
          </w:tcPr>
          <w:p>
            <w:pPr>
              <w:spacing w:after="0"/>
              <w:rPr>
                <w:sz w:val="1"/>
                <w:szCs w:val="1"/>
                <w:color w:val="auto"/>
              </w:rPr>
            </w:pP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 Due 8/21</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2,709,639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2,693,363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2,605,589</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10.0% Cash, 4.0% PIK, 3.0% Libor Floor, Due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10,721,766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10,619,024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6,988,447</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Unsecured Loan — Revolving Credit</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9.0% Cash, Due 11/17</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23,000,000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 Due 9/23</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3,960,000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3,960,000</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11.0% Cash, 1.0% Libor Floor, Due 12/17</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995,107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-3644265</wp:posOffset>
            </wp:positionV>
            <wp:extent cx="7246620" cy="43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-3069590</wp:posOffset>
            </wp:positionV>
            <wp:extent cx="7246620"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-2632075</wp:posOffset>
            </wp:positionV>
            <wp:extent cx="7246620" cy="43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-2057400</wp:posOffset>
            </wp:positionV>
            <wp:extent cx="7246620"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-1508760</wp:posOffset>
            </wp:positionV>
            <wp:extent cx="7246620"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-960120</wp:posOffset>
            </wp:positionV>
            <wp:extent cx="724662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-410845</wp:posOffset>
            </wp:positionV>
            <wp:extent cx="7246620"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-4201795</wp:posOffset>
            </wp:positionV>
            <wp:extent cx="7246620" cy="42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300"/>
            <w:col w:w="7860"/>
          </w:cols>
          <w:pgMar w:left="240" w:top="931" w:right="239" w:bottom="144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U.S. Shipping Corp (fka U.S. Shipping</w:t>
            </w: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Secured Loan — Tranche B-2 Term</w:t>
            </w:r>
          </w:p>
        </w:tc>
        <w:tc>
          <w:tcPr>
            <w:tcW w:w="16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8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Partners LP) </w:t>
            </w:r>
            <w:r>
              <w:rPr>
                <w:rFonts w:ascii="Arial" w:cs="Arial" w:eastAsia="Arial" w:hAnsi="Arial"/>
                <w:sz w:val="29"/>
                <w:szCs w:val="29"/>
                <w:color w:val="auto"/>
                <w:vertAlign w:val="superscript"/>
              </w:rPr>
              <w:t>9, 10</w:t>
            </w: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w:t>
            </w:r>
          </w:p>
        </w:tc>
        <w:tc>
          <w:tcPr>
            <w:tcW w:w="16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Transportation: Cargo</w:t>
            </w: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5.3% Cash, 1.0% Libor Floor, Due 6/21</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1,392,213</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1,391,313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1,378,291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USJ-IMECO Holding Company, LLC </w:t>
            </w:r>
            <w:r>
              <w:rPr>
                <w:rFonts w:ascii="Arial" w:cs="Arial" w:eastAsia="Arial" w:hAnsi="Arial"/>
                <w:sz w:val="28"/>
                <w:szCs w:val="28"/>
                <w:color w:val="auto"/>
                <w:vertAlign w:val="superscript"/>
              </w:rPr>
              <w:t>9, 10</w:t>
            </w: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Secured Loan — Term Loan</w:t>
            </w:r>
          </w:p>
        </w:tc>
        <w:tc>
          <w:tcPr>
            <w:tcW w:w="16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Transportation: Cargo</w:t>
            </w: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7.0% Cash, 1.0% Libor Floor, Due 4/20</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3,689,216</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3,678,235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3,501,804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Vantiv, LLC (fka Fifth Third Processing</w:t>
            </w:r>
          </w:p>
        </w:tc>
        <w:tc>
          <w:tcPr>
            <w:tcW w:w="37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8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Solutions, LLC) </w:t>
            </w:r>
            <w:r>
              <w:rPr>
                <w:rFonts w:ascii="Arial" w:cs="Arial" w:eastAsia="Arial" w:hAnsi="Arial"/>
                <w:sz w:val="29"/>
                <w:szCs w:val="29"/>
                <w:color w:val="auto"/>
                <w:vertAlign w:val="superscript"/>
              </w:rPr>
              <w:t>10</w:t>
            </w: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Secured Loan — Term B Loan</w:t>
            </w:r>
          </w:p>
        </w:tc>
        <w:tc>
          <w:tcPr>
            <w:tcW w:w="16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Banking, Finance, Insurance &amp; Real Estate</w:t>
            </w: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3.5% Cash, 0.8% Libor Floor, Due 6/21</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1,668,457</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1,671,467</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1,674,296</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12</w:t>
            </w:r>
          </w:p>
        </w:tc>
        <w:tc>
          <w:tcPr>
            <w:tcW w:w="16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type w:val="continuous"/>
        </w:sectPr>
      </w:pPr>
    </w:p>
    <w:bookmarkStart w:id="14" w:name="page15"/>
    <w:bookmarkEnd w:id="14"/>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Portfolio Company / Principal Business</w:t>
      </w:r>
    </w:p>
    <w:p>
      <w:pPr>
        <w:spacing w:after="0" w:line="53" w:lineRule="exact"/>
        <w:rPr>
          <w:sz w:val="20"/>
          <w:szCs w:val="20"/>
          <w:color w:val="auto"/>
        </w:rPr>
      </w:pPr>
    </w:p>
    <w:p>
      <w:pPr>
        <w:ind w:left="140" w:right="520" w:hanging="129"/>
        <w:spacing w:after="0" w:line="180" w:lineRule="auto"/>
        <w:rPr>
          <w:sz w:val="20"/>
          <w:szCs w:val="20"/>
          <w:color w:val="auto"/>
        </w:rPr>
      </w:pPr>
      <w:r>
        <w:rPr>
          <w:rFonts w:ascii="Arial" w:cs="Arial" w:eastAsia="Arial" w:hAnsi="Arial"/>
          <w:sz w:val="17"/>
          <w:szCs w:val="17"/>
          <w:color w:val="auto"/>
        </w:rPr>
        <w:t xml:space="preserve">Verdesian Life Sciences, LLC </w:t>
      </w:r>
      <w:r>
        <w:rPr>
          <w:rFonts w:ascii="Arial" w:cs="Arial" w:eastAsia="Arial" w:hAnsi="Arial"/>
          <w:sz w:val="28"/>
          <w:szCs w:val="28"/>
          <w:color w:val="auto"/>
          <w:vertAlign w:val="superscript"/>
        </w:rPr>
        <w:t>9, 10</w:t>
      </w:r>
      <w:r>
        <w:rPr>
          <w:rFonts w:ascii="Arial" w:cs="Arial" w:eastAsia="Arial" w:hAnsi="Arial"/>
          <w:sz w:val="17"/>
          <w:szCs w:val="17"/>
          <w:color w:val="auto"/>
        </w:rPr>
        <w:t xml:space="preserve"> Environmental Industries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Vestcom International, Inc. (fka Vector</w:t>
      </w:r>
    </w:p>
    <w:p>
      <w:pPr>
        <w:ind w:left="140"/>
        <w:spacing w:after="0" w:line="203" w:lineRule="auto"/>
        <w:rPr>
          <w:sz w:val="20"/>
          <w:szCs w:val="20"/>
          <w:color w:val="auto"/>
        </w:rPr>
      </w:pPr>
      <w:r>
        <w:rPr>
          <w:rFonts w:ascii="Arial" w:cs="Arial" w:eastAsia="Arial" w:hAnsi="Arial"/>
          <w:sz w:val="18"/>
          <w:szCs w:val="18"/>
          <w:color w:val="auto"/>
        </w:rPr>
        <w:t xml:space="preserve">Investment Holdings, Inc.) </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Retail</w:t>
      </w:r>
    </w:p>
    <w:p>
      <w:pPr>
        <w:spacing w:after="0" w:line="213" w:lineRule="exact"/>
        <w:rPr>
          <w:sz w:val="20"/>
          <w:szCs w:val="20"/>
          <w:color w:val="auto"/>
        </w:rPr>
      </w:pPr>
    </w:p>
    <w:p>
      <w:pPr>
        <w:ind w:left="140" w:right="680" w:hanging="129"/>
        <w:spacing w:after="0"/>
        <w:rPr>
          <w:sz w:val="20"/>
          <w:szCs w:val="20"/>
          <w:color w:val="auto"/>
        </w:rPr>
      </w:pPr>
      <w:r>
        <w:rPr>
          <w:rFonts w:ascii="Arial" w:cs="Arial" w:eastAsia="Arial" w:hAnsi="Arial"/>
          <w:sz w:val="16"/>
          <w:szCs w:val="16"/>
          <w:color w:val="auto"/>
        </w:rPr>
        <w:t xml:space="preserve">Weiman Products, LLC </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Consumer goods: Non-durable</w:t>
      </w:r>
    </w:p>
    <w:p>
      <w:pPr>
        <w:spacing w:after="0" w:line="206" w:lineRule="exact"/>
        <w:rPr>
          <w:sz w:val="20"/>
          <w:szCs w:val="20"/>
          <w:color w:val="auto"/>
        </w:rPr>
      </w:pPr>
    </w:p>
    <w:p>
      <w:pPr>
        <w:ind w:left="140" w:right="680" w:hanging="129"/>
        <w:spacing w:after="0"/>
        <w:rPr>
          <w:sz w:val="20"/>
          <w:szCs w:val="20"/>
          <w:color w:val="auto"/>
        </w:rPr>
      </w:pPr>
      <w:r>
        <w:rPr>
          <w:rFonts w:ascii="Arial" w:cs="Arial" w:eastAsia="Arial" w:hAnsi="Arial"/>
          <w:sz w:val="16"/>
          <w:szCs w:val="16"/>
          <w:color w:val="auto"/>
        </w:rPr>
        <w:t xml:space="preserve">Weiman Products, LLC </w:t>
      </w:r>
      <w:r>
        <w:rPr>
          <w:rFonts w:ascii="Arial" w:cs="Arial" w:eastAsia="Arial" w:hAnsi="Arial"/>
          <w:sz w:val="26"/>
          <w:szCs w:val="26"/>
          <w:color w:val="auto"/>
          <w:vertAlign w:val="superscript"/>
        </w:rPr>
        <w:t>9, 10</w:t>
      </w:r>
      <w:r>
        <w:rPr>
          <w:rFonts w:ascii="Arial" w:cs="Arial" w:eastAsia="Arial" w:hAnsi="Arial"/>
          <w:sz w:val="16"/>
          <w:szCs w:val="16"/>
          <w:color w:val="auto"/>
        </w:rPr>
        <w:t xml:space="preserve"> Consumer goods: Non-durable</w:t>
      </w:r>
    </w:p>
    <w:p>
      <w:pPr>
        <w:spacing w:after="0" w:line="206" w:lineRule="exact"/>
        <w:rPr>
          <w:sz w:val="20"/>
          <w:szCs w:val="20"/>
          <w:color w:val="auto"/>
        </w:rPr>
      </w:pPr>
    </w:p>
    <w:p>
      <w:pPr>
        <w:ind w:left="140" w:right="260" w:hanging="129"/>
        <w:spacing w:after="0"/>
        <w:rPr>
          <w:sz w:val="20"/>
          <w:szCs w:val="20"/>
          <w:color w:val="auto"/>
        </w:rPr>
      </w:pPr>
      <w:r>
        <w:rPr>
          <w:rFonts w:ascii="Arial" w:cs="Arial" w:eastAsia="Arial" w:hAnsi="Arial"/>
          <w:sz w:val="16"/>
          <w:szCs w:val="16"/>
          <w:color w:val="auto"/>
        </w:rPr>
        <w:t xml:space="preserve">WideOpenWest Finance, LLC </w:t>
      </w:r>
      <w:r>
        <w:rPr>
          <w:rFonts w:ascii="Arial" w:cs="Arial" w:eastAsia="Arial" w:hAnsi="Arial"/>
          <w:sz w:val="26"/>
          <w:szCs w:val="26"/>
          <w:color w:val="auto"/>
          <w:vertAlign w:val="superscript"/>
        </w:rPr>
        <w:t>9, 10</w:t>
      </w:r>
      <w:r>
        <w:rPr>
          <w:rFonts w:ascii="Arial" w:cs="Arial" w:eastAsia="Arial" w:hAnsi="Arial"/>
          <w:sz w:val="16"/>
          <w:szCs w:val="16"/>
          <w:color w:val="auto"/>
        </w:rPr>
        <w:t xml:space="preserve"> Media: Broadcasting &amp; Subscription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w:t>
      </w:r>
    </w:p>
    <w:p>
      <w:pPr>
        <w:ind w:left="140"/>
        <w:spacing w:after="0"/>
        <w:rPr>
          <w:sz w:val="20"/>
          <w:szCs w:val="20"/>
          <w:color w:val="auto"/>
        </w:rPr>
      </w:pPr>
      <w:r>
        <w:rPr>
          <w:rFonts w:ascii="Arial" w:cs="Arial" w:eastAsia="Arial" w:hAnsi="Arial"/>
          <w:sz w:val="18"/>
          <w:szCs w:val="18"/>
          <w:color w:val="auto"/>
        </w:rPr>
        <w:t>Capital Equipment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40" w:type="dxa"/>
            <w:vAlign w:val="bottom"/>
          </w:tcPr>
          <w:p>
            <w:pPr>
              <w:spacing w:after="0"/>
              <w:rPr>
                <w:sz w:val="18"/>
                <w:szCs w:val="18"/>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9"/>
              </w:rPr>
              <w:t>Principal</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Initial Term Loan</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6.0%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7/20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3,820,047</w:t>
            </w:r>
          </w:p>
        </w:tc>
        <w:tc>
          <w:tcPr>
            <w:tcW w:w="120" w:type="dxa"/>
            <w:vAlign w:val="bottom"/>
          </w:tcPr>
          <w:p>
            <w:pPr>
              <w:spacing w:after="0"/>
              <w:rPr>
                <w:sz w:val="20"/>
                <w:szCs w:val="20"/>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3,784,846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3,666,481</w:t>
            </w:r>
          </w:p>
        </w:tc>
        <w:tc>
          <w:tcPr>
            <w:tcW w:w="0" w:type="dxa"/>
            <w:vAlign w:val="bottom"/>
          </w:tcPr>
          <w:p>
            <w:pPr>
              <w:spacing w:after="0"/>
              <w:rPr>
                <w:sz w:val="1"/>
                <w:szCs w:val="1"/>
                <w:color w:val="auto"/>
              </w:rPr>
            </w:pPr>
          </w:p>
        </w:tc>
      </w:tr>
      <w:tr>
        <w:trPr>
          <w:trHeight w:val="674"/>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9/21</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2,966,819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2,981,006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2,905,109</w:t>
            </w:r>
          </w:p>
        </w:tc>
        <w:tc>
          <w:tcPr>
            <w:tcW w:w="0" w:type="dxa"/>
            <w:vAlign w:val="bottom"/>
          </w:tcPr>
          <w:p>
            <w:pPr>
              <w:spacing w:after="0"/>
              <w:rPr>
                <w:sz w:val="1"/>
                <w:szCs w:val="1"/>
                <w:color w:val="auto"/>
              </w:rPr>
            </w:pPr>
          </w:p>
        </w:tc>
      </w:tr>
      <w:tr>
        <w:trPr>
          <w:trHeight w:val="458"/>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5.8%</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11/18</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918,382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914,355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918,198</w:t>
            </w:r>
          </w:p>
        </w:tc>
        <w:tc>
          <w:tcPr>
            <w:tcW w:w="0" w:type="dxa"/>
            <w:vAlign w:val="bottom"/>
          </w:tcPr>
          <w:p>
            <w:pPr>
              <w:spacing w:after="0"/>
              <w:rPr>
                <w:sz w:val="1"/>
                <w:szCs w:val="1"/>
                <w:color w:val="auto"/>
              </w:rPr>
            </w:pPr>
          </w:p>
        </w:tc>
      </w:tr>
      <w:tr>
        <w:trPr>
          <w:trHeight w:val="458"/>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5.8%</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11/18</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4,579,315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4,559,562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4,578,399</w:t>
            </w:r>
          </w:p>
        </w:tc>
        <w:tc>
          <w:tcPr>
            <w:tcW w:w="0" w:type="dxa"/>
            <w:vAlign w:val="bottom"/>
          </w:tcPr>
          <w:p>
            <w:pPr>
              <w:spacing w:after="0"/>
              <w:rPr>
                <w:sz w:val="1"/>
                <w:szCs w:val="1"/>
                <w:color w:val="auto"/>
              </w:rPr>
            </w:pPr>
          </w:p>
        </w:tc>
      </w:tr>
      <w:tr>
        <w:trPr>
          <w:trHeight w:val="458"/>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New Term B Loan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4.5%</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8/23</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2,991,720</w:t>
            </w:r>
          </w:p>
        </w:tc>
        <w:tc>
          <w:tcPr>
            <w:tcW w:w="0" w:type="dxa"/>
            <w:vAlign w:val="bottom"/>
          </w:tcPr>
          <w:p>
            <w:pPr>
              <w:spacing w:after="0"/>
              <w:rPr>
                <w:sz w:val="1"/>
                <w:szCs w:val="1"/>
                <w:color w:val="auto"/>
              </w:rPr>
            </w:pPr>
          </w:p>
        </w:tc>
      </w:tr>
      <w:tr>
        <w:trPr>
          <w:trHeight w:val="418"/>
        </w:trPr>
        <w:tc>
          <w:tcPr>
            <w:tcW w:w="3560" w:type="dxa"/>
            <w:vAlign w:val="bottom"/>
            <w:gridSpan w:val="3"/>
          </w:tcPr>
          <w:p>
            <w:pPr>
              <w:spacing w:after="0"/>
              <w:rPr>
                <w:sz w:val="20"/>
                <w:szCs w:val="20"/>
                <w:color w:val="auto"/>
              </w:rPr>
            </w:pPr>
            <w:r>
              <w:rPr>
                <w:rFonts w:ascii="Arial" w:cs="Arial" w:eastAsia="Arial" w:hAnsi="Arial"/>
                <w:sz w:val="18"/>
                <w:szCs w:val="18"/>
                <w:color w:val="auto"/>
                <w:w w:val="95"/>
              </w:rPr>
              <w:t>Junior Secured Loan — Term Loan B (Second</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Lien)</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10.0% Cash, 1.0% Libor Floor, Due 7/24</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-2297430</wp:posOffset>
            </wp:positionV>
            <wp:extent cx="7246620" cy="43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-1723390</wp:posOffset>
            </wp:positionV>
            <wp:extent cx="7246620"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-1285875</wp:posOffset>
            </wp:positionV>
            <wp:extent cx="7246620" cy="30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-848360</wp:posOffset>
            </wp:positionV>
            <wp:extent cx="7246620"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-410845</wp:posOffset>
            </wp:positionV>
            <wp:extent cx="7246620"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-2743835</wp:posOffset>
            </wp:positionV>
            <wp:extent cx="724662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520"/>
            <w:col w:w="7860"/>
          </w:cols>
          <w:pgMar w:left="240" w:top="931" w:right="239" w:bottom="144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WireCo WorldGroup Inc. (WireCo</w:t>
            </w:r>
          </w:p>
        </w:tc>
        <w:tc>
          <w:tcPr>
            <w:tcW w:w="4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Senior Secured Loan — Initial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3"/>
        </w:trPr>
        <w:tc>
          <w:tcPr>
            <w:tcW w:w="3040" w:type="dxa"/>
            <w:vAlign w:val="bottom"/>
            <w:shd w:val="clear" w:color="auto" w:fill="CCEEFF"/>
          </w:tcPr>
          <w:p>
            <w:pPr>
              <w:ind w:left="140"/>
              <w:spacing w:after="0" w:line="253" w:lineRule="exact"/>
              <w:rPr>
                <w:sz w:val="20"/>
                <w:szCs w:val="20"/>
                <w:color w:val="auto"/>
              </w:rPr>
            </w:pPr>
            <w:r>
              <w:rPr>
                <w:rFonts w:ascii="Arial" w:cs="Arial" w:eastAsia="Arial" w:hAnsi="Arial"/>
                <w:sz w:val="18"/>
                <w:szCs w:val="18"/>
                <w:color w:val="auto"/>
              </w:rPr>
              <w:t xml:space="preserve">WorldGroup Finance LP) </w:t>
            </w:r>
            <w:r>
              <w:rPr>
                <w:rFonts w:ascii="Arial" w:cs="Arial" w:eastAsia="Arial" w:hAnsi="Arial"/>
                <w:sz w:val="29"/>
                <w:szCs w:val="29"/>
                <w:color w:val="auto"/>
                <w:vertAlign w:val="superscript"/>
              </w:rPr>
              <w:t>9, 10</w:t>
            </w:r>
          </w:p>
        </w:tc>
        <w:tc>
          <w:tcPr>
            <w:tcW w:w="4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(First Lien)</w:t>
            </w: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4"/>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Equipment</w:t>
            </w:r>
          </w:p>
        </w:tc>
        <w:tc>
          <w:tcPr>
            <w:tcW w:w="4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6.5% Cash, 1.0% Libor Floor, Due 9/23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24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1,732,500</w:t>
            </w:r>
          </w:p>
        </w:tc>
        <w:tc>
          <w:tcPr>
            <w:tcW w:w="2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1,732,500</w:t>
            </w:r>
          </w:p>
        </w:tc>
        <w:tc>
          <w:tcPr>
            <w:tcW w:w="100" w:type="dxa"/>
            <w:vAlign w:val="bottom"/>
            <w:shd w:val="clear" w:color="auto" w:fill="CCEEFF"/>
          </w:tcPr>
          <w:p>
            <w:pPr>
              <w:spacing w:after="0"/>
              <w:rPr>
                <w:sz w:val="21"/>
                <w:szCs w:val="2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Debt Securities</w:t>
            </w:r>
          </w:p>
        </w:tc>
        <w:tc>
          <w:tcPr>
            <w:tcW w:w="2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(132% of net asset value at fair value)</w:t>
            </w:r>
          </w:p>
        </w:tc>
        <w:tc>
          <w:tcPr>
            <w:tcW w:w="2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276,479,566</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275,019,503</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263,889,236</w:t>
            </w:r>
          </w:p>
        </w:tc>
      </w:tr>
      <w:tr>
        <w:trPr>
          <w:trHeight w:val="669"/>
        </w:trPr>
        <w:tc>
          <w:tcPr>
            <w:tcW w:w="43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Equity Securities Portfolio</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36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Ownership/Shares</w:t>
            </w:r>
          </w:p>
        </w:tc>
        <w:tc>
          <w:tcPr>
            <w:tcW w:w="6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4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 xml:space="preserve">Aerostructures Holdings L.P. </w:t>
            </w:r>
            <w:r>
              <w:rPr>
                <w:rFonts w:ascii="Arial" w:cs="Arial" w:eastAsia="Arial" w:hAnsi="Arial"/>
                <w:sz w:val="27"/>
                <w:szCs w:val="27"/>
                <w:color w:val="auto"/>
                <w:vertAlign w:val="superscript"/>
              </w:rPr>
              <w:t>5, 9</w:t>
            </w:r>
          </w:p>
        </w:tc>
        <w:tc>
          <w:tcPr>
            <w:tcW w:w="100" w:type="dxa"/>
            <w:vAlign w:val="bottom"/>
            <w:tcBorders>
              <w:top w:val="single" w:sz="8" w:color="CCEEFF"/>
            </w:tcBorders>
            <w:shd w:val="clear" w:color="auto" w:fill="CCEEFF"/>
          </w:tcPr>
          <w:p>
            <w:pPr>
              <w:spacing w:after="0"/>
              <w:rPr>
                <w:sz w:val="20"/>
                <w:szCs w:val="20"/>
                <w:color w:val="auto"/>
              </w:rPr>
            </w:pPr>
          </w:p>
        </w:tc>
        <w:tc>
          <w:tcPr>
            <w:tcW w:w="33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Aerospace and Defense</w:t>
            </w: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Partnership Interests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Aerostructures Holdings L.P. </w:t>
            </w:r>
            <w:r>
              <w:rPr>
                <w:rFonts w:ascii="Arial" w:cs="Arial" w:eastAsia="Arial" w:hAnsi="Arial"/>
                <w:sz w:val="28"/>
                <w:szCs w:val="28"/>
                <w:color w:val="auto"/>
                <w:vertAlign w:val="superscript"/>
              </w:rPr>
              <w:t>5, 9</w:t>
            </w:r>
          </w:p>
        </w:tc>
        <w:tc>
          <w:tcPr>
            <w:tcW w:w="3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Aerospace and Defense</w:t>
            </w: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Interests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w:t>
            </w:r>
          </w:p>
        </w:tc>
        <w:tc>
          <w:tcPr>
            <w:tcW w:w="3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Investments Incorporated) </w:t>
            </w:r>
            <w:r>
              <w:rPr>
                <w:rFonts w:ascii="Arial" w:cs="Arial" w:eastAsia="Arial" w:hAnsi="Arial"/>
                <w:sz w:val="29"/>
                <w:szCs w:val="29"/>
                <w:color w:val="auto"/>
                <w:vertAlign w:val="superscript"/>
              </w:rPr>
              <w:t>5, 9</w:t>
            </w:r>
          </w:p>
        </w:tc>
        <w:tc>
          <w:tcPr>
            <w:tcW w:w="3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 Publishing</w:t>
            </w: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DBI Holding LLC </w:t>
            </w:r>
            <w:r>
              <w:rPr>
                <w:rFonts w:ascii="Arial" w:cs="Arial" w:eastAsia="Arial" w:hAnsi="Arial"/>
                <w:sz w:val="28"/>
                <w:szCs w:val="28"/>
                <w:color w:val="auto"/>
                <w:vertAlign w:val="superscript"/>
              </w:rPr>
              <w:t>5, 9</w:t>
            </w:r>
          </w:p>
        </w:tc>
        <w:tc>
          <w:tcPr>
            <w:tcW w:w="3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eInstruction Acquisition, LLC </w:t>
            </w:r>
            <w:r>
              <w:rPr>
                <w:rFonts w:ascii="Arial" w:cs="Arial" w:eastAsia="Arial" w:hAnsi="Arial"/>
                <w:sz w:val="28"/>
                <w:szCs w:val="28"/>
                <w:color w:val="auto"/>
                <w:vertAlign w:val="superscript"/>
              </w:rPr>
              <w:t>5, 9</w:t>
            </w:r>
          </w:p>
        </w:tc>
        <w:tc>
          <w:tcPr>
            <w:tcW w:w="3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Education and Childcare</w:t>
            </w: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Membership Units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FP WRCA Coinvestment Fund VII, Ltd. </w:t>
            </w:r>
            <w:r>
              <w:rPr>
                <w:rFonts w:ascii="Arial" w:cs="Arial" w:eastAsia="Arial" w:hAnsi="Arial"/>
                <w:sz w:val="28"/>
                <w:szCs w:val="28"/>
                <w:color w:val="auto"/>
                <w:vertAlign w:val="superscript"/>
              </w:rPr>
              <w:t>3, 5</w:t>
            </w:r>
          </w:p>
        </w:tc>
        <w:tc>
          <w:tcPr>
            <w:tcW w:w="3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Capital Equipment</w:t>
            </w: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Perseus Holding Corp. </w:t>
            </w:r>
            <w:r>
              <w:rPr>
                <w:rFonts w:ascii="Arial" w:cs="Arial" w:eastAsia="Arial" w:hAnsi="Arial"/>
                <w:sz w:val="28"/>
                <w:szCs w:val="28"/>
                <w:color w:val="auto"/>
                <w:vertAlign w:val="superscript"/>
              </w:rPr>
              <w:t>5, 9</w:t>
            </w:r>
          </w:p>
        </w:tc>
        <w:tc>
          <w:tcPr>
            <w:tcW w:w="3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Hotel, Gaming &amp; Leisure</w:t>
            </w: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Roscoe Investors, LLC </w:t>
            </w:r>
            <w:r>
              <w:rPr>
                <w:rFonts w:ascii="Arial" w:cs="Arial" w:eastAsia="Arial" w:hAnsi="Arial"/>
                <w:sz w:val="28"/>
                <w:szCs w:val="28"/>
                <w:color w:val="auto"/>
                <w:vertAlign w:val="superscript"/>
              </w:rPr>
              <w:t>5, 9</w:t>
            </w:r>
          </w:p>
        </w:tc>
        <w:tc>
          <w:tcPr>
            <w:tcW w:w="3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Class A Units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Tank Partners Holdings, LLC </w:t>
            </w:r>
            <w:r>
              <w:rPr>
                <w:rFonts w:ascii="Arial" w:cs="Arial" w:eastAsia="Arial" w:hAnsi="Arial"/>
                <w:sz w:val="28"/>
                <w:szCs w:val="28"/>
                <w:color w:val="auto"/>
                <w:vertAlign w:val="superscript"/>
              </w:rPr>
              <w:t>5, 9, 12</w:t>
            </w:r>
          </w:p>
        </w:tc>
        <w:tc>
          <w:tcPr>
            <w:tcW w:w="3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Energy: Oil &amp; Gas</w:t>
            </w: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Unit</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Tank Partners Holdings, LLC </w:t>
            </w:r>
            <w:r>
              <w:rPr>
                <w:rFonts w:ascii="Arial" w:cs="Arial" w:eastAsia="Arial" w:hAnsi="Arial"/>
                <w:sz w:val="28"/>
                <w:szCs w:val="28"/>
                <w:color w:val="auto"/>
                <w:vertAlign w:val="superscript"/>
              </w:rPr>
              <w:t>5, 9</w:t>
            </w:r>
          </w:p>
        </w:tc>
        <w:tc>
          <w:tcPr>
            <w:tcW w:w="3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Energy: Oil &amp; Gas</w:t>
            </w: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TRSO II, Inc. </w:t>
            </w:r>
            <w:r>
              <w:rPr>
                <w:rFonts w:ascii="Arial" w:cs="Arial" w:eastAsia="Arial" w:hAnsi="Arial"/>
                <w:sz w:val="28"/>
                <w:szCs w:val="28"/>
                <w:color w:val="auto"/>
                <w:vertAlign w:val="superscript"/>
              </w:rPr>
              <w:t>5, 9</w:t>
            </w:r>
          </w:p>
        </w:tc>
        <w:tc>
          <w:tcPr>
            <w:tcW w:w="3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Energy: Oil &amp; Gas</w:t>
            </w: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22"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New Millennium Holdco, Inc. (Millennium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45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140"/>
        <w:spacing w:after="0" w:line="195" w:lineRule="auto"/>
        <w:rPr>
          <w:sz w:val="20"/>
          <w:szCs w:val="20"/>
          <w:color w:val="auto"/>
        </w:rPr>
      </w:pPr>
      <w:r>
        <w:rPr>
          <w:rFonts w:ascii="Arial" w:cs="Arial" w:eastAsia="Arial" w:hAnsi="Arial"/>
          <w:sz w:val="18"/>
          <w:szCs w:val="18"/>
          <w:color w:val="auto"/>
        </w:rPr>
        <w:t xml:space="preserve">Health, LLC) </w:t>
      </w:r>
      <w:r>
        <w:rPr>
          <w:rFonts w:ascii="Arial" w:cs="Arial" w:eastAsia="Arial" w:hAnsi="Arial"/>
          <w:sz w:val="30"/>
          <w:szCs w:val="30"/>
          <w:color w:val="auto"/>
          <w:vertAlign w:val="superscript"/>
        </w:rPr>
        <w:t>5, 9</w:t>
      </w:r>
    </w:p>
    <w:p>
      <w:pPr>
        <w:spacing w:after="0" w:line="1" w:lineRule="exact"/>
        <w:rPr>
          <w:sz w:val="20"/>
          <w:szCs w:val="20"/>
          <w:color w:val="auto"/>
        </w:rPr>
      </w:pPr>
    </w:p>
    <w:p>
      <w:pPr>
        <w:ind w:left="140"/>
        <w:spacing w:after="0"/>
        <w:tabs>
          <w:tab w:leader="none" w:pos="3540" w:val="left"/>
        </w:tabs>
        <w:rPr>
          <w:sz w:val="20"/>
          <w:szCs w:val="20"/>
          <w:color w:val="auto"/>
        </w:rPr>
      </w:pPr>
      <w:r>
        <w:rPr>
          <w:rFonts w:ascii="Arial" w:cs="Arial" w:eastAsia="Arial" w:hAnsi="Arial"/>
          <w:sz w:val="18"/>
          <w:szCs w:val="18"/>
          <w:color w:val="auto"/>
        </w:rPr>
        <w:t>Healthcare &amp; Pharmaceuticals</w:t>
      </w:r>
      <w:r>
        <w:rPr>
          <w:sz w:val="20"/>
          <w:szCs w:val="20"/>
          <w:color w:val="auto"/>
        </w:rPr>
        <w:tab/>
      </w:r>
      <w:r>
        <w:rPr>
          <w:rFonts w:ascii="Arial" w:cs="Arial" w:eastAsia="Arial" w:hAnsi="Arial"/>
          <w:sz w:val="16"/>
          <w:szCs w:val="16"/>
          <w:color w:val="auto"/>
        </w:rPr>
        <w:t>Common</w:t>
      </w:r>
    </w:p>
    <w:p>
      <w:pPr>
        <w:spacing w:after="0" w:line="232" w:lineRule="exact"/>
        <w:rPr>
          <w:sz w:val="20"/>
          <w:szCs w:val="20"/>
          <w:color w:val="auto"/>
        </w:rPr>
      </w:pPr>
    </w:p>
    <w:p>
      <w:pPr>
        <w:jc w:val="right"/>
        <w:ind w:right="4300"/>
        <w:spacing w:after="0"/>
        <w:rPr>
          <w:sz w:val="20"/>
          <w:szCs w:val="20"/>
          <w:color w:val="auto"/>
        </w:rPr>
      </w:pPr>
      <w:r>
        <w:rPr>
          <w:rFonts w:ascii="Arial" w:cs="Arial" w:eastAsia="Arial" w:hAnsi="Arial"/>
          <w:sz w:val="16"/>
          <w:szCs w:val="16"/>
          <w:b w:val="1"/>
          <w:bCs w:val="1"/>
          <w:color w:val="auto"/>
        </w:rPr>
        <w:t>Total Investment in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0" w:lineRule="exact"/>
        <w:rPr>
          <w:sz w:val="20"/>
          <w:szCs w:val="20"/>
          <w:color w:val="auto"/>
        </w:rPr>
      </w:pPr>
    </w:p>
    <w:p>
      <w:pPr>
        <w:jc w:val="right"/>
        <w:ind w:right="4300"/>
        <w:spacing w:after="0"/>
        <w:rPr>
          <w:sz w:val="20"/>
          <w:szCs w:val="20"/>
          <w:color w:val="auto"/>
        </w:rPr>
      </w:pPr>
      <w:r>
        <w:rPr>
          <w:rFonts w:ascii="Arial" w:cs="Arial" w:eastAsia="Arial" w:hAnsi="Arial"/>
          <w:sz w:val="17"/>
          <w:szCs w:val="17"/>
          <w:b w:val="1"/>
          <w:bCs w:val="1"/>
          <w:color w:val="auto"/>
        </w:rPr>
        <w:t>(2%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150"/>
              <w:spacing w:after="0"/>
              <w:rPr>
                <w:sz w:val="20"/>
                <w:szCs w:val="20"/>
                <w:color w:val="auto"/>
              </w:rPr>
            </w:pPr>
            <w:r>
              <w:rPr>
                <w:rFonts w:ascii="Arial" w:cs="Arial" w:eastAsia="Arial" w:hAnsi="Arial"/>
                <w:sz w:val="18"/>
                <w:szCs w:val="18"/>
                <w:color w:val="auto"/>
                <w:w w:val="87"/>
              </w:rPr>
              <w:t>29,699</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1,953,299</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655"/>
        </w:trPr>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10,208,846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4,392,696</w:t>
            </w:r>
          </w:p>
        </w:tc>
      </w:tr>
      <w:tr>
        <w:trPr>
          <w:trHeight w:val="20"/>
        </w:trPr>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60" w:space="720"/>
            <w:col w:w="3540"/>
          </w:cols>
          <w:pgMar w:left="240" w:top="922" w:right="239" w:bottom="1440" w:gutter="0" w:footer="0" w:header="0"/>
          <w:type w:val="continuous"/>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CLO Fund Securities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CLO Subordinated Investments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Investment </w:t>
            </w:r>
            <w:r>
              <w:rPr>
                <w:rFonts w:ascii="Arial" w:cs="Arial" w:eastAsia="Arial" w:hAnsi="Arial"/>
                <w:sz w:val="30"/>
                <w:szCs w:val="30"/>
                <w:b w:val="1"/>
                <w:bCs w:val="1"/>
                <w:color w:val="auto"/>
                <w:vertAlign w:val="superscript"/>
              </w:rPr>
              <w:t>13</w:t>
            </w:r>
          </w:p>
        </w:tc>
        <w:tc>
          <w:tcPr>
            <w:tcW w:w="100" w:type="dxa"/>
            <w:vAlign w:val="bottom"/>
            <w:vMerge w:val="restart"/>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Borders>
              <w:bottom w:val="single" w:sz="8" w:color="CCEEFF"/>
            </w:tcBorders>
          </w:tcPr>
          <w:p>
            <w:pPr>
              <w:spacing w:after="0"/>
              <w:rPr>
                <w:sz w:val="21"/>
                <w:szCs w:val="21"/>
                <w:color w:val="auto"/>
              </w:rPr>
            </w:pPr>
          </w:p>
        </w:tc>
        <w:tc>
          <w:tcPr>
            <w:tcW w:w="3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Ownership</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Amortized Cost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Grant Grove CLO, Ltd. </w:t>
            </w:r>
            <w:r>
              <w:rPr>
                <w:rFonts w:ascii="Arial" w:cs="Arial" w:eastAsia="Arial" w:hAnsi="Arial"/>
                <w:sz w:val="22"/>
                <w:szCs w:val="22"/>
                <w:color w:val="auto"/>
                <w:vertAlign w:val="superscript"/>
              </w:rPr>
              <w:t>3</w:t>
            </w:r>
          </w:p>
        </w:tc>
        <w:tc>
          <w:tcPr>
            <w:tcW w:w="12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Subordinated Securities, effective interest</w:t>
            </w:r>
          </w:p>
        </w:tc>
        <w:tc>
          <w:tcPr>
            <w:tcW w:w="1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320" w:type="dxa"/>
            <w:vAlign w:val="bottom"/>
            <w:gridSpan w:val="2"/>
            <w:vMerge w:val="restart"/>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2,496,262</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10.9%, 1/21 maturity</w:t>
            </w:r>
          </w:p>
        </w:tc>
        <w:tc>
          <w:tcPr>
            <w:tcW w:w="146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Katonah III, Ltd. </w:t>
            </w:r>
            <w:r>
              <w:rPr>
                <w:rFonts w:ascii="Arial" w:cs="Arial" w:eastAsia="Arial" w:hAnsi="Arial"/>
                <w:sz w:val="23"/>
                <w:szCs w:val="23"/>
                <w:color w:val="auto"/>
                <w:vertAlign w:val="superscript"/>
              </w:rPr>
              <w:t>3</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w w:val="95"/>
              </w:rPr>
              <w:t>Preferred Shares, effective interest 1.0%, 5/15</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1,390,606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Katonah 2007-I CLO Ltd. </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2"/>
              </w:rPr>
              <w:t>Preferred Shares, effective interest 35.5%, 4/22</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26,960,634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21,476,801</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Trimaran CLO VII, Ltd. </w:t>
            </w:r>
            <w:r>
              <w:rPr>
                <w:rFonts w:ascii="Arial" w:cs="Arial" w:eastAsia="Arial" w:hAnsi="Arial"/>
                <w:sz w:val="23"/>
                <w:szCs w:val="23"/>
                <w:color w:val="auto"/>
                <w:vertAlign w:val="superscript"/>
              </w:rPr>
              <w:t>3,6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w w:val="99"/>
              </w:rPr>
              <w:t>Income Notes, effective interest 50.0%, 6/21</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1,546,525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1,530,054</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Catamaran CLO 2012-1 Ltd. </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 interest 3.9%,</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6,049,821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2,417,941</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12/23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Catamaran CLO 2013- 1 Ltd. </w:t>
            </w:r>
            <w:r>
              <w:rPr>
                <w:rFonts w:ascii="Arial" w:cs="Arial" w:eastAsia="Arial" w:hAnsi="Arial"/>
                <w:sz w:val="23"/>
                <w:szCs w:val="23"/>
                <w:color w:val="auto"/>
                <w:vertAlign w:val="superscript"/>
              </w:rPr>
              <w:t>3, 6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w w:val="97"/>
              </w:rPr>
              <w:t>Subordinated Notes, effective interest 16.6%,</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5,480,454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4,783,491</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1/25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Catamaran CLO 2014-1 Ltd. </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 interest 9.4%,</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8,088,449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4,198,032</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4/26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Dryden 30 Senior Loan Fund </w:t>
            </w:r>
            <w:r>
              <w:rPr>
                <w:rFonts w:ascii="Arial" w:cs="Arial" w:eastAsia="Arial" w:hAnsi="Arial"/>
                <w:sz w:val="23"/>
                <w:szCs w:val="23"/>
                <w:color w:val="auto"/>
                <w:vertAlign w:val="superscript"/>
              </w:rPr>
              <w:t>3</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w w:val="97"/>
              </w:rPr>
              <w:t>Subordinated Notes, effective interest 34.5%,</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1,398,081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1,611,892</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11/25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Catamaran CLO 2014-2 Ltd. </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Subordinated Notes, effective interest 10.2%,</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7,225,153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4,404,621</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10/26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Catamaran CLO 2015-1 Ltd. </w:t>
            </w:r>
            <w:r>
              <w:rPr>
                <w:rFonts w:ascii="Arial" w:cs="Arial" w:eastAsia="Arial" w:hAnsi="Arial"/>
                <w:sz w:val="23"/>
                <w:szCs w:val="23"/>
                <w:color w:val="auto"/>
                <w:vertAlign w:val="superscript"/>
              </w:rPr>
              <w:t>3, 6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w w:val="97"/>
              </w:rPr>
              <w:t>Subordinated Notes, effective interest 10.2%,</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9.94%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4/27 maturity</w:t>
            </w:r>
          </w:p>
        </w:tc>
        <w:tc>
          <w:tcPr>
            <w:tcW w:w="146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4,640,665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3,043,087</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Investment in CLO Subordinated Securities</w:t>
            </w: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65,276,650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43,866,919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CLO Rated-Note Investment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Borders>
              <w:bottom w:val="single" w:sz="8" w:color="CCEEFF"/>
            </w:tcBorders>
          </w:tcPr>
          <w:p>
            <w:pPr>
              <w:spacing w:after="0"/>
              <w:rPr>
                <w:sz w:val="21"/>
                <w:szCs w:val="21"/>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Ownership</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Amortized Cost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Catamaran CLO 2014-1 Ltd. </w:t>
            </w:r>
            <w:r>
              <w:rPr>
                <w:rFonts w:ascii="Arial" w:cs="Arial" w:eastAsia="Arial" w:hAnsi="Arial"/>
                <w:sz w:val="22"/>
                <w:szCs w:val="22"/>
                <w:color w:val="auto"/>
                <w:vertAlign w:val="superscript"/>
              </w:rPr>
              <w:t>3, 6</w:t>
            </w:r>
          </w:p>
        </w:tc>
        <w:tc>
          <w:tcPr>
            <w:tcW w:w="12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2"/>
              </w:rPr>
              <w:t>Float - 04/2026 - E - 14889FAC7, Par Value of</w:t>
            </w:r>
          </w:p>
        </w:tc>
        <w:tc>
          <w:tcPr>
            <w:tcW w:w="1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$1,525,000 6.4% Cash, 4/26 maturity</w:t>
            </w:r>
          </w:p>
        </w:tc>
        <w:tc>
          <w:tcPr>
            <w:tcW w:w="146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1,438,341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1,260,000</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Investment in CLO Rated-Note</w:t>
            </w:r>
          </w:p>
        </w:tc>
        <w:tc>
          <w:tcPr>
            <w:tcW w:w="3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1,438,341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56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CLO Fund Securities</w:t>
            </w:r>
          </w:p>
        </w:tc>
        <w:tc>
          <w:tcPr>
            <w:tcW w:w="3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(23% of 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66,714,991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45,126,919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Asset Manager Affiliates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Percentage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Company/Principal Business</w:t>
            </w:r>
          </w:p>
        </w:tc>
        <w:tc>
          <w:tcPr>
            <w:tcW w:w="120" w:type="dxa"/>
            <w:vAlign w:val="bottom"/>
            <w:tcBorders>
              <w:bottom w:val="single" w:sz="8" w:color="CCEEFF"/>
            </w:tcBorders>
          </w:tcPr>
          <w:p>
            <w:pPr>
              <w:spacing w:after="0"/>
              <w:rPr>
                <w:sz w:val="21"/>
                <w:szCs w:val="21"/>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Ownership</w:t>
            </w:r>
          </w:p>
        </w:tc>
        <w:tc>
          <w:tcPr>
            <w:tcW w:w="2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Borders>
              <w:bottom w:val="single" w:sz="8" w:color="CCEEFF"/>
            </w:tcBorders>
          </w:tcPr>
          <w:p>
            <w:pPr>
              <w:spacing w:after="0"/>
              <w:rPr>
                <w:sz w:val="21"/>
                <w:szCs w:val="21"/>
                <w:color w:val="auto"/>
              </w:rPr>
            </w:pPr>
          </w:p>
        </w:tc>
      </w:tr>
      <w:tr>
        <w:trPr>
          <w:trHeight w:val="264"/>
        </w:trPr>
        <w:tc>
          <w:tcPr>
            <w:tcW w:w="344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 xml:space="preserve">Asset Manager Affiliates </w:t>
            </w:r>
            <w:r>
              <w:rPr>
                <w:rFonts w:ascii="Arial" w:cs="Arial" w:eastAsia="Arial" w:hAnsi="Arial"/>
                <w:sz w:val="30"/>
                <w:szCs w:val="30"/>
                <w:color w:val="auto"/>
                <w:vertAlign w:val="superscript"/>
              </w:rPr>
              <w:t>9, 11</w:t>
            </w:r>
          </w:p>
        </w:tc>
        <w:tc>
          <w:tcPr>
            <w:tcW w:w="120" w:type="dxa"/>
            <w:vAlign w:val="bottom"/>
            <w:shd w:val="clear" w:color="auto" w:fill="CCEEFF"/>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Company</w:t>
            </w:r>
          </w:p>
        </w:tc>
        <w:tc>
          <w:tcPr>
            <w:tcW w:w="1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  $</w:t>
            </w: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55,341,230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43,425,000</w:t>
            </w:r>
          </w:p>
        </w:tc>
        <w:tc>
          <w:tcPr>
            <w:tcW w:w="100" w:type="dxa"/>
            <w:vAlign w:val="bottom"/>
            <w:shd w:val="clear" w:color="auto" w:fill="CCEEFF"/>
          </w:tcPr>
          <w:p>
            <w:pPr>
              <w:spacing w:after="0"/>
              <w:rPr>
                <w:sz w:val="22"/>
                <w:szCs w:val="22"/>
                <w:color w:val="auto"/>
              </w:rPr>
            </w:pPr>
          </w:p>
        </w:tc>
      </w:tr>
      <w:tr>
        <w:trPr>
          <w:trHeight w:val="178"/>
        </w:trPr>
        <w:tc>
          <w:tcPr>
            <w:tcW w:w="35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Investment in Asset Manager</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3560" w:type="dxa"/>
            <w:vAlign w:val="bottom"/>
            <w:gridSpan w:val="2"/>
          </w:tcPr>
          <w:p>
            <w:pPr>
              <w:ind w:left="140"/>
              <w:spacing w:after="0"/>
              <w:rPr>
                <w:sz w:val="20"/>
                <w:szCs w:val="20"/>
                <w:color w:val="auto"/>
              </w:rPr>
            </w:pPr>
            <w:r>
              <w:rPr>
                <w:rFonts w:ascii="Arial" w:cs="Arial" w:eastAsia="Arial" w:hAnsi="Arial"/>
                <w:sz w:val="18"/>
                <w:szCs w:val="18"/>
                <w:b w:val="1"/>
                <w:bCs w:val="1"/>
                <w:color w:val="auto"/>
              </w:rPr>
              <w:t>Affiliates</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3560" w:type="dxa"/>
            <w:vAlign w:val="bottom"/>
            <w:gridSpan w:val="2"/>
          </w:tcPr>
          <w:p>
            <w:pPr>
              <w:ind w:left="140"/>
              <w:spacing w:after="0"/>
              <w:rPr>
                <w:sz w:val="20"/>
                <w:szCs w:val="20"/>
                <w:color w:val="auto"/>
              </w:rPr>
            </w:pPr>
            <w:r>
              <w:rPr>
                <w:rFonts w:ascii="Arial" w:cs="Arial" w:eastAsia="Arial" w:hAnsi="Arial"/>
                <w:sz w:val="18"/>
                <w:szCs w:val="18"/>
                <w:b w:val="1"/>
                <w:bCs w:val="1"/>
                <w:color w:val="auto"/>
              </w:rPr>
              <w:t>(22% of net asset value at fair value)</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55,341,230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43,425,000</w:t>
            </w:r>
          </w:p>
        </w:tc>
        <w:tc>
          <w:tcPr>
            <w:tcW w:w="100" w:type="dxa"/>
            <w:vAlign w:val="bottom"/>
          </w:tcPr>
          <w:p>
            <w:pPr>
              <w:spacing w:after="0"/>
              <w:rPr>
                <w:sz w:val="21"/>
                <w:szCs w:val="2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Time Deposits and Money Market Account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Par /Amortized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Time Deposit and Money Market Accounts</w:t>
            </w:r>
          </w:p>
        </w:tc>
        <w:tc>
          <w:tcPr>
            <w:tcW w:w="120" w:type="dxa"/>
            <w:vAlign w:val="bottom"/>
            <w:tcBorders>
              <w:bottom w:val="single" w:sz="8" w:color="CCEEFF"/>
            </w:tcBorders>
          </w:tcPr>
          <w:p>
            <w:pPr>
              <w:spacing w:after="0"/>
              <w:rPr>
                <w:sz w:val="21"/>
                <w:szCs w:val="21"/>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Yield</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4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w w:val="96"/>
              </w:rPr>
              <w:t xml:space="preserve">JP Morgan Business Money Market Account </w:t>
            </w:r>
            <w:r>
              <w:rPr>
                <w:rFonts w:ascii="Arial" w:cs="Arial" w:eastAsia="Arial" w:hAnsi="Arial"/>
                <w:sz w:val="27"/>
                <w:szCs w:val="27"/>
                <w:color w:val="auto"/>
                <w:w w:val="96"/>
                <w:vertAlign w:val="superscript"/>
              </w:rPr>
              <w:t>8,</w:t>
            </w:r>
          </w:p>
        </w:tc>
        <w:tc>
          <w:tcPr>
            <w:tcW w:w="120" w:type="dxa"/>
            <w:vAlign w:val="bottom"/>
            <w:shd w:val="clear" w:color="auto" w:fill="CCEEFF"/>
          </w:tcPr>
          <w:p>
            <w:pPr>
              <w:spacing w:after="0"/>
              <w:rPr>
                <w:sz w:val="20"/>
                <w:szCs w:val="20"/>
                <w:color w:val="auto"/>
              </w:rPr>
            </w:pPr>
          </w:p>
        </w:tc>
        <w:tc>
          <w:tcPr>
            <w:tcW w:w="3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72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0.1%  $</w:t>
            </w: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14,268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8"/>
                <w:szCs w:val="18"/>
                <w:color w:val="auto"/>
              </w:rPr>
            </w:pPr>
          </w:p>
        </w:tc>
        <w:tc>
          <w:tcPr>
            <w:tcW w:w="3540" w:type="dxa"/>
            <w:vAlign w:val="bottom"/>
            <w:gridSpan w:val="2"/>
            <w:vMerge w:val="continue"/>
            <w:shd w:val="clear" w:color="auto" w:fill="CCEEFF"/>
          </w:tcPr>
          <w:p>
            <w:pPr>
              <w:spacing w:after="0"/>
              <w:rPr>
                <w:sz w:val="18"/>
                <w:szCs w:val="18"/>
                <w:color w:val="auto"/>
              </w:rPr>
            </w:pPr>
          </w:p>
        </w:tc>
        <w:tc>
          <w:tcPr>
            <w:tcW w:w="1720" w:type="dxa"/>
            <w:vAlign w:val="bottom"/>
            <w:gridSpan w:val="3"/>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US Bank Money Market Account </w:t>
            </w:r>
            <w:r>
              <w:rPr>
                <w:rFonts w:ascii="Arial" w:cs="Arial" w:eastAsia="Arial" w:hAnsi="Arial"/>
                <w:sz w:val="30"/>
                <w:szCs w:val="30"/>
                <w:color w:val="auto"/>
                <w:vertAlign w:val="superscript"/>
              </w:rPr>
              <w:t>9</w:t>
            </w:r>
          </w:p>
        </w:tc>
        <w:tc>
          <w:tcPr>
            <w:tcW w:w="3540" w:type="dxa"/>
            <w:vAlign w:val="bottom"/>
            <w:gridSpan w:val="2"/>
          </w:tcPr>
          <w:p>
            <w:pPr>
              <w:spacing w:after="0"/>
              <w:rPr>
                <w:sz w:val="20"/>
                <w:szCs w:val="20"/>
                <w:color w:val="auto"/>
              </w:rPr>
            </w:pPr>
            <w:r>
              <w:rPr>
                <w:rFonts w:ascii="Arial" w:cs="Arial" w:eastAsia="Arial" w:hAnsi="Arial"/>
                <w:sz w:val="18"/>
                <w:szCs w:val="18"/>
                <w:color w:val="auto"/>
              </w:rPr>
              <w:t>Money Market Account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15,365,445</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15,365,445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Time Deposit and</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Money Market Accounts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(8% of 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15,379,713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15,379,713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560" w:type="dxa"/>
            <w:vAlign w:val="bottom"/>
            <w:gridSpan w:val="2"/>
          </w:tcPr>
          <w:p>
            <w:pPr>
              <w:spacing w:after="0" w:line="218" w:lineRule="exact"/>
              <w:rPr>
                <w:sz w:val="20"/>
                <w:szCs w:val="20"/>
                <w:color w:val="auto"/>
              </w:rPr>
            </w:pPr>
            <w:r>
              <w:rPr>
                <w:rFonts w:ascii="Arial" w:cs="Arial" w:eastAsia="Arial" w:hAnsi="Arial"/>
                <w:sz w:val="16"/>
                <w:szCs w:val="16"/>
                <w:b w:val="1"/>
                <w:bCs w:val="1"/>
                <w:color w:val="auto"/>
              </w:rPr>
              <w:t xml:space="preserve">Total Investments </w:t>
            </w:r>
            <w:r>
              <w:rPr>
                <w:rFonts w:ascii="Arial" w:cs="Arial" w:eastAsia="Arial" w:hAnsi="Arial"/>
                <w:sz w:val="25"/>
                <w:szCs w:val="25"/>
                <w:b w:val="1"/>
                <w:bCs w:val="1"/>
                <w:color w:val="auto"/>
                <w:vertAlign w:val="superscript"/>
              </w:rPr>
              <w:t>4</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560" w:type="dxa"/>
            <w:vAlign w:val="bottom"/>
            <w:gridSpan w:val="2"/>
          </w:tcPr>
          <w:p>
            <w:pPr>
              <w:ind w:left="180"/>
              <w:spacing w:after="0"/>
              <w:rPr>
                <w:sz w:val="20"/>
                <w:szCs w:val="20"/>
                <w:color w:val="auto"/>
              </w:rPr>
            </w:pPr>
            <w:r>
              <w:rPr>
                <w:rFonts w:ascii="Arial" w:cs="Arial" w:eastAsia="Arial" w:hAnsi="Arial"/>
                <w:sz w:val="18"/>
                <w:szCs w:val="18"/>
                <w:b w:val="1"/>
                <w:bCs w:val="1"/>
                <w:color w:val="auto"/>
              </w:rPr>
              <w:t>(186% of net asset value at fair value)</w:t>
            </w:r>
          </w:p>
        </w:tc>
        <w:tc>
          <w:tcPr>
            <w:tcW w:w="3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422,664,283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372,213,564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451" w:gutter="0" w:footer="0" w:header="0"/>
        </w:sectPr>
      </w:pPr>
    </w:p>
    <w:bookmarkStart w:id="17" w:name="page18"/>
    <w:bookmarkEnd w:id="17"/>
    <w:p>
      <w:pPr>
        <w:ind w:left="446" w:right="80" w:hanging="446"/>
        <w:spacing w:after="0" w:line="247" w:lineRule="auto"/>
        <w:tabs>
          <w:tab w:leader="none" w:pos="446"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September 30, 2016. As noted in the table above,</w:t>
      </w:r>
    </w:p>
    <w:p>
      <w:pPr>
        <w:spacing w:after="0" w:line="3" w:lineRule="exact"/>
        <w:rPr>
          <w:sz w:val="20"/>
          <w:szCs w:val="20"/>
          <w:color w:val="auto"/>
        </w:rPr>
      </w:pPr>
    </w:p>
    <w:p>
      <w:pPr>
        <w:ind w:left="446"/>
        <w:spacing w:after="0"/>
        <w:rPr>
          <w:sz w:val="20"/>
          <w:szCs w:val="20"/>
          <w:color w:val="auto"/>
        </w:rPr>
      </w:pPr>
      <w:r>
        <w:rPr>
          <w:rFonts w:ascii="Arial" w:cs="Arial" w:eastAsia="Arial" w:hAnsi="Arial"/>
          <w:sz w:val="18"/>
          <w:szCs w:val="18"/>
          <w:color w:val="auto"/>
        </w:rPr>
        <w:t>85% (based on par) of debt securities contain LIBOR floors which range between 0.75% and 3.0%.</w:t>
      </w:r>
    </w:p>
    <w:p>
      <w:pPr>
        <w:ind w:left="446" w:hanging="446"/>
        <w:spacing w:after="0" w:line="180" w:lineRule="auto"/>
        <w:tabs>
          <w:tab w:leader="none" w:pos="446"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Reflects the fair market value of all investments as of September 30, 2016, as determined by the Company’s Board of Directors.</w:t>
      </w:r>
    </w:p>
    <w:p>
      <w:pPr>
        <w:ind w:left="446" w:hanging="446"/>
        <w:spacing w:after="0" w:line="181" w:lineRule="auto"/>
        <w:tabs>
          <w:tab w:leader="none" w:pos="446"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spacing w:after="0" w:line="2" w:lineRule="exact"/>
        <w:rPr>
          <w:sz w:val="20"/>
          <w:szCs w:val="20"/>
          <w:color w:val="auto"/>
        </w:rPr>
      </w:pPr>
    </w:p>
    <w:p>
      <w:pPr>
        <w:ind w:left="446" w:hanging="446"/>
        <w:spacing w:after="0" w:line="204" w:lineRule="auto"/>
        <w:tabs>
          <w:tab w:leader="none" w:pos="446"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$441 million. The aggregate gross unrealized appreciation is approximately $1.0 million, the aggregate gross unrealized depreciation is approximately $70.2 million, and the net unrealized depreciation is approximately $69.2 million.</w:t>
      </w:r>
    </w:p>
    <w:p>
      <w:pPr>
        <w:ind w:left="446" w:hanging="446"/>
        <w:spacing w:after="0" w:line="181" w:lineRule="auto"/>
        <w:tabs>
          <w:tab w:leader="none" w:pos="446"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ind w:left="446" w:hanging="446"/>
        <w:spacing w:after="0" w:line="181" w:lineRule="auto"/>
        <w:tabs>
          <w:tab w:leader="none" w:pos="446"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446" w:hanging="446"/>
        <w:spacing w:after="0" w:line="180" w:lineRule="auto"/>
        <w:tabs>
          <w:tab w:leader="none" w:pos="446"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446" w:hanging="446"/>
        <w:spacing w:after="0" w:line="181" w:lineRule="auto"/>
        <w:tabs>
          <w:tab w:leader="none" w:pos="446"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446" w:hanging="446"/>
        <w:spacing w:after="0" w:line="180" w:lineRule="auto"/>
        <w:tabs>
          <w:tab w:leader="none" w:pos="446"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spacing w:after="0" w:line="2" w:lineRule="exact"/>
        <w:rPr>
          <w:sz w:val="20"/>
          <w:szCs w:val="20"/>
          <w:color w:val="auto"/>
        </w:rPr>
      </w:pPr>
    </w:p>
    <w:p>
      <w:pPr>
        <w:ind w:left="446" w:right="460" w:hanging="446"/>
        <w:spacing w:after="0" w:line="187" w:lineRule="auto"/>
        <w:tabs>
          <w:tab w:leader="none" w:pos="446"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As of September 30, 2016, this investment is owned by KCAP Senior Funding I, LLC and was pledged to secure KCAP Senior Funding I, LLC’s obligation.</w:t>
      </w:r>
    </w:p>
    <w:p>
      <w:pPr>
        <w:jc w:val="both"/>
        <w:ind w:left="446" w:right="40" w:hanging="446"/>
        <w:spacing w:after="0" w:line="214" w:lineRule="auto"/>
        <w:tabs>
          <w:tab w:leader="none" w:pos="446"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3" w:lineRule="exact"/>
        <w:rPr>
          <w:rFonts w:ascii="Arial" w:cs="Arial" w:eastAsia="Arial" w:hAnsi="Arial"/>
          <w:sz w:val="30"/>
          <w:szCs w:val="30"/>
          <w:color w:val="auto"/>
          <w:vertAlign w:val="superscript"/>
        </w:rPr>
      </w:pPr>
    </w:p>
    <w:p>
      <w:pPr>
        <w:ind w:left="446" w:hanging="446"/>
        <w:spacing w:after="0" w:line="180" w:lineRule="auto"/>
        <w:tabs>
          <w:tab w:leader="none" w:pos="446"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Non-voting.</w:t>
      </w:r>
    </w:p>
    <w:p>
      <w:pPr>
        <w:spacing w:after="0" w:line="2" w:lineRule="exact"/>
        <w:rPr>
          <w:rFonts w:ascii="Arial" w:cs="Arial" w:eastAsia="Arial" w:hAnsi="Arial"/>
          <w:sz w:val="25"/>
          <w:szCs w:val="25"/>
          <w:color w:val="auto"/>
          <w:vertAlign w:val="superscript"/>
        </w:rPr>
      </w:pPr>
    </w:p>
    <w:p>
      <w:pPr>
        <w:ind w:left="446" w:right="40" w:hanging="446"/>
        <w:spacing w:after="0" w:line="214" w:lineRule="auto"/>
        <w:tabs>
          <w:tab w:leader="none" w:pos="446"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00" w:lineRule="exact"/>
        <w:rPr>
          <w:sz w:val="20"/>
          <w:szCs w:val="20"/>
          <w:color w:val="auto"/>
        </w:rPr>
      </w:pPr>
    </w:p>
    <w:p>
      <w:pPr>
        <w:spacing w:after="0" w:line="219" w:lineRule="exact"/>
        <w:rPr>
          <w:sz w:val="20"/>
          <w:szCs w:val="20"/>
          <w:color w:val="auto"/>
        </w:rPr>
      </w:pPr>
    </w:p>
    <w:p>
      <w:pPr>
        <w:jc w:val="center"/>
        <w:ind w:right="-305"/>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6"/>
          </w:cols>
          <w:pgMar w:left="374" w:top="935" w:right="659" w:bottom="1440" w:gutter="0" w:footer="0" w:header="0"/>
        </w:sectPr>
      </w:pPr>
    </w:p>
    <w:bookmarkStart w:id="18" w:name="page19"/>
    <w:bookmarkEnd w:id="18"/>
    <w:p>
      <w:pPr>
        <w:jc w:val="center"/>
        <w:ind w:left="420"/>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As of December 31,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320"/>
          </w:cols>
          <w:pgMar w:left="240" w:top="904" w:right="339" w:bottom="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1A Smart Start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4L Technologies Inc. (fka Clover Holdings,</w:t>
      </w:r>
    </w:p>
    <w:p>
      <w:pPr>
        <w:ind w:left="180"/>
        <w:spacing w:after="0" w:line="184" w:lineRule="auto"/>
        <w:rPr>
          <w:sz w:val="20"/>
          <w:szCs w:val="20"/>
          <w:color w:val="auto"/>
        </w:rPr>
      </w:pPr>
      <w:r>
        <w:rPr>
          <w:rFonts w:ascii="Arial" w:cs="Arial" w:eastAsia="Arial" w:hAnsi="Arial"/>
          <w:sz w:val="33"/>
          <w:szCs w:val="33"/>
          <w:color w:val="auto"/>
          <w:vertAlign w:val="subscript"/>
        </w:rPr>
        <w:t>Inc.)</w:t>
      </w:r>
      <w:r>
        <w:rPr>
          <w:rFonts w:ascii="Arial" w:cs="Arial" w:eastAsia="Arial" w:hAnsi="Arial"/>
          <w:sz w:val="14"/>
          <w:szCs w:val="14"/>
          <w:color w:val="auto"/>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14" w:lineRule="auto"/>
        <w:rPr>
          <w:sz w:val="20"/>
          <w:szCs w:val="20"/>
          <w:color w:val="auto"/>
        </w:rPr>
      </w:pPr>
      <w:r>
        <w:rPr>
          <w:rFonts w:ascii="Arial" w:cs="Arial" w:eastAsia="Arial" w:hAnsi="Arial"/>
          <w:sz w:val="16"/>
          <w:szCs w:val="16"/>
          <w:color w:val="auto"/>
        </w:rPr>
        <w:t>Advanced Lighting Technologies, Inc.</w:t>
      </w:r>
      <w:r>
        <w:rPr>
          <w:rFonts w:ascii="Arial" w:cs="Arial" w:eastAsia="Arial" w:hAnsi="Arial"/>
          <w:sz w:val="26"/>
          <w:szCs w:val="26"/>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Alere Inc. (fka IM US Holdings, LLC)</w:t>
      </w:r>
      <w:r>
        <w:rPr>
          <w:rFonts w:ascii="Arial" w:cs="Arial" w:eastAsia="Arial" w:hAnsi="Arial"/>
          <w:sz w:val="30"/>
          <w:szCs w:val="30"/>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American Seafoods Group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Anaren,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388" w:lineRule="exact"/>
        <w:rPr>
          <w:sz w:val="20"/>
          <w:szCs w:val="20"/>
          <w:color w:val="auto"/>
        </w:rPr>
      </w:pPr>
    </w:p>
    <w:p>
      <w:pPr>
        <w:jc w:val="right"/>
        <w:ind w:right="920"/>
        <w:spacing w:after="0" w:line="255" w:lineRule="auto"/>
        <w:rPr>
          <w:sz w:val="20"/>
          <w:szCs w:val="20"/>
          <w:color w:val="auto"/>
        </w:rPr>
      </w:pPr>
      <w:r>
        <w:rPr>
          <w:rFonts w:ascii="Arial" w:cs="Arial" w:eastAsia="Arial" w:hAnsi="Arial"/>
          <w:sz w:val="16"/>
          <w:szCs w:val="16"/>
          <w:color w:val="auto"/>
        </w:rPr>
        <w:t>Aristotle Corporation, The</w:t>
      </w:r>
      <w:r>
        <w:rPr>
          <w:rFonts w:ascii="Arial" w:cs="Arial" w:eastAsia="Arial" w:hAnsi="Arial"/>
          <w:sz w:val="25"/>
          <w:szCs w:val="25"/>
          <w:color w:val="auto"/>
          <w:vertAlign w:val="superscript"/>
        </w:rPr>
        <w:t>(9), (10)</w:t>
      </w:r>
      <w:r>
        <w:rPr>
          <w:rFonts w:ascii="Arial" w:cs="Arial" w:eastAsia="Arial" w:hAnsi="Arial"/>
          <w:sz w:val="16"/>
          <w:szCs w:val="16"/>
          <w:color w:val="auto"/>
        </w:rPr>
        <w:t xml:space="preserve"> </w:t>
      </w:r>
      <w:r>
        <w:rPr>
          <w:rFonts w:ascii="Arial" w:cs="Arial" w:eastAsia="Arial" w:hAnsi="Arial"/>
          <w:sz w:val="16"/>
          <w:szCs w:val="16"/>
          <w:i w:val="1"/>
          <w:iCs w:val="1"/>
          <w:color w:val="auto"/>
        </w:rPr>
        <w:t>Consumer goods: Non-durable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Asurion, LLC (fka Asurion Corporation)</w:t>
      </w:r>
      <w:r>
        <w:rPr>
          <w:rFonts w:ascii="Arial" w:cs="Arial" w:eastAsia="Arial" w:hAnsi="Arial"/>
          <w:sz w:val="28"/>
          <w:szCs w:val="28"/>
          <w:color w:val="auto"/>
          <w:vertAlign w:val="superscript"/>
        </w:rPr>
        <w:t>(9),</w:t>
      </w: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Banking, Finance, Insurance &amp; Real Estate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Asurion, LLC (fka Asurion Corporation)</w:t>
      </w:r>
      <w:r>
        <w:rPr>
          <w:rFonts w:ascii="Arial" w:cs="Arial" w:eastAsia="Arial" w:hAnsi="Arial"/>
          <w:sz w:val="28"/>
          <w:szCs w:val="28"/>
          <w:color w:val="auto"/>
          <w:vertAlign w:val="superscript"/>
        </w:rPr>
        <w:t>(9),</w:t>
      </w: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Banking, Finance, Insurance &amp; Real Estate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Avalign Technologies,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8" w:lineRule="exact"/>
        <w:rPr>
          <w:sz w:val="20"/>
          <w:szCs w:val="20"/>
          <w:color w:val="auto"/>
        </w:rPr>
      </w:pPr>
    </w:p>
    <w:p>
      <w:pPr>
        <w:jc w:val="right"/>
        <w:ind w:right="900"/>
        <w:spacing w:after="0" w:line="288" w:lineRule="auto"/>
        <w:rPr>
          <w:sz w:val="20"/>
          <w:szCs w:val="20"/>
          <w:color w:val="auto"/>
        </w:rPr>
      </w:pPr>
      <w:r>
        <w:rPr>
          <w:rFonts w:ascii="Arial" w:cs="Arial" w:eastAsia="Arial" w:hAnsi="Arial"/>
          <w:sz w:val="15"/>
          <w:szCs w:val="15"/>
          <w:color w:val="auto"/>
        </w:rPr>
        <w:t>Avalign Technologies, Inc.</w:t>
      </w:r>
      <w:r>
        <w:rPr>
          <w:rFonts w:ascii="Arial" w:cs="Arial" w:eastAsia="Arial" w:hAnsi="Arial"/>
          <w:sz w:val="24"/>
          <w:szCs w:val="24"/>
          <w:color w:val="auto"/>
          <w:vertAlign w:val="superscript"/>
        </w:rPr>
        <w:t>(9), (10)</w:t>
      </w:r>
      <w:r>
        <w:rPr>
          <w:rFonts w:ascii="Arial" w:cs="Arial" w:eastAsia="Arial" w:hAnsi="Arial"/>
          <w:sz w:val="15"/>
          <w:szCs w:val="15"/>
          <w:color w:val="auto"/>
        </w:rPr>
        <w:t xml:space="preserve"> </w:t>
      </w:r>
      <w:r>
        <w:rPr>
          <w:rFonts w:ascii="Arial" w:cs="Arial" w:eastAsia="Arial" w:hAnsi="Arial"/>
          <w:sz w:val="15"/>
          <w:szCs w:val="15"/>
          <w:i w:val="1"/>
          <w:iCs w:val="1"/>
          <w:color w:val="auto"/>
        </w:rPr>
        <w:t>Healthcare &amp; Pharmaceuticals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BarBri, Inc. (Gemini Holdings, Inc.)</w:t>
      </w:r>
      <w:r>
        <w:rPr>
          <w:rFonts w:ascii="Arial" w:cs="Arial" w:eastAsia="Arial" w:hAnsi="Arial"/>
          <w:sz w:val="28"/>
          <w:szCs w:val="28"/>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Services: Consumer</w:t>
      </w:r>
    </w:p>
    <w:p>
      <w:pPr>
        <w:spacing w:after="0" w:line="172" w:lineRule="exact"/>
        <w:rPr>
          <w:sz w:val="20"/>
          <w:szCs w:val="20"/>
          <w:color w:val="auto"/>
        </w:rPr>
      </w:pPr>
    </w:p>
    <w:p>
      <w:pPr>
        <w:ind w:left="180" w:right="360" w:hanging="172"/>
        <w:spacing w:after="0" w:line="180" w:lineRule="auto"/>
        <w:tabs>
          <w:tab w:leader="none" w:pos="40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Industries US Holdings, Inc.</w:t>
      </w:r>
      <w:r>
        <w:rPr>
          <w:rFonts w:ascii="Arial" w:cs="Arial" w:eastAsia="Arial" w:hAnsi="Arial"/>
          <w:sz w:val="28"/>
          <w:szCs w:val="28"/>
          <w:color w:val="auto"/>
          <w:vertAlign w:val="superscript"/>
        </w:rPr>
        <w:t>(9), (10)</w:t>
      </w:r>
      <w:r>
        <w:rPr>
          <w:rFonts w:ascii="Arial" w:cs="Arial" w:eastAsia="Arial" w:hAnsi="Arial"/>
          <w:sz w:val="17"/>
          <w:szCs w:val="17"/>
          <w:color w:val="auto"/>
        </w:rPr>
        <w:t xml:space="preserve"> </w:t>
      </w:r>
      <w:r>
        <w:rPr>
          <w:rFonts w:ascii="Arial" w:cs="Arial" w:eastAsia="Arial" w:hAnsi="Arial"/>
          <w:sz w:val="17"/>
          <w:szCs w:val="17"/>
          <w:i w:val="1"/>
          <w:iCs w:val="1"/>
          <w:color w:val="auto"/>
        </w:rPr>
        <w:t>Automotive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Bellisio Foods,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Bestop,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Initial</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2/22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2,971,523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2,903,100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2,744,921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2,596,059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 Bond — 10.5%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06/2019 – 00753CAE2</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10.5% Cash, Due 6/19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2,216,700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1,002,069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915,700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B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2,553,466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2,555,910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2,536,179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3,971,219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3,937,332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1,891,210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1,877,288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1,839,202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3,961,696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3,870,152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Incremental Tranche B-1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5/19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917,632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918,953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862,290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Incremental Tranche B-4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8/22</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896,048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891,815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821,676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9.3%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990,643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952,400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2,911,472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2,831,108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6/18</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682,722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682,722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651,590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2,731,875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2,723,758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2,542,829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2,927,766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2,833,985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U.S. Term B</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8/19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1,936,011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1,929,952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1,886,836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Revolving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7/20</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34,509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-7546340</wp:posOffset>
            </wp:positionV>
            <wp:extent cx="724662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-6585585</wp:posOffset>
            </wp:positionV>
            <wp:extent cx="724662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-5624830</wp:posOffset>
            </wp:positionV>
            <wp:extent cx="7246620" cy="548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-4664710</wp:posOffset>
            </wp:positionV>
            <wp:extent cx="7246620" cy="548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-3566795</wp:posOffset>
            </wp:positionV>
            <wp:extent cx="7246620" cy="548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-2468880</wp:posOffset>
            </wp:positionV>
            <wp:extent cx="724662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-1645920</wp:posOffset>
            </wp:positionV>
            <wp:extent cx="7246620" cy="548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-548005</wp:posOffset>
            </wp:positionV>
            <wp:extent cx="7246620" cy="548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-8540750</wp:posOffset>
            </wp:positionV>
            <wp:extent cx="7246620" cy="557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ectPr>
          <w:pgSz w:w="11900" w:h="16838" w:orient="portrait"/>
          <w:cols w:equalWidth="0" w:num="2">
            <w:col w:w="3340" w:space="220"/>
            <w:col w:w="7760"/>
          </w:cols>
          <w:pgMar w:left="240" w:top="904" w:right="339" w:bottom="0" w:gutter="0" w:footer="0" w:header="0"/>
          <w:type w:val="continuous"/>
        </w:sectPr>
      </w:pPr>
    </w:p>
    <w:bookmarkStart w:id="19" w:name="page20"/>
    <w:bookmarkEnd w:id="19"/>
    <w:p>
      <w:pPr>
        <w:ind w:left="3020"/>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0" w:name="page21"/>
    <w:bookmarkEnd w:id="20"/>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Bestop,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Carolina Beverage Group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CCS Intermediate Holdings,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Cengage Learning Acquisitions, Inc. (fka TL</w:t>
      </w:r>
    </w:p>
    <w:p>
      <w:pPr>
        <w:ind w:left="180"/>
        <w:spacing w:after="0" w:line="203" w:lineRule="auto"/>
        <w:rPr>
          <w:sz w:val="20"/>
          <w:szCs w:val="20"/>
          <w:color w:val="auto"/>
        </w:rPr>
      </w:pPr>
      <w:r>
        <w:rPr>
          <w:rFonts w:ascii="Arial" w:cs="Arial" w:eastAsia="Arial" w:hAnsi="Arial"/>
          <w:sz w:val="18"/>
          <w:szCs w:val="18"/>
          <w:color w:val="auto"/>
        </w:rPr>
        <w:t>Acquisitions,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Charter Communications Operating, LLC (aka</w:t>
      </w:r>
    </w:p>
    <w:p>
      <w:pPr>
        <w:ind w:left="180"/>
        <w:spacing w:after="0" w:line="202" w:lineRule="auto"/>
        <w:rPr>
          <w:sz w:val="20"/>
          <w:szCs w:val="20"/>
          <w:color w:val="auto"/>
        </w:rPr>
      </w:pPr>
      <w:r>
        <w:rPr>
          <w:rFonts w:ascii="Arial" w:cs="Arial" w:eastAsia="Arial" w:hAnsi="Arial"/>
          <w:sz w:val="18"/>
          <w:szCs w:val="18"/>
          <w:color w:val="auto"/>
        </w:rPr>
        <w:t>CCO Safari LLC)</w:t>
      </w:r>
      <w:r>
        <w:rPr>
          <w:rFonts w:ascii="Arial" w:cs="Arial" w:eastAsia="Arial" w:hAnsi="Arial"/>
          <w:sz w:val="30"/>
          <w:szCs w:val="30"/>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Checkout Holding Corp. (fka Catalina</w:t>
      </w:r>
    </w:p>
    <w:p>
      <w:pPr>
        <w:ind w:left="180"/>
        <w:spacing w:after="0" w:line="186" w:lineRule="auto"/>
        <w:rPr>
          <w:sz w:val="20"/>
          <w:szCs w:val="20"/>
          <w:color w:val="auto"/>
        </w:rPr>
      </w:pPr>
      <w:r>
        <w:rPr>
          <w:rFonts w:ascii="Arial" w:cs="Arial" w:eastAsia="Arial" w:hAnsi="Arial"/>
          <w:sz w:val="18"/>
          <w:szCs w:val="18"/>
          <w:color w:val="auto"/>
        </w:rPr>
        <w:t>Marketing)</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CHS/Community Health Systems, Inc.</w:t>
      </w:r>
      <w:r>
        <w:rPr>
          <w:rFonts w:ascii="Arial" w:cs="Arial" w:eastAsia="Arial" w:hAnsi="Arial"/>
          <w:sz w:val="28"/>
          <w:szCs w:val="28"/>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Consolidated Communications, Inc.</w:t>
      </w:r>
      <w:r>
        <w:rPr>
          <w:rFonts w:ascii="Arial" w:cs="Arial" w:eastAsia="Arial" w:hAnsi="Arial"/>
          <w:sz w:val="30"/>
          <w:szCs w:val="30"/>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CRGT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Crowley Holdings Preferred,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Crowne Group,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CSM Bakery Solutions Limited (fka CSM</w:t>
      </w:r>
    </w:p>
    <w:p>
      <w:pPr>
        <w:ind w:left="180"/>
        <w:spacing w:after="0" w:line="195" w:lineRule="auto"/>
        <w:rPr>
          <w:sz w:val="20"/>
          <w:szCs w:val="20"/>
          <w:color w:val="auto"/>
        </w:rPr>
      </w:pPr>
      <w:r>
        <w:rPr>
          <w:rFonts w:ascii="Arial" w:cs="Arial" w:eastAsia="Arial" w:hAnsi="Arial"/>
          <w:sz w:val="18"/>
          <w:szCs w:val="18"/>
          <w:color w:val="auto"/>
        </w:rPr>
        <w:t>Bakery Supplies Limited)</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69" w:lineRule="exact"/>
        <w:rPr>
          <w:sz w:val="20"/>
          <w:szCs w:val="20"/>
          <w:color w:val="auto"/>
        </w:rPr>
      </w:pPr>
    </w:p>
    <w:p>
      <w:pPr>
        <w:ind w:left="180" w:right="40" w:hanging="179"/>
        <w:spacing w:after="0" w:line="242" w:lineRule="auto"/>
        <w:rPr>
          <w:sz w:val="20"/>
          <w:szCs w:val="20"/>
          <w:color w:val="auto"/>
        </w:rPr>
      </w:pPr>
      <w:r>
        <w:rPr>
          <w:rFonts w:ascii="Arial" w:cs="Arial" w:eastAsia="Arial" w:hAnsi="Arial"/>
          <w:sz w:val="16"/>
          <w:szCs w:val="16"/>
          <w:color w:val="auto"/>
        </w:rPr>
        <w:t>CT Technologies Intermediate Holdings, Inc. (Smart Holdings Corp.) (aka HealthPort)</w:t>
      </w:r>
      <w:r>
        <w:rPr>
          <w:rFonts w:ascii="Arial" w:cs="Arial" w:eastAsia="Arial" w:hAnsi="Arial"/>
          <w:sz w:val="26"/>
          <w:szCs w:val="26"/>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95" w:lineRule="auto"/>
        <w:rPr>
          <w:sz w:val="20"/>
          <w:szCs w:val="20"/>
          <w:color w:val="auto"/>
        </w:rPr>
      </w:pPr>
      <w:r>
        <w:rPr>
          <w:rFonts w:ascii="Arial" w:cs="Arial" w:eastAsia="Arial" w:hAnsi="Arial"/>
          <w:sz w:val="18"/>
          <w:szCs w:val="18"/>
          <w:color w:val="auto"/>
        </w:rPr>
        <w:t>DBI Holding LLC</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DBI Holding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DJO Finance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Drew Marine Group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ELO Touch Solutions,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Term Loan</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1,580,000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1,557,976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1,460,868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Bond — 10.625%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08/2018 – 143818AA0 144A</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10.6% Cash, Due 8/18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1,510,560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1,503,752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2,950,638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2,549,824</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3/20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2,979,950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2,974,534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2,912,901</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I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3.5% Cash, 0.8%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1,001,223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1,000,420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4/21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985,000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981,284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792,925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Incremental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2021 Term H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1,994,987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1,992,571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1,967,915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2,971,404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2,947,421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3,912,342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3,861,177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3,750,762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Preferred Stock — 12.000%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12/2049 – Series A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Preferred Securities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10.0% Cash, 2.0% PIK, Due 12/49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10,411,673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10,411,673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11,036,373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9/20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3,902,980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3,664,810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8.8%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3,013,843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2,827,500</w:t>
            </w:r>
          </w:p>
        </w:tc>
        <w:tc>
          <w:tcPr>
            <w:tcW w:w="0" w:type="dxa"/>
            <w:vAlign w:val="bottom"/>
          </w:tcPr>
          <w:p>
            <w:pPr>
              <w:spacing w:after="0"/>
              <w:rPr>
                <w:sz w:val="1"/>
                <w:szCs w:val="1"/>
                <w:color w:val="auto"/>
              </w:rPr>
            </w:pPr>
          </w:p>
        </w:tc>
      </w:tr>
      <w:tr>
        <w:trPr>
          <w:trHeight w:val="445"/>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2,970,075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2,942,705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2,877,260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Unsecured Bond — 09/2019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PIK Note 0.0% Cash, 16.0% PIK,</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9/19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4,043,719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3,859,845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4,043,722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Subordinated Bond — 09/2019</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 Senior Subordinated Note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12.0% Cash, 4.0% PIK, Due 9/19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4,481,135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4,466,793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4,615,571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1,490,906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1,464,375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8.0%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2,495,491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2,495,000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8.0% Cash, 1.5%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60" w:type="dxa"/>
            <w:vAlign w:val="bottom"/>
            <w:gridSpan w:val="2"/>
          </w:tcPr>
          <w:p>
            <w:pPr>
              <w:spacing w:after="0"/>
              <w:rPr>
                <w:sz w:val="20"/>
                <w:szCs w:val="20"/>
                <w:color w:val="auto"/>
              </w:rPr>
            </w:pPr>
            <w:r>
              <w:rPr>
                <w:rFonts w:ascii="Arial" w:cs="Arial" w:eastAsia="Arial" w:hAnsi="Arial"/>
                <w:sz w:val="18"/>
                <w:szCs w:val="18"/>
                <w:color w:val="auto"/>
              </w:rPr>
              <w:t>Due 6/18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1,552,326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1,507,787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1,546,893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-8162290</wp:posOffset>
            </wp:positionV>
            <wp:extent cx="7246620" cy="548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-7176135</wp:posOffset>
            </wp:positionV>
            <wp:extent cx="7246620" cy="437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-6189980</wp:posOffset>
            </wp:positionV>
            <wp:extent cx="7246620" cy="548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-5092065</wp:posOffset>
            </wp:positionV>
            <wp:extent cx="724662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-4131945</wp:posOffset>
            </wp:positionV>
            <wp:extent cx="7246620" cy="548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-3034030</wp:posOffset>
            </wp:positionV>
            <wp:extent cx="7246620" cy="565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5657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-2056130</wp:posOffset>
            </wp:positionV>
            <wp:extent cx="7246620"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-1096010</wp:posOffset>
            </wp:positionV>
            <wp:extent cx="7246620" cy="548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-8994140</wp:posOffset>
            </wp:positionV>
            <wp:extent cx="7246620" cy="420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80" w:space="180"/>
            <w:col w:w="7860"/>
          </w:cols>
          <w:pgMar w:left="240" w:top="904" w:right="239" w:bottom="0" w:gutter="0" w:footer="0" w:header="0"/>
        </w:sectPr>
      </w:pPr>
    </w:p>
    <w:tbl>
      <w:tblPr>
        <w:tblLayout w:type="fixed"/>
        <w:tblInd w:w="0" w:type="dxa"/>
        <w:tblCellMar>
          <w:top w:w="0" w:type="dxa"/>
          <w:left w:w="0" w:type="dxa"/>
          <w:bottom w:w="0" w:type="dxa"/>
          <w:right w:w="0" w:type="dxa"/>
        </w:tblCellMar>
      </w:tblPr>
      <w:tr>
        <w:trPr>
          <w:trHeight w:val="204"/>
        </w:trPr>
        <w:tc>
          <w:tcPr>
            <w:tcW w:w="34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99"/>
              </w:rPr>
              <w:t>EWT Holdings III Corp. (fka WTG Holdings</w:t>
            </w:r>
          </w:p>
        </w:tc>
        <w:tc>
          <w:tcPr>
            <w:tcW w:w="3460" w:type="dxa"/>
            <w:vAlign w:val="bottom"/>
            <w:shd w:val="clear" w:color="auto" w:fill="CCEEFF"/>
          </w:tcPr>
          <w:p>
            <w:pPr>
              <w:ind w:left="140"/>
              <w:spacing w:after="0" w:line="204" w:lineRule="exact"/>
              <w:rPr>
                <w:sz w:val="20"/>
                <w:szCs w:val="20"/>
                <w:color w:val="auto"/>
              </w:rPr>
            </w:pPr>
            <w:r>
              <w:rPr>
                <w:rFonts w:ascii="Arial" w:cs="Arial" w:eastAsia="Arial" w:hAnsi="Arial"/>
                <w:sz w:val="18"/>
                <w:szCs w:val="18"/>
                <w:color w:val="auto"/>
              </w:rPr>
              <w:t>Junior Secured Loan — Term Loan</w:t>
            </w:r>
          </w:p>
        </w:tc>
        <w:tc>
          <w:tcPr>
            <w:tcW w:w="18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180"/>
              <w:spacing w:after="0" w:line="217" w:lineRule="exact"/>
              <w:rPr>
                <w:sz w:val="20"/>
                <w:szCs w:val="20"/>
                <w:color w:val="auto"/>
              </w:rPr>
            </w:pPr>
            <w:r>
              <w:rPr>
                <w:rFonts w:ascii="Arial" w:cs="Arial" w:eastAsia="Arial" w:hAnsi="Arial"/>
                <w:sz w:val="16"/>
                <w:szCs w:val="16"/>
                <w:color w:val="auto"/>
              </w:rPr>
              <w:t>III Corp.)</w:t>
            </w:r>
            <w:r>
              <w:rPr>
                <w:rFonts w:ascii="Arial" w:cs="Arial" w:eastAsia="Arial" w:hAnsi="Arial"/>
                <w:sz w:val="25"/>
                <w:szCs w:val="25"/>
                <w:color w:val="auto"/>
                <w:vertAlign w:val="superscript"/>
              </w:rPr>
              <w:t>(9)</w:t>
            </w:r>
          </w:p>
        </w:tc>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Lien)</w:t>
            </w:r>
          </w:p>
        </w:tc>
        <w:tc>
          <w:tcPr>
            <w:tcW w:w="1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Environmental Industries</w:t>
            </w:r>
          </w:p>
        </w:tc>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8.5% Cash, 1.0% Libor Floor,</w:t>
            </w:r>
          </w:p>
        </w:tc>
        <w:tc>
          <w:tcPr>
            <w:tcW w:w="18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4,000,000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3,984,890</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3,658,400</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19"/>
                <w:szCs w:val="19"/>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1/22</w:t>
            </w:r>
          </w:p>
        </w:tc>
        <w:tc>
          <w:tcPr>
            <w:tcW w:w="18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type w:val="continuous"/>
        </w:sectPr>
      </w:pPr>
    </w:p>
    <w:bookmarkStart w:id="21" w:name="page22"/>
    <w:bookmarkEnd w:id="21"/>
    <w:p>
      <w:pPr>
        <w:ind w:left="3020"/>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2" w:name="page23"/>
    <w:bookmarkEnd w:id="22"/>
    <w:p>
      <w:pPr>
        <w:spacing w:after="0" w:line="25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b w:val="1"/>
          <w:bCs w:val="1"/>
          <w:color w:val="auto"/>
        </w:rPr>
        <w:t xml:space="preserve">Portfolio Company/Principal Business </w:t>
      </w:r>
      <w:r>
        <w:rPr>
          <w:rFonts w:ascii="Arial" w:cs="Arial" w:eastAsia="Arial" w:hAnsi="Arial"/>
          <w:sz w:val="16"/>
          <w:szCs w:val="16"/>
          <w:color w:val="auto"/>
        </w:rPr>
        <w:t>Fender Musical Instruments Corporation</w:t>
      </w:r>
      <w:r>
        <w:rPr>
          <w:rFonts w:ascii="Arial" w:cs="Arial" w:eastAsia="Arial" w:hAnsi="Arial"/>
          <w:sz w:val="26"/>
          <w:szCs w:val="26"/>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195" w:lineRule="auto"/>
        <w:rPr>
          <w:sz w:val="20"/>
          <w:szCs w:val="20"/>
          <w:color w:val="auto"/>
        </w:rPr>
      </w:pPr>
      <w:r>
        <w:rPr>
          <w:rFonts w:ascii="Arial" w:cs="Arial" w:eastAsia="Arial" w:hAnsi="Arial"/>
          <w:sz w:val="18"/>
          <w:szCs w:val="18"/>
          <w:color w:val="auto"/>
        </w:rPr>
        <w:t>FHC Health Systems,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8" w:lineRule="exact"/>
        <w:rPr>
          <w:sz w:val="20"/>
          <w:szCs w:val="20"/>
          <w:color w:val="auto"/>
        </w:rPr>
      </w:pPr>
    </w:p>
    <w:p>
      <w:pPr>
        <w:ind w:left="180" w:right="40" w:hanging="179"/>
        <w:spacing w:after="0"/>
        <w:rPr>
          <w:sz w:val="20"/>
          <w:szCs w:val="20"/>
          <w:color w:val="auto"/>
        </w:rPr>
      </w:pPr>
      <w:r>
        <w:rPr>
          <w:rFonts w:ascii="Arial" w:cs="Arial" w:eastAsia="Arial" w:hAnsi="Arial"/>
          <w:sz w:val="16"/>
          <w:szCs w:val="16"/>
          <w:color w:val="auto"/>
        </w:rPr>
        <w:t>First American Payment Systems, L.P.</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w:t>
      </w:r>
      <w:r>
        <w:rPr>
          <w:rFonts w:ascii="Arial" w:cs="Arial" w:eastAsia="Arial" w:hAnsi="Arial"/>
          <w:sz w:val="16"/>
          <w:szCs w:val="16"/>
          <w:i w:val="1"/>
          <w:iCs w:val="1"/>
          <w:color w:val="auto"/>
        </w:rPr>
        <w:t>Banking, Finance, Insurance &amp; Real Estate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Getty Images,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GI Advo Opco,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GI Advo Opco,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GK Holdings, Inc. (aka Global Knowledge)</w:t>
      </w:r>
      <w:r>
        <w:rPr>
          <w:rFonts w:ascii="Arial" w:cs="Arial" w:eastAsia="Arial" w:hAnsi="Arial"/>
          <w:sz w:val="26"/>
          <w:szCs w:val="26"/>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GK Holdings, Inc. (aka Global Knowledge)</w:t>
      </w:r>
      <w:r>
        <w:rPr>
          <w:rFonts w:ascii="Arial" w:cs="Arial" w:eastAsia="Arial" w:hAnsi="Arial"/>
          <w:sz w:val="26"/>
          <w:szCs w:val="26"/>
          <w:color w:val="auto"/>
          <w:vertAlign w:val="superscript"/>
        </w:rPr>
        <w:t>(9),</w:t>
      </w: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Global Tel*Link Corporation</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381" w:lineRule="exact"/>
        <w:rPr>
          <w:sz w:val="20"/>
          <w:szCs w:val="20"/>
          <w:color w:val="auto"/>
        </w:rPr>
      </w:pPr>
    </w:p>
    <w:p>
      <w:pPr>
        <w:jc w:val="center"/>
        <w:ind w:right="900"/>
        <w:spacing w:after="0"/>
        <w:rPr>
          <w:sz w:val="20"/>
          <w:szCs w:val="20"/>
          <w:color w:val="auto"/>
        </w:rPr>
      </w:pPr>
      <w:r>
        <w:rPr>
          <w:rFonts w:ascii="Arial" w:cs="Arial" w:eastAsia="Arial" w:hAnsi="Arial"/>
          <w:sz w:val="15"/>
          <w:szCs w:val="15"/>
          <w:color w:val="auto"/>
        </w:rPr>
        <w:t>Gold Standard Baking, Inc.</w:t>
      </w:r>
      <w:r>
        <w:rPr>
          <w:rFonts w:ascii="Arial" w:cs="Arial" w:eastAsia="Arial" w:hAnsi="Arial"/>
          <w:sz w:val="24"/>
          <w:szCs w:val="24"/>
          <w:color w:val="auto"/>
          <w:vertAlign w:val="superscript"/>
        </w:rPr>
        <w:t>(9), (10)</w:t>
      </w:r>
    </w:p>
    <w:p>
      <w:pPr>
        <w:jc w:val="center"/>
        <w:ind w:right="900"/>
        <w:spacing w:after="0"/>
        <w:rPr>
          <w:sz w:val="20"/>
          <w:szCs w:val="20"/>
          <w:color w:val="auto"/>
        </w:rPr>
      </w:pPr>
      <w:r>
        <w:rPr>
          <w:rFonts w:ascii="Arial" w:cs="Arial" w:eastAsia="Arial" w:hAnsi="Arial"/>
          <w:sz w:val="18"/>
          <w:szCs w:val="18"/>
          <w:i w:val="1"/>
          <w:iCs w:val="1"/>
          <w:color w:val="auto"/>
        </w:rPr>
        <w:t>Beverage, Food and Tobacco</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Grande Communications Networks LLC</w:t>
      </w:r>
      <w:r>
        <w:rPr>
          <w:rFonts w:ascii="Arial" w:cs="Arial" w:eastAsia="Arial" w:hAnsi="Arial"/>
          <w:sz w:val="28"/>
          <w:szCs w:val="28"/>
          <w:color w:val="auto"/>
          <w:vertAlign w:val="superscript"/>
        </w:rPr>
        <w:t>(9),</w:t>
      </w: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Grifols Worldwide Operations Limited</w:t>
      </w:r>
      <w:r>
        <w:rPr>
          <w:rFonts w:ascii="Arial" w:cs="Arial" w:eastAsia="Arial" w:hAnsi="Arial"/>
          <w:sz w:val="30"/>
          <w:szCs w:val="30"/>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Gymboree Corporation., The</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Retail</w:t>
      </w:r>
    </w:p>
    <w:p>
      <w:pPr>
        <w:spacing w:after="0" w:line="169" w:lineRule="exact"/>
        <w:rPr>
          <w:sz w:val="20"/>
          <w:szCs w:val="20"/>
          <w:color w:val="auto"/>
        </w:rPr>
      </w:pPr>
    </w:p>
    <w:p>
      <w:pPr>
        <w:ind w:left="180" w:right="180" w:hanging="179"/>
        <w:spacing w:after="0" w:line="212" w:lineRule="auto"/>
        <w:rPr>
          <w:sz w:val="20"/>
          <w:szCs w:val="20"/>
          <w:color w:val="auto"/>
        </w:rPr>
      </w:pPr>
      <w:r>
        <w:rPr>
          <w:rFonts w:ascii="Arial" w:cs="Arial" w:eastAsia="Arial" w:hAnsi="Arial"/>
          <w:sz w:val="18"/>
          <w:szCs w:val="18"/>
          <w:color w:val="auto"/>
        </w:rPr>
        <w:t>Hargray Communications Group, Inc. (HCP Acquisition LLC)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169" w:lineRule="exact"/>
        <w:rPr>
          <w:sz w:val="20"/>
          <w:szCs w:val="20"/>
          <w:color w:val="auto"/>
        </w:rPr>
      </w:pPr>
    </w:p>
    <w:p>
      <w:pPr>
        <w:ind w:left="180" w:right="260" w:hanging="179"/>
        <w:spacing w:after="0" w:line="212" w:lineRule="auto"/>
        <w:rPr>
          <w:sz w:val="20"/>
          <w:szCs w:val="20"/>
          <w:color w:val="auto"/>
        </w:rPr>
      </w:pPr>
      <w:r>
        <w:rPr>
          <w:rFonts w:ascii="Arial" w:cs="Arial" w:eastAsia="Arial" w:hAnsi="Arial"/>
          <w:sz w:val="18"/>
          <w:szCs w:val="18"/>
          <w:color w:val="auto"/>
        </w:rPr>
        <w:t>Harland Clarke Holdings Corp. (fka Clarke American Corp.)</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80" w:lineRule="exact"/>
        <w:rPr>
          <w:sz w:val="20"/>
          <w:szCs w:val="20"/>
          <w:color w:val="auto"/>
        </w:rPr>
      </w:pPr>
    </w:p>
    <w:p>
      <w:pPr>
        <w:ind w:left="180" w:right="260" w:hanging="179"/>
        <w:spacing w:after="0" w:line="212" w:lineRule="auto"/>
        <w:rPr>
          <w:sz w:val="20"/>
          <w:szCs w:val="20"/>
          <w:color w:val="auto"/>
        </w:rPr>
      </w:pPr>
      <w:r>
        <w:rPr>
          <w:rFonts w:ascii="Arial" w:cs="Arial" w:eastAsia="Arial" w:hAnsi="Arial"/>
          <w:sz w:val="18"/>
          <w:szCs w:val="18"/>
          <w:color w:val="auto"/>
        </w:rPr>
        <w:t>Harland Clarke Holdings Corp. (fka Clarke American Corp.)</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Hoffmaster Group,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Forest Products &amp; Paper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440" w:type="dxa"/>
            <w:vAlign w:val="bottom"/>
            <w:tcBorders>
              <w:bottom w:val="single" w:sz="8" w:color="auto"/>
            </w:tcBorders>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Loan</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4/19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1,434,249</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1,443,868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1,421,699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3,877,839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3,844,406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3,703,336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10.8%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2,796,448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2,768,177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2,639,288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4.8%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10/19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2,162,867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2,172,647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1,373,421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247,534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247,500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2,722,890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2,722,500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 (Second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1,473,884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1,382,550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2,453,994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2,345,805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9.0%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3,946,567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2,476,361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2,408,149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3,900,092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3,906,280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3,841,591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U.S. Tranche B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3.4% Cash, Due 2/21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997,462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995,001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989,732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8.5% Cash, 1.5%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2,893,169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2,917,500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13.8% Cash, Due 7/18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6,924,146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1.5%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2/18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1,421,105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1,410,511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734,001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2,895,294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2,878,392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2,893,267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Tranche B-3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7.0% Cash, 1.5%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3,281,250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3,259,381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3,271,078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Tranche B-4</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1,420,339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1,421,580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5/21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1,977,018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1,995,600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-8506460</wp:posOffset>
            </wp:positionV>
            <wp:extent cx="7246620" cy="548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-7408545</wp:posOffset>
            </wp:positionV>
            <wp:extent cx="7246620" cy="41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-6585585</wp:posOffset>
            </wp:positionV>
            <wp:extent cx="7246620" cy="548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-5487670</wp:posOffset>
            </wp:positionV>
            <wp:extent cx="7246620" cy="548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-4527550</wp:posOffset>
            </wp:positionV>
            <wp:extent cx="7246620" cy="548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-3566795</wp:posOffset>
            </wp:positionV>
            <wp:extent cx="7246620" cy="548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-2606675</wp:posOffset>
            </wp:positionV>
            <wp:extent cx="7246620" cy="411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-1645920</wp:posOffset>
            </wp:positionV>
            <wp:extent cx="7246620" cy="548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-548005</wp:posOffset>
            </wp:positionV>
            <wp:extent cx="7246620" cy="548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-9492615</wp:posOffset>
            </wp:positionV>
            <wp:extent cx="7246620" cy="437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ectPr>
          <w:pgSz w:w="11900" w:h="16838" w:orient="portrait"/>
          <w:cols w:equalWidth="0" w:num="2">
            <w:col w:w="3380" w:space="180"/>
            <w:col w:w="7760"/>
          </w:cols>
          <w:pgMar w:left="240" w:top="904" w:right="339" w:bottom="0" w:gutter="0" w:footer="0" w:header="0"/>
        </w:sectPr>
      </w:pPr>
    </w:p>
    <w:bookmarkStart w:id="23" w:name="page24"/>
    <w:bookmarkEnd w:id="23"/>
    <w:p>
      <w:pPr>
        <w:ind w:left="3020"/>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4" w:name="page25"/>
    <w:bookmarkEnd w:id="24"/>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Hoffmaster Group,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Forest Products &amp; Paper</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Hunter Defense Technologies, Inc.</w:t>
      </w:r>
      <w:r>
        <w:rPr>
          <w:rFonts w:ascii="Arial" w:cs="Arial" w:eastAsia="Arial" w:hAnsi="Arial"/>
          <w:sz w:val="28"/>
          <w:szCs w:val="28"/>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Integra Telecom Holdings,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Architectural Products, Inc.</w:t>
      </w:r>
      <w:r>
        <w:rPr>
          <w:rFonts w:ascii="Arial" w:cs="Arial" w:eastAsia="Arial" w:hAnsi="Arial"/>
          <w:sz w:val="26"/>
          <w:szCs w:val="26"/>
          <w:color w:val="auto"/>
          <w:vertAlign w:val="superscript"/>
        </w:rPr>
        <w:t>(7), (9)</w:t>
      </w:r>
    </w:p>
    <w:p>
      <w:pPr>
        <w:ind w:left="180"/>
        <w:spacing w:after="0"/>
        <w:rPr>
          <w:sz w:val="20"/>
          <w:szCs w:val="20"/>
          <w:color w:val="auto"/>
        </w:rPr>
      </w:pPr>
      <w:r>
        <w:rPr>
          <w:rFonts w:ascii="Arial" w:cs="Arial" w:eastAsia="Arial" w:hAnsi="Arial"/>
          <w:sz w:val="18"/>
          <w:szCs w:val="18"/>
          <w:i w:val="1"/>
          <w:iCs w:val="1"/>
          <w:color w:val="auto"/>
        </w:rPr>
        <w:t>Metals &amp; Mining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Kellermeyer Bergensons Services, LLC</w:t>
      </w:r>
      <w:r>
        <w:rPr>
          <w:rFonts w:ascii="Arial" w:cs="Arial" w:eastAsia="Arial" w:hAnsi="Arial"/>
          <w:sz w:val="25"/>
          <w:szCs w:val="25"/>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Key Safety Systems,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Kinetic Concepts,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Landslide Holdings, Inc. (Crimson Acquisition</w:t>
      </w:r>
    </w:p>
    <w:p>
      <w:pPr>
        <w:ind w:left="180"/>
        <w:spacing w:after="0" w:line="180" w:lineRule="auto"/>
        <w:rPr>
          <w:sz w:val="20"/>
          <w:szCs w:val="20"/>
          <w:color w:val="auto"/>
        </w:rPr>
      </w:pPr>
      <w:r>
        <w:rPr>
          <w:rFonts w:ascii="Arial" w:cs="Arial" w:eastAsia="Arial" w:hAnsi="Arial"/>
          <w:sz w:val="35"/>
          <w:szCs w:val="35"/>
          <w:color w:val="auto"/>
          <w:vertAlign w:val="subscript"/>
        </w:rPr>
        <w:t>Corp.)</w:t>
      </w:r>
      <w:r>
        <w:rPr>
          <w:rFonts w:ascii="Arial" w:cs="Arial" w:eastAsia="Arial" w:hAnsi="Arial"/>
          <w:sz w:val="15"/>
          <w:szCs w:val="15"/>
          <w:color w:val="auto"/>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MB Aerospace ACP Holdings II Corp.</w:t>
      </w:r>
      <w:r>
        <w:rPr>
          <w:rFonts w:ascii="Arial" w:cs="Arial" w:eastAsia="Arial" w:hAnsi="Arial"/>
          <w:sz w:val="26"/>
          <w:szCs w:val="26"/>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Medical Specialties Distributors, LLC</w:t>
      </w:r>
      <w:r>
        <w:rPr>
          <w:rFonts w:ascii="Arial" w:cs="Arial" w:eastAsia="Arial" w:hAnsi="Arial"/>
          <w:sz w:val="26"/>
          <w:szCs w:val="26"/>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72"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MGOC, Inc. (fka Media General, Inc.)</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w:t>
      </w:r>
      <w:r>
        <w:rPr>
          <w:rFonts w:ascii="Arial" w:cs="Arial" w:eastAsia="Arial" w:hAnsi="Arial"/>
          <w:sz w:val="16"/>
          <w:szCs w:val="16"/>
          <w:i w:val="1"/>
          <w:iCs w:val="1"/>
          <w:color w:val="auto"/>
        </w:rPr>
        <w:t>Media: Broadcasting &amp; Subscription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Nellson Nutraceutical,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Nellson Nutraceutical,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385" w:lineRule="exact"/>
        <w:rPr>
          <w:sz w:val="20"/>
          <w:szCs w:val="20"/>
          <w:color w:val="auto"/>
        </w:rPr>
      </w:pPr>
    </w:p>
    <w:p>
      <w:pPr>
        <w:ind w:left="180" w:right="260" w:hanging="179"/>
        <w:spacing w:after="0" w:line="212" w:lineRule="auto"/>
        <w:rPr>
          <w:sz w:val="20"/>
          <w:szCs w:val="20"/>
          <w:color w:val="auto"/>
        </w:rPr>
      </w:pPr>
      <w:r>
        <w:rPr>
          <w:rFonts w:ascii="Arial" w:cs="Arial" w:eastAsia="Arial" w:hAnsi="Arial"/>
          <w:sz w:val="18"/>
          <w:szCs w:val="18"/>
          <w:color w:val="auto"/>
        </w:rPr>
        <w:t>New Millennium Holdco, Inc. (Millennium Health, LLC)</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Nielsen &amp; Bainbrige,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388"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Nielsen &amp; Bainbrige, LLC</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w:t>
      </w:r>
      <w:r>
        <w:rPr>
          <w:rFonts w:ascii="Arial" w:cs="Arial" w:eastAsia="Arial" w:hAnsi="Arial"/>
          <w:sz w:val="16"/>
          <w:szCs w:val="16"/>
          <w:i w:val="1"/>
          <w:iCs w:val="1"/>
          <w:color w:val="auto"/>
        </w:rPr>
        <w:t>Consumer goods: Durable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Nielsen &amp; Bainbrige,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388" w:lineRule="exact"/>
        <w:rPr>
          <w:sz w:val="20"/>
          <w:szCs w:val="20"/>
          <w:color w:val="auto"/>
        </w:rPr>
      </w:pPr>
    </w:p>
    <w:p>
      <w:pPr>
        <w:ind w:left="180" w:right="520" w:hanging="179"/>
        <w:spacing w:after="0" w:line="193" w:lineRule="auto"/>
        <w:rPr>
          <w:sz w:val="20"/>
          <w:szCs w:val="20"/>
          <w:color w:val="auto"/>
        </w:rPr>
      </w:pPr>
      <w:r>
        <w:rPr>
          <w:rFonts w:ascii="Arial" w:cs="Arial" w:eastAsia="Arial" w:hAnsi="Arial"/>
          <w:sz w:val="16"/>
          <w:szCs w:val="16"/>
          <w:color w:val="auto"/>
        </w:rPr>
        <w:t>NM Z Parent Inc. (aka Zep, Inc.)</w:t>
      </w:r>
      <w:r>
        <w:rPr>
          <w:rFonts w:ascii="Arial" w:cs="Arial" w:eastAsia="Arial" w:hAnsi="Arial"/>
          <w:sz w:val="26"/>
          <w:szCs w:val="26"/>
          <w:color w:val="auto"/>
          <w:vertAlign w:val="superscript"/>
        </w:rPr>
        <w:t>(9), (10)</w:t>
      </w:r>
      <w:r>
        <w:rPr>
          <w:rFonts w:ascii="Arial" w:cs="Arial" w:eastAsia="Arial" w:hAnsi="Arial"/>
          <w:sz w:val="16"/>
          <w:szCs w:val="16"/>
          <w:color w:val="auto"/>
        </w:rPr>
        <w:t xml:space="preserve"> </w:t>
      </w:r>
      <w:r>
        <w:rPr>
          <w:rFonts w:ascii="Arial" w:cs="Arial" w:eastAsia="Arial" w:hAnsi="Arial"/>
          <w:sz w:val="16"/>
          <w:szCs w:val="16"/>
          <w:i w:val="1"/>
          <w:iCs w:val="1"/>
          <w:color w:val="auto"/>
        </w:rPr>
        <w:t>Chemicals, Plastics and Rubber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Initial Term</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3,940,000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3,911,276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3,887,480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2,792,045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2,616,469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B-1</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2,962,386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2,952,620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2,876,477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0.0% Cash, 3.3% PIK, 2.5% Libor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Floor, Due 5/15</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247,636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228,563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10/21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1,963,471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1,856,844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1,481,250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1,475,263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1,444,219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Dollar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E-1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2,957,007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2,864,700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New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3,421,556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3,428,320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3,417,450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990,055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3,894,315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3,918,040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2,717,813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2,720,620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2,690,635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A-1</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2,374,598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2,356,528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2,295,761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A-2</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2,092,907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2,076,283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2,023,422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Closing Date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1,016,626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1,016,626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889,548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8/20</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990,004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982,260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943,870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2,091,954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2,065,884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1,956,814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3,785,896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3,755,461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3,609,473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6/22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3,482,500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3,494,086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3,359,916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-8232140</wp:posOffset>
            </wp:positionV>
            <wp:extent cx="7246620"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-7408545</wp:posOffset>
            </wp:positionV>
            <wp:extent cx="7246620" cy="548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-6311265</wp:posOffset>
            </wp:positionV>
            <wp:extent cx="7246620" cy="548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-5213350</wp:posOffset>
            </wp:positionV>
            <wp:extent cx="7246620" cy="548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-4253230</wp:posOffset>
            </wp:positionV>
            <wp:extent cx="7246620"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-3292475</wp:posOffset>
            </wp:positionV>
            <wp:extent cx="7246620" cy="548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-2194560</wp:posOffset>
            </wp:positionV>
            <wp:extent cx="7246620" cy="548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-1097280</wp:posOffset>
            </wp:positionV>
            <wp:extent cx="7246620" cy="548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-9338310</wp:posOffset>
            </wp:positionV>
            <wp:extent cx="7246620" cy="557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2">
            <w:col w:w="3400" w:space="160"/>
            <w:col w:w="7760"/>
          </w:cols>
          <w:pgMar w:left="240" w:top="904" w:right="339" w:bottom="0" w:gutter="0" w:footer="0" w:header="0"/>
        </w:sectPr>
      </w:pPr>
    </w:p>
    <w:bookmarkStart w:id="25" w:name="page26"/>
    <w:bookmarkEnd w:id="25"/>
    <w:p>
      <w:pPr>
        <w:jc w:val="center"/>
        <w:ind w:right="-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6" w:name="page27"/>
    <w:bookmarkEnd w:id="26"/>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Novitex Acquisition, LLC (fka ARSloane</w:t>
      </w:r>
    </w:p>
    <w:p>
      <w:pPr>
        <w:ind w:left="180"/>
        <w:spacing w:after="0" w:line="195" w:lineRule="auto"/>
        <w:rPr>
          <w:sz w:val="20"/>
          <w:szCs w:val="20"/>
          <w:color w:val="auto"/>
        </w:rPr>
      </w:pPr>
      <w:r>
        <w:rPr>
          <w:rFonts w:ascii="Arial" w:cs="Arial" w:eastAsia="Arial" w:hAnsi="Arial"/>
          <w:sz w:val="18"/>
          <w:szCs w:val="18"/>
          <w:color w:val="auto"/>
        </w:rPr>
        <w:t>Acquisition, LLC)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Onex Carestream Finance LP</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1" w:lineRule="exact"/>
        <w:rPr>
          <w:sz w:val="20"/>
          <w:szCs w:val="20"/>
          <w:color w:val="auto"/>
        </w:rPr>
      </w:pPr>
    </w:p>
    <w:p>
      <w:pPr>
        <w:jc w:val="center"/>
        <w:ind w:right="800"/>
        <w:spacing w:after="0"/>
        <w:rPr>
          <w:sz w:val="20"/>
          <w:szCs w:val="20"/>
          <w:color w:val="auto"/>
        </w:rPr>
      </w:pPr>
      <w:r>
        <w:rPr>
          <w:rFonts w:ascii="Arial" w:cs="Arial" w:eastAsia="Arial" w:hAnsi="Arial"/>
          <w:sz w:val="15"/>
          <w:szCs w:val="15"/>
          <w:color w:val="auto"/>
        </w:rPr>
        <w:t>Onex Carestream Finance LP</w:t>
      </w:r>
      <w:r>
        <w:rPr>
          <w:rFonts w:ascii="Arial" w:cs="Arial" w:eastAsia="Arial" w:hAnsi="Arial"/>
          <w:sz w:val="24"/>
          <w:szCs w:val="24"/>
          <w:color w:val="auto"/>
          <w:vertAlign w:val="superscript"/>
        </w:rPr>
        <w:t>(9), (10)</w:t>
      </w:r>
    </w:p>
    <w:p>
      <w:pPr>
        <w:jc w:val="center"/>
        <w:ind w:right="820"/>
        <w:spacing w:after="0"/>
        <w:rPr>
          <w:sz w:val="20"/>
          <w:szCs w:val="20"/>
          <w:color w:val="auto"/>
        </w:rPr>
      </w:pPr>
      <w:r>
        <w:rPr>
          <w:rFonts w:ascii="Arial" w:cs="Arial" w:eastAsia="Arial" w:hAnsi="Arial"/>
          <w:sz w:val="18"/>
          <w:szCs w:val="18"/>
          <w:i w:val="1"/>
          <w:iCs w:val="1"/>
          <w:color w:val="auto"/>
        </w:rPr>
        <w:t>Healthcare &amp; Pharmaceuticals</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Otter Products, LLC (OtterBox Holdings, Inc.)</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(9), (10)</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195" w:lineRule="auto"/>
        <w:rPr>
          <w:sz w:val="20"/>
          <w:szCs w:val="20"/>
          <w:color w:val="auto"/>
        </w:rPr>
      </w:pPr>
      <w:r>
        <w:rPr>
          <w:rFonts w:ascii="Arial" w:cs="Arial" w:eastAsia="Arial" w:hAnsi="Arial"/>
          <w:sz w:val="18"/>
          <w:szCs w:val="18"/>
          <w:color w:val="auto"/>
        </w:rPr>
        <w:t>PGX Holdings,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Consumer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Playpower,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Construction &amp; Building</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PrimeLine Utility Services LLC (fka FR Utility</w:t>
      </w:r>
    </w:p>
    <w:p>
      <w:pPr>
        <w:ind w:left="180"/>
        <w:spacing w:after="0" w:line="203" w:lineRule="auto"/>
        <w:rPr>
          <w:sz w:val="20"/>
          <w:szCs w:val="20"/>
          <w:color w:val="auto"/>
        </w:rPr>
      </w:pPr>
      <w:r>
        <w:rPr>
          <w:rFonts w:ascii="Arial" w:cs="Arial" w:eastAsia="Arial" w:hAnsi="Arial"/>
          <w:sz w:val="18"/>
          <w:szCs w:val="18"/>
          <w:color w:val="auto"/>
        </w:rPr>
        <w:t>Services LLC)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Energy: Electricity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PSC Industrial Holdings Corp.</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385" w:lineRule="exact"/>
        <w:rPr>
          <w:sz w:val="20"/>
          <w:szCs w:val="20"/>
          <w:color w:val="auto"/>
        </w:rPr>
      </w:pPr>
    </w:p>
    <w:p>
      <w:pPr>
        <w:ind w:left="180" w:right="740" w:hanging="179"/>
        <w:spacing w:after="0" w:line="212" w:lineRule="auto"/>
        <w:rPr>
          <w:sz w:val="20"/>
          <w:szCs w:val="20"/>
          <w:color w:val="auto"/>
        </w:rPr>
      </w:pPr>
      <w:r>
        <w:rPr>
          <w:rFonts w:ascii="Arial" w:cs="Arial" w:eastAsia="Arial" w:hAnsi="Arial"/>
          <w:sz w:val="18"/>
          <w:szCs w:val="18"/>
          <w:color w:val="auto"/>
        </w:rPr>
        <w:t>Quad-C JH Holdings Inc. (aka Joerns Healthcare)</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Ravn Air Group,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Transportation: Consumer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Roscoe Medical,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Rovi Solutions Corporation/Rovi Guides, Inc.</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36" w:lineRule="auto"/>
        <w:rPr>
          <w:sz w:val="20"/>
          <w:szCs w:val="20"/>
          <w:color w:val="auto"/>
        </w:rPr>
      </w:pPr>
      <w:r>
        <w:rPr>
          <w:rFonts w:ascii="Arial" w:cs="Arial" w:eastAsia="Arial" w:hAnsi="Arial"/>
          <w:sz w:val="16"/>
          <w:szCs w:val="16"/>
          <w:color w:val="auto"/>
        </w:rPr>
        <w:t>Sandy Creek Energy Associates, L.P.</w:t>
      </w:r>
      <w:r>
        <w:rPr>
          <w:rFonts w:ascii="Arial" w:cs="Arial" w:eastAsia="Arial" w:hAnsi="Arial"/>
          <w:sz w:val="26"/>
          <w:szCs w:val="26"/>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Utilities: Electric</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Stafford Logistics, Inc.(dba Custom Ecology,</w:t>
      </w:r>
    </w:p>
    <w:p>
      <w:pPr>
        <w:ind w:left="180"/>
        <w:spacing w:after="0" w:line="184" w:lineRule="auto"/>
        <w:rPr>
          <w:sz w:val="20"/>
          <w:szCs w:val="20"/>
          <w:color w:val="auto"/>
        </w:rPr>
      </w:pPr>
      <w:r>
        <w:rPr>
          <w:rFonts w:ascii="Arial" w:cs="Arial" w:eastAsia="Arial" w:hAnsi="Arial"/>
          <w:sz w:val="33"/>
          <w:szCs w:val="33"/>
          <w:color w:val="auto"/>
          <w:vertAlign w:val="subscript"/>
        </w:rPr>
        <w:t>Inc.)</w:t>
      </w:r>
      <w:r>
        <w:rPr>
          <w:rFonts w:ascii="Arial" w:cs="Arial" w:eastAsia="Arial" w:hAnsi="Arial"/>
          <w:sz w:val="14"/>
          <w:szCs w:val="14"/>
          <w:color w:val="auto"/>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Products Corporation, The (fka Huish</w:t>
      </w:r>
    </w:p>
    <w:p>
      <w:pPr>
        <w:spacing w:after="0" w:line="9" w:lineRule="exact"/>
        <w:rPr>
          <w:sz w:val="20"/>
          <w:szCs w:val="20"/>
          <w:color w:val="auto"/>
        </w:rPr>
      </w:pPr>
    </w:p>
    <w:p>
      <w:pPr>
        <w:ind w:left="180" w:right="1020"/>
        <w:spacing w:after="0" w:line="234" w:lineRule="auto"/>
        <w:rPr>
          <w:sz w:val="20"/>
          <w:szCs w:val="20"/>
          <w:color w:val="auto"/>
        </w:rPr>
      </w:pPr>
      <w:r>
        <w:rPr>
          <w:rFonts w:ascii="Arial" w:cs="Arial" w:eastAsia="Arial" w:hAnsi="Arial"/>
          <w:sz w:val="16"/>
          <w:szCs w:val="16"/>
          <w:color w:val="auto"/>
        </w:rPr>
        <w:t>Detergents Inc.)</w:t>
      </w:r>
      <w:r>
        <w:rPr>
          <w:rFonts w:ascii="Arial" w:cs="Arial" w:eastAsia="Arial" w:hAnsi="Arial"/>
          <w:sz w:val="26"/>
          <w:szCs w:val="26"/>
          <w:color w:val="auto"/>
          <w:vertAlign w:val="superscript"/>
        </w:rPr>
        <w:t>(9), (10)</w:t>
      </w:r>
      <w:r>
        <w:rPr>
          <w:rFonts w:ascii="Arial" w:cs="Arial" w:eastAsia="Arial" w:hAnsi="Arial"/>
          <w:sz w:val="16"/>
          <w:szCs w:val="16"/>
          <w:color w:val="auto"/>
        </w:rPr>
        <w:t xml:space="preserve"> </w:t>
      </w:r>
      <w:r>
        <w:rPr>
          <w:rFonts w:ascii="Arial" w:cs="Arial" w:eastAsia="Arial" w:hAnsi="Arial"/>
          <w:sz w:val="16"/>
          <w:szCs w:val="16"/>
          <w:i w:val="1"/>
          <w:iCs w:val="1"/>
          <w:color w:val="auto"/>
        </w:rPr>
        <w:t>Consumer goods: Non-durable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Tank Partners Holdings,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Energy: Oil &amp; Gas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TPF II Power, LLC (TPF II Covert Midco,</w:t>
      </w:r>
    </w:p>
    <w:p>
      <w:pPr>
        <w:ind w:left="180"/>
        <w:spacing w:after="0" w:line="182" w:lineRule="auto"/>
        <w:rPr>
          <w:sz w:val="20"/>
          <w:szCs w:val="20"/>
          <w:color w:val="auto"/>
        </w:rPr>
      </w:pPr>
      <w:r>
        <w:rPr>
          <w:rFonts w:ascii="Arial" w:cs="Arial" w:eastAsia="Arial" w:hAnsi="Arial"/>
          <w:sz w:val="32"/>
          <w:szCs w:val="32"/>
          <w:color w:val="auto"/>
          <w:vertAlign w:val="subscript"/>
        </w:rPr>
        <w:t>LLC)</w:t>
      </w:r>
      <w:r>
        <w:rPr>
          <w:rFonts w:ascii="Arial" w:cs="Arial" w:eastAsia="Arial" w:hAnsi="Arial"/>
          <w:sz w:val="14"/>
          <w:szCs w:val="14"/>
          <w:color w:val="auto"/>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Utilities: Electric</w:t>
      </w:r>
    </w:p>
    <w:p>
      <w:pPr>
        <w:spacing w:after="0" w:line="186" w:lineRule="auto"/>
        <w:rPr>
          <w:sz w:val="20"/>
          <w:szCs w:val="20"/>
          <w:color w:val="auto"/>
        </w:rPr>
      </w:pPr>
      <w:r>
        <w:rPr>
          <w:rFonts w:ascii="Arial" w:cs="Arial" w:eastAsia="Arial" w:hAnsi="Arial"/>
          <w:sz w:val="18"/>
          <w:szCs w:val="18"/>
          <w:color w:val="auto"/>
        </w:rPr>
        <w:t>Trimaran Advisors,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Related Party Loan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TRSO I,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Energy: Oil &amp; Gas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Tranche B-2</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972,650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965,333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893,865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9.5%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12/19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1,932,311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1,932,311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1,823,329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 2013)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6/19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1,856,203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1,861,076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1,681,414</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2,754,168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2,736,134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2,604,892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9/20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3,818,571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3,788,271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3,813,225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1,976,345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1,907,614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3,465,576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3,465,000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3,004,650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2,978,349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3,000,744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A</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3,940,026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3,918,354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3,937,662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2,484,375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2,472,795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2,324,381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11.3% Cash, Due 9/19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6,654,533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6,235,020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3.8% Cash, 0.8%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2,962,406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2,930,614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2,947,890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11/20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2,708,992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2,699,558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1,907,130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2,854,780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2,835,003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2,736,307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Tranche B</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3/20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3,882,654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3,863,759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3,657,460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6.6% Cash, 3.5% PIK, 3.0% Libor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Floor, Due 8/19</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10,759,919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10,624,515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8,177,538</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10/21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2,950,953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2,973,524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2,899,311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Unsecured Loan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9.0% Cash, Due 11/17</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11.0%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12/17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992,101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950,300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-8309610</wp:posOffset>
            </wp:positionV>
            <wp:extent cx="7246620" cy="548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-7322820</wp:posOffset>
            </wp:positionV>
            <wp:extent cx="7246620" cy="548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-6225540</wp:posOffset>
            </wp:positionV>
            <wp:extent cx="7246620" cy="548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-5127625</wp:posOffset>
            </wp:positionV>
            <wp:extent cx="7246620" cy="548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-4029710</wp:posOffset>
            </wp:positionV>
            <wp:extent cx="724662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-3206750</wp:posOffset>
            </wp:positionV>
            <wp:extent cx="7246620"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-2357755</wp:posOffset>
            </wp:positionV>
            <wp:extent cx="7246620" cy="548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-1397000</wp:posOffset>
            </wp:positionV>
            <wp:extent cx="7246620" cy="43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-548005</wp:posOffset>
            </wp:positionV>
            <wp:extent cx="7246620" cy="548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-9415780</wp:posOffset>
            </wp:positionV>
            <wp:extent cx="7246620" cy="557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120"/>
            <w:col w:w="7760"/>
          </w:cols>
          <w:pgMar w:left="240" w:top="904" w:right="339" w:bottom="0" w:gutter="0" w:footer="0" w:header="0"/>
        </w:sectPr>
      </w:pPr>
    </w:p>
    <w:p>
      <w:pPr>
        <w:spacing w:after="0" w:line="2"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11320"/>
          </w:cols>
          <w:pgMar w:left="240" w:top="904" w:right="339" w:bottom="0" w:gutter="0" w:footer="0" w:header="0"/>
          <w:type w:val="continuous"/>
        </w:sectPr>
      </w:pPr>
    </w:p>
    <w:bookmarkStart w:id="27" w:name="page28"/>
    <w:bookmarkEnd w:id="27"/>
    <w:p>
      <w:pPr>
        <w:jc w:val="center"/>
        <w:ind w:right="-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8" w:name="page29"/>
    <w:bookmarkEnd w:id="28"/>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TWCC Holding Corp.</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U.S. Shipping Corp (fka U.S. Shipping</w:t>
      </w:r>
    </w:p>
    <w:p>
      <w:pPr>
        <w:ind w:left="180"/>
        <w:spacing w:after="0" w:line="195" w:lineRule="auto"/>
        <w:rPr>
          <w:sz w:val="20"/>
          <w:szCs w:val="20"/>
          <w:color w:val="auto"/>
        </w:rPr>
      </w:pPr>
      <w:r>
        <w:rPr>
          <w:rFonts w:ascii="Arial" w:cs="Arial" w:eastAsia="Arial" w:hAnsi="Arial"/>
          <w:sz w:val="18"/>
          <w:szCs w:val="18"/>
          <w:color w:val="auto"/>
        </w:rPr>
        <w:t>Partners LP)</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USJ-IMECO Holding Company, LLC</w:t>
      </w:r>
      <w:r>
        <w:rPr>
          <w:rFonts w:ascii="Arial" w:cs="Arial" w:eastAsia="Arial" w:hAnsi="Arial"/>
          <w:sz w:val="26"/>
          <w:szCs w:val="26"/>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169" w:lineRule="exact"/>
        <w:rPr>
          <w:sz w:val="20"/>
          <w:szCs w:val="20"/>
          <w:color w:val="auto"/>
        </w:rPr>
      </w:pPr>
    </w:p>
    <w:p>
      <w:pPr>
        <w:ind w:left="180" w:right="440" w:hanging="179"/>
        <w:spacing w:after="0" w:line="212" w:lineRule="auto"/>
        <w:rPr>
          <w:sz w:val="20"/>
          <w:szCs w:val="20"/>
          <w:color w:val="auto"/>
        </w:rPr>
      </w:pPr>
      <w:r>
        <w:rPr>
          <w:rFonts w:ascii="Arial" w:cs="Arial" w:eastAsia="Arial" w:hAnsi="Arial"/>
          <w:sz w:val="18"/>
          <w:szCs w:val="18"/>
          <w:color w:val="auto"/>
        </w:rPr>
        <w:t>Vantiv, LLC (fka Fifth Third Processing Solutions, LLC)</w:t>
      </w:r>
      <w:r>
        <w:rPr>
          <w:rFonts w:ascii="Arial" w:cs="Arial" w:eastAsia="Arial" w:hAnsi="Arial"/>
          <w:sz w:val="30"/>
          <w:szCs w:val="30"/>
          <w:color w:val="auto"/>
          <w:vertAlign w:val="superscript"/>
        </w:rPr>
        <w:t>(10)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Banking, Finance, Insurance &amp; Real Estate</w:t>
      </w:r>
    </w:p>
    <w:p>
      <w:pPr>
        <w:spacing w:after="0" w:line="200" w:lineRule="auto"/>
        <w:rPr>
          <w:sz w:val="20"/>
          <w:szCs w:val="20"/>
          <w:color w:val="auto"/>
        </w:rPr>
      </w:pPr>
      <w:r>
        <w:rPr>
          <w:rFonts w:ascii="Arial" w:cs="Arial" w:eastAsia="Arial" w:hAnsi="Arial"/>
          <w:sz w:val="18"/>
          <w:szCs w:val="18"/>
          <w:color w:val="auto"/>
        </w:rPr>
        <w:t>Verdesian Life Sciences, LLC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Vestcom International, Inc. (fka Vector</w:t>
      </w:r>
    </w:p>
    <w:p>
      <w:pPr>
        <w:ind w:left="180"/>
        <w:spacing w:after="0" w:line="195" w:lineRule="auto"/>
        <w:rPr>
          <w:sz w:val="20"/>
          <w:szCs w:val="20"/>
          <w:color w:val="auto"/>
        </w:rPr>
      </w:pPr>
      <w:r>
        <w:rPr>
          <w:rFonts w:ascii="Arial" w:cs="Arial" w:eastAsia="Arial" w:hAnsi="Arial"/>
          <w:sz w:val="18"/>
          <w:szCs w:val="18"/>
          <w:color w:val="auto"/>
        </w:rPr>
        <w:t>Investment Holdings,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w:t>
      </w:r>
    </w:p>
    <w:p>
      <w:pPr>
        <w:spacing w:after="0" w:line="184" w:lineRule="auto"/>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WireCo WorldGroup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184" w:lineRule="auto"/>
        <w:rPr>
          <w:sz w:val="20"/>
          <w:szCs w:val="20"/>
          <w:color w:val="auto"/>
        </w:rPr>
      </w:pPr>
      <w:r>
        <w:rPr>
          <w:rFonts w:ascii="Arial" w:cs="Arial" w:eastAsia="Arial" w:hAnsi="Arial"/>
          <w:sz w:val="18"/>
          <w:szCs w:val="18"/>
          <w:color w:val="auto"/>
        </w:rPr>
        <w:t>WireCo WorldGroup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7" w:lineRule="exact"/>
        <w:rPr>
          <w:sz w:val="20"/>
          <w:szCs w:val="20"/>
          <w:color w:val="auto"/>
        </w:rPr>
      </w:pPr>
    </w:p>
    <w:p>
      <w:pPr>
        <w:ind w:left="180" w:right="80" w:hanging="179"/>
        <w:spacing w:after="0" w:line="307" w:lineRule="auto"/>
        <w:rPr>
          <w:sz w:val="20"/>
          <w:szCs w:val="20"/>
          <w:color w:val="auto"/>
        </w:rPr>
      </w:pPr>
      <w:r>
        <w:rPr>
          <w:rFonts w:ascii="Arial" w:cs="Arial" w:eastAsia="Arial" w:hAnsi="Arial"/>
          <w:sz w:val="17"/>
          <w:szCs w:val="17"/>
          <w:b w:val="1"/>
          <w:bCs w:val="1"/>
          <w:color w:val="auto"/>
        </w:rPr>
        <w:t>Total Investment in Debt Securities (132%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400" w:type="dxa"/>
            <w:vAlign w:val="bottom"/>
          </w:tcPr>
          <w:p>
            <w:pPr>
              <w:spacing w:after="0"/>
              <w:rPr>
                <w:sz w:val="19"/>
                <w:szCs w:val="19"/>
                <w:color w:val="auto"/>
              </w:rPr>
            </w:pPr>
          </w:p>
        </w:tc>
        <w:tc>
          <w:tcPr>
            <w:tcW w:w="3160" w:type="dxa"/>
            <w:vAlign w:val="bottom"/>
            <w:gridSpan w:val="2"/>
          </w:tcPr>
          <w:p>
            <w:pPr>
              <w:ind w:left="8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3160" w:type="dxa"/>
            <w:vAlign w:val="bottom"/>
            <w:gridSpan w:val="2"/>
          </w:tcPr>
          <w:p>
            <w:pPr>
              <w:ind w:left="3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Senior Secured Loan — Term B-1</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Loan</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5.8%</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0.8%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2/20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822,470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827,875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822,470</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Tranche B-2</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6/21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1,411,023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1,409,966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1,405,802</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7.0%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Due 4/20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3,915,823</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3,928,428</w:t>
            </w:r>
          </w:p>
        </w:tc>
        <w:tc>
          <w:tcPr>
            <w:tcW w:w="0" w:type="dxa"/>
            <w:vAlign w:val="bottom"/>
          </w:tcPr>
          <w:p>
            <w:pPr>
              <w:spacing w:after="0"/>
              <w:rPr>
                <w:sz w:val="1"/>
                <w:szCs w:val="1"/>
                <w:color w:val="auto"/>
              </w:rPr>
            </w:pPr>
          </w:p>
        </w:tc>
      </w:tr>
      <w:tr>
        <w:trPr>
          <w:trHeight w:val="242"/>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3.8%</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0.8%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6/21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1,688,507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1,692,039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1,685,333</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6.0%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Due 7/20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3,981,279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3,937,250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3,784,206</w:t>
            </w:r>
          </w:p>
        </w:tc>
        <w:tc>
          <w:tcPr>
            <w:tcW w:w="0" w:type="dxa"/>
            <w:vAlign w:val="bottom"/>
          </w:tcPr>
          <w:p>
            <w:pPr>
              <w:spacing w:after="0"/>
              <w:rPr>
                <w:sz w:val="1"/>
                <w:szCs w:val="1"/>
                <w:color w:val="auto"/>
              </w:rPr>
            </w:pPr>
          </w:p>
        </w:tc>
      </w:tr>
      <w:tr>
        <w:trPr>
          <w:trHeight w:val="242"/>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9/21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2,989,755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3,006,198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2,860,598</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11/18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1,106,050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1,099,501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1,105,829</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Due 11/18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5,515,079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5,482,956</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5,513,976</w:t>
            </w:r>
          </w:p>
        </w:tc>
        <w:tc>
          <w:tcPr>
            <w:tcW w:w="0" w:type="dxa"/>
            <w:vAlign w:val="bottom"/>
          </w:tcPr>
          <w:p>
            <w:pPr>
              <w:spacing w:after="0"/>
              <w:rPr>
                <w:sz w:val="1"/>
                <w:szCs w:val="1"/>
                <w:color w:val="auto"/>
              </w:rPr>
            </w:pPr>
          </w:p>
        </w:tc>
      </w:tr>
      <w:tr>
        <w:trPr>
          <w:trHeight w:val="242"/>
        </w:trPr>
        <w:tc>
          <w:tcPr>
            <w:tcW w:w="3560" w:type="dxa"/>
            <w:vAlign w:val="bottom"/>
            <w:gridSpan w:val="3"/>
          </w:tcPr>
          <w:p>
            <w:pPr>
              <w:spacing w:after="0"/>
              <w:rPr>
                <w:sz w:val="20"/>
                <w:szCs w:val="20"/>
                <w:color w:val="auto"/>
              </w:rPr>
            </w:pPr>
            <w:r>
              <w:rPr>
                <w:rFonts w:ascii="Arial" w:cs="Arial" w:eastAsia="Arial" w:hAnsi="Arial"/>
                <w:sz w:val="18"/>
                <w:szCs w:val="18"/>
                <w:color w:val="auto"/>
              </w:rPr>
              <w:t>Senior Unsecured Bond —</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9.0%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Due 5/17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4,975,822</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4,067,500</w:t>
            </w:r>
          </w:p>
        </w:tc>
        <w:tc>
          <w:tcPr>
            <w:tcW w:w="0" w:type="dxa"/>
            <w:vAlign w:val="bottom"/>
          </w:tcPr>
          <w:p>
            <w:pPr>
              <w:spacing w:after="0"/>
              <w:rPr>
                <w:sz w:val="1"/>
                <w:szCs w:val="1"/>
                <w:color w:val="auto"/>
              </w:rPr>
            </w:pPr>
          </w:p>
        </w:tc>
      </w:tr>
      <w:tr>
        <w:trPr>
          <w:trHeight w:val="242"/>
        </w:trPr>
        <w:tc>
          <w:tcPr>
            <w:tcW w:w="3560" w:type="dxa"/>
            <w:vAlign w:val="bottom"/>
            <w:gridSpan w:val="3"/>
          </w:tcPr>
          <w:p>
            <w:pPr>
              <w:spacing w:after="0"/>
              <w:rPr>
                <w:sz w:val="20"/>
                <w:szCs w:val="20"/>
                <w:color w:val="auto"/>
              </w:rPr>
            </w:pPr>
            <w:r>
              <w:rPr>
                <w:rFonts w:ascii="Arial" w:cs="Arial" w:eastAsia="Arial" w:hAnsi="Arial"/>
                <w:sz w:val="18"/>
                <w:szCs w:val="18"/>
                <w:color w:val="auto"/>
              </w:rPr>
              <w:t>Senior Unsecured Bond —</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0"/>
                <w:szCs w:val="20"/>
                <w:color w:val="auto"/>
              </w:rPr>
            </w:pPr>
            <w:r>
              <w:rPr>
                <w:rFonts w:ascii="Arial" w:cs="Arial" w:eastAsia="Arial" w:hAnsi="Arial"/>
                <w:sz w:val="18"/>
                <w:szCs w:val="18"/>
                <w:color w:val="auto"/>
                <w:w w:val="92"/>
              </w:rPr>
              <w:t>9.0%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Due 5/17</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3,043,520</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2,440,500</w:t>
            </w:r>
          </w:p>
        </w:tc>
        <w:tc>
          <w:tcPr>
            <w:tcW w:w="0" w:type="dxa"/>
            <w:vAlign w:val="bottom"/>
          </w:tcPr>
          <w:p>
            <w:pPr>
              <w:spacing w:after="0"/>
              <w:rPr>
                <w:sz w:val="1"/>
                <w:szCs w:val="1"/>
                <w:color w:val="auto"/>
              </w:rPr>
            </w:pPr>
          </w:p>
        </w:tc>
      </w:tr>
      <w:tr>
        <w:trPr>
          <w:trHeight w:val="426"/>
        </w:trPr>
        <w:tc>
          <w:tcPr>
            <w:tcW w:w="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299,940,657</w:t>
            </w:r>
          </w:p>
        </w:tc>
        <w:tc>
          <w:tcPr>
            <w:tcW w:w="12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298,308,845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284,639,244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-3558540</wp:posOffset>
            </wp:positionV>
            <wp:extent cx="7246620" cy="411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-2709545</wp:posOffset>
            </wp:positionV>
            <wp:extent cx="7246620" cy="548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-1723390</wp:posOffset>
            </wp:positionV>
            <wp:extent cx="7246620" cy="41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-899795</wp:posOffset>
            </wp:positionV>
            <wp:extent cx="7246620" cy="300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-290830</wp:posOffset>
            </wp:positionV>
            <wp:extent cx="7246620" cy="283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-4664710</wp:posOffset>
            </wp:positionV>
            <wp:extent cx="7246620" cy="557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340" w:space="220"/>
            <w:col w:w="7760"/>
          </w:cols>
          <w:pgMar w:left="240" w:top="90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Company/Principal Business</w:t>
            </w:r>
          </w:p>
        </w:tc>
        <w:tc>
          <w:tcPr>
            <w:tcW w:w="354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Interest/Shares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4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7"/>
                <w:szCs w:val="27"/>
                <w:color w:val="auto"/>
                <w:vertAlign w:val="superscript"/>
              </w:rPr>
              <w:t>(5), (9)</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Aerospace and Defense</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 Interests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Aerospace and Defense</w:t>
            </w:r>
          </w:p>
        </w:tc>
        <w:tc>
          <w:tcPr>
            <w:tcW w:w="3540" w:type="dxa"/>
            <w:vAlign w:val="bottom"/>
            <w:gridSpan w:val="2"/>
          </w:tcPr>
          <w:p>
            <w:pPr>
              <w:spacing w:after="0"/>
              <w:rPr>
                <w:sz w:val="20"/>
                <w:szCs w:val="20"/>
                <w:color w:val="auto"/>
              </w:rPr>
            </w:pPr>
            <w:r>
              <w:rPr>
                <w:rFonts w:ascii="Arial" w:cs="Arial" w:eastAsia="Arial" w:hAnsi="Arial"/>
                <w:sz w:val="18"/>
                <w:szCs w:val="18"/>
                <w:color w:val="auto"/>
              </w:rPr>
              <w:t>Series A Preferred Interests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250,960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937,053</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60" w:type="dxa"/>
            <w:vAlign w:val="bottom"/>
            <w:gridSpan w:val="2"/>
            <w:shd w:val="clear" w:color="auto" w:fill="CCEEFF"/>
          </w:tcPr>
          <w:p>
            <w:pPr>
              <w:ind w:left="180"/>
              <w:spacing w:after="0" w:line="253" w:lineRule="exact"/>
              <w:rPr>
                <w:sz w:val="20"/>
                <w:szCs w:val="20"/>
                <w:color w:val="auto"/>
              </w:rPr>
            </w:pPr>
            <w:r>
              <w:rPr>
                <w:rFonts w:ascii="Arial" w:cs="Arial" w:eastAsia="Arial" w:hAnsi="Arial"/>
                <w:sz w:val="18"/>
                <w:szCs w:val="18"/>
                <w:color w:val="auto"/>
              </w:rPr>
              <w:t>Investments Incorporated)</w:t>
            </w:r>
            <w:r>
              <w:rPr>
                <w:rFonts w:ascii="Arial" w:cs="Arial" w:eastAsia="Arial" w:hAnsi="Arial"/>
                <w:sz w:val="29"/>
                <w:szCs w:val="29"/>
                <w:color w:val="auto"/>
                <w:vertAlign w:val="superscript"/>
              </w:rPr>
              <w:t>(5), (9)</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Media: Advertising, Printing &amp; Publishing</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568,544</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Services: Business</w:t>
            </w:r>
          </w:p>
        </w:tc>
        <w:tc>
          <w:tcPr>
            <w:tcW w:w="3540" w:type="dxa"/>
            <w:vAlign w:val="bottom"/>
            <w:gridSpan w:val="2"/>
          </w:tcPr>
          <w:p>
            <w:pPr>
              <w:spacing w:after="0"/>
              <w:rPr>
                <w:sz w:val="20"/>
                <w:szCs w:val="20"/>
                <w:color w:val="auto"/>
              </w:rPr>
            </w:pPr>
            <w:r>
              <w:rPr>
                <w:rFonts w:ascii="Arial" w:cs="Arial" w:eastAsia="Arial" w:hAnsi="Arial"/>
                <w:sz w:val="18"/>
                <w:szCs w:val="18"/>
                <w:color w:val="auto"/>
              </w:rPr>
              <w:t>Class A Warrants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258,940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4,316,159</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(5), (9)</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Services: Business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Membership Units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 (5)</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Capital Equipment</w:t>
            </w:r>
          </w:p>
        </w:tc>
        <w:tc>
          <w:tcPr>
            <w:tcW w:w="3540" w:type="dxa"/>
            <w:vAlign w:val="bottom"/>
            <w:gridSpan w:val="2"/>
          </w:tcPr>
          <w:p>
            <w:pPr>
              <w:spacing w:after="0"/>
              <w:rPr>
                <w:sz w:val="20"/>
                <w:szCs w:val="20"/>
                <w:color w:val="auto"/>
              </w:rPr>
            </w:pPr>
            <w:r>
              <w:rPr>
                <w:rFonts w:ascii="Arial" w:cs="Arial" w:eastAsia="Arial" w:hAnsi="Arial"/>
                <w:sz w:val="18"/>
                <w:szCs w:val="18"/>
                <w:color w:val="auto"/>
              </w:rPr>
              <w:t>Class A Shares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1,338,767</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(5), (9)</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Hotel, Gaming &amp; Leisure</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Healthcare &amp; Pharmaceuticals</w:t>
            </w:r>
          </w:p>
        </w:tc>
        <w:tc>
          <w:tcPr>
            <w:tcW w:w="3540" w:type="dxa"/>
            <w:vAlign w:val="bottom"/>
            <w:gridSpan w:val="2"/>
          </w:tcPr>
          <w:p>
            <w:pPr>
              <w:spacing w:after="0"/>
              <w:rPr>
                <w:sz w:val="20"/>
                <w:szCs w:val="20"/>
                <w:color w:val="auto"/>
              </w:rPr>
            </w:pPr>
            <w:r>
              <w:rPr>
                <w:rFonts w:ascii="Arial" w:cs="Arial" w:eastAsia="Arial" w:hAnsi="Arial"/>
                <w:sz w:val="18"/>
                <w:szCs w:val="18"/>
                <w:color w:val="auto"/>
              </w:rPr>
              <w:t>Class A Units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863,000</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 (12)</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(5), (9)</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1,074,480</w:t>
            </w:r>
          </w:p>
        </w:tc>
        <w:tc>
          <w:tcPr>
            <w:tcW w:w="0" w:type="dxa"/>
            <w:vAlign w:val="bottom"/>
          </w:tcPr>
          <w:p>
            <w:pPr>
              <w:spacing w:after="0"/>
              <w:rPr>
                <w:sz w:val="1"/>
                <w:szCs w:val="1"/>
                <w:color w:val="auto"/>
              </w:rPr>
            </w:pPr>
          </w:p>
        </w:tc>
      </w:tr>
      <w:tr>
        <w:trPr>
          <w:trHeight w:val="205"/>
        </w:trPr>
        <w:tc>
          <w:tcPr>
            <w:tcW w:w="3560" w:type="dxa"/>
            <w:vAlign w:val="bottom"/>
            <w:gridSpan w:val="2"/>
          </w:tcPr>
          <w:p>
            <w:pPr>
              <w:spacing w:after="0" w:line="206" w:lineRule="exact"/>
              <w:rPr>
                <w:sz w:val="20"/>
                <w:szCs w:val="20"/>
                <w:color w:val="auto"/>
              </w:rPr>
            </w:pPr>
            <w:r>
              <w:rPr>
                <w:rFonts w:ascii="Arial" w:cs="Arial" w:eastAsia="Arial" w:hAnsi="Arial"/>
                <w:sz w:val="18"/>
                <w:szCs w:val="18"/>
                <w:color w:val="auto"/>
              </w:rPr>
              <w:t>New Millennium Holdco, Inc. (Millennium</w:t>
            </w: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60" w:type="dxa"/>
            <w:vAlign w:val="bottom"/>
            <w:gridSpan w:val="2"/>
          </w:tcPr>
          <w:p>
            <w:pPr>
              <w:ind w:left="180"/>
              <w:spacing w:after="0" w:line="253" w:lineRule="exact"/>
              <w:rPr>
                <w:sz w:val="20"/>
                <w:szCs w:val="20"/>
                <w:color w:val="auto"/>
              </w:rPr>
            </w:pPr>
            <w:r>
              <w:rPr>
                <w:rFonts w:ascii="Arial" w:cs="Arial" w:eastAsia="Arial" w:hAnsi="Arial"/>
                <w:sz w:val="18"/>
                <w:szCs w:val="18"/>
                <w:color w:val="auto"/>
              </w:rPr>
              <w:t>Health, LLC)</w:t>
            </w:r>
            <w:r>
              <w:rPr>
                <w:rFonts w:ascii="Arial" w:cs="Arial" w:eastAsia="Arial" w:hAnsi="Arial"/>
                <w:sz w:val="29"/>
                <w:szCs w:val="29"/>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Healthcare &amp; Pharmaceuticals</w:t>
            </w:r>
          </w:p>
        </w:tc>
        <w:tc>
          <w:tcPr>
            <w:tcW w:w="3540" w:type="dxa"/>
            <w:vAlign w:val="bottom"/>
            <w:gridSpan w:val="2"/>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1,953,299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445,485</w:t>
            </w: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4"/>
              </w:rPr>
              <w:t>Total Investment in Equity Securities (4% of</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10,467,786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9,548,488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00" w:type="dxa"/>
            <w:vAlign w:val="bottom"/>
            <w:gridSpan w:val="4"/>
          </w:tcPr>
          <w:p>
            <w:pPr>
              <w:spacing w:after="0"/>
              <w:rPr>
                <w:sz w:val="20"/>
                <w:szCs w:val="20"/>
                <w:color w:val="auto"/>
              </w:rPr>
            </w:pPr>
            <w:r>
              <w:rPr>
                <w:rFonts w:ascii="Arial" w:cs="Arial" w:eastAsia="Arial" w:hAnsi="Arial"/>
                <w:sz w:val="18"/>
                <w:szCs w:val="18"/>
                <w:b w:val="1"/>
                <w:bCs w:val="1"/>
                <w:color w:val="auto"/>
              </w:rPr>
              <w:t>CLO Subordinated Securities, Preferred Shares and Income Notes Investments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(13)</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vMerge w:val="continue"/>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Grant Grove CLO, Ltd.</w:t>
            </w:r>
            <w:r>
              <w:rPr>
                <w:rFonts w:ascii="Arial" w:cs="Arial" w:eastAsia="Arial" w:hAnsi="Arial"/>
                <w:sz w:val="22"/>
                <w:szCs w:val="22"/>
                <w:color w:val="auto"/>
                <w:vertAlign w:val="superscript"/>
              </w:rPr>
              <w:t>(3)</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Subordinated Securities,</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interest 9.6%,</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2,484,943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280,164</w:t>
            </w: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Katonah III, Ltd.</w:t>
            </w:r>
            <w:r>
              <w:rPr>
                <w:rFonts w:ascii="Arial" w:cs="Arial" w:eastAsia="Arial" w:hAnsi="Arial"/>
                <w:sz w:val="23"/>
                <w:szCs w:val="23"/>
                <w:color w:val="auto"/>
                <w:vertAlign w:val="superscript"/>
              </w:rPr>
              <w:t>(3)</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Preferred Shares, effective</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1,373,132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N/M, 5/15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Katonah IX CLO Ltd</w:t>
            </w:r>
            <w:r>
              <w:rPr>
                <w:rFonts w:ascii="Arial" w:cs="Arial" w:eastAsia="Arial" w:hAnsi="Arial"/>
                <w:sz w:val="23"/>
                <w:szCs w:val="23"/>
                <w:color w:val="auto"/>
                <w:vertAlign w:val="superscript"/>
              </w:rPr>
              <w:t>(3), (6), (14)</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Preferred Shares,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1,140,057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2.2%, 1/19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Katonah X CLO Ltd</w:t>
            </w:r>
            <w:r>
              <w:rPr>
                <w:rFonts w:ascii="Arial" w:cs="Arial" w:eastAsia="Arial" w:hAnsi="Arial"/>
                <w:sz w:val="23"/>
                <w:szCs w:val="23"/>
                <w:color w:val="auto"/>
                <w:vertAlign w:val="superscript"/>
              </w:rPr>
              <w:t>(3), (6), (14)</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Securities,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effective interest 12.8%,</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4/20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7,637,499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Katonah 2007-I CLO Ltd.</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Preferred Shares,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24,312,424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20,295,677</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27.0%, 4/22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Trimaran CLO VII, Ltd.</w:t>
            </w:r>
            <w:r>
              <w:rPr>
                <w:rFonts w:ascii="Arial" w:cs="Arial" w:eastAsia="Arial" w:hAnsi="Arial"/>
                <w:sz w:val="23"/>
                <w:szCs w:val="23"/>
                <w:color w:val="auto"/>
                <w:vertAlign w:val="superscript"/>
              </w:rPr>
              <w:t>(3),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Income Notes, effective</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1,375,013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1,647,272</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50.8%, 6/21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Catamaran CLO 2012-1 Ltd.</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6,791,980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3,312,940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2.8%, 12/23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Catamaran CLO 2013-1 Ltd.</w:t>
            </w:r>
            <w:r>
              <w:rPr>
                <w:rFonts w:ascii="Arial" w:cs="Arial" w:eastAsia="Arial" w:hAnsi="Arial"/>
                <w:sz w:val="23"/>
                <w:szCs w:val="23"/>
                <w:color w:val="auto"/>
                <w:vertAlign w:val="superscript"/>
              </w:rPr>
              <w:t>(3),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6,256,090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5,639,106</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12.9%, 1/25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Catamaran CLO 2014-1 Ltd.</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8,928,790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5,846,325</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8.4%, 4/26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Dryden 30 Senior Loan Fund</w:t>
            </w:r>
            <w:r>
              <w:rPr>
                <w:rFonts w:ascii="Arial" w:cs="Arial" w:eastAsia="Arial" w:hAnsi="Arial"/>
                <w:sz w:val="23"/>
                <w:szCs w:val="23"/>
                <w:color w:val="auto"/>
                <w:vertAlign w:val="superscript"/>
              </w:rPr>
              <w:t>(3)</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1,592,303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1,634,647</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29.4%, 11/25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Catamaran CLO 2014-2 Ltd.</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8,024,168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5,751,600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8.8%, 10/26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Catamaran CLO 2015-1 Ltd.</w:t>
            </w:r>
            <w:r>
              <w:rPr>
                <w:rFonts w:ascii="Arial" w:cs="Arial" w:eastAsia="Arial" w:hAnsi="Arial"/>
                <w:sz w:val="23"/>
                <w:szCs w:val="23"/>
                <w:color w:val="auto"/>
                <w:vertAlign w:val="superscript"/>
              </w:rPr>
              <w:t>(3),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10.1%, 4/27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11,869,751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8,789,651</w:t>
            </w: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CLO Subordinated</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Securities</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81,786,150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54,702,382</w:t>
            </w:r>
          </w:p>
        </w:tc>
        <w:tc>
          <w:tcPr>
            <w:tcW w:w="0" w:type="dxa"/>
            <w:vAlign w:val="bottom"/>
          </w:tcPr>
          <w:p>
            <w:pPr>
              <w:spacing w:after="0"/>
              <w:rPr>
                <w:sz w:val="1"/>
                <w:szCs w:val="1"/>
                <w:color w:val="auto"/>
              </w:rPr>
            </w:pPr>
          </w:p>
        </w:tc>
      </w:tr>
      <w:tr>
        <w:trPr>
          <w:trHeight w:val="42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Investments</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22"/>
                <w:szCs w:val="22"/>
                <w:color w:val="auto"/>
                <w:vertAlign w:val="superscript"/>
              </w:rPr>
              <w:t>(3), (6)</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Float – 04/2026 – E –</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Value of</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1,525,000 6.1% Cash,</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4/26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1,428,797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1,170,000</w:t>
            </w: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Investment in CLO</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tcPr>
          <w:p>
            <w:pPr>
              <w:ind w:left="180"/>
              <w:spacing w:after="0"/>
              <w:rPr>
                <w:sz w:val="20"/>
                <w:szCs w:val="20"/>
                <w:color w:val="auto"/>
              </w:rPr>
            </w:pPr>
            <w:r>
              <w:rPr>
                <w:rFonts w:ascii="Arial" w:cs="Arial" w:eastAsia="Arial" w:hAnsi="Arial"/>
                <w:sz w:val="18"/>
                <w:szCs w:val="18"/>
                <w:b w:val="1"/>
                <w:bCs w:val="1"/>
                <w:color w:val="auto"/>
              </w:rPr>
              <w:t>Rated-Note</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1,428,797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1,170,000</w:t>
            </w: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CLO</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3"/>
              </w:rPr>
              <w:t>Fund Securities (26% of net asset value at</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83,214,947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55,872,382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00" w:lineRule="exact"/>
        <w:rPr>
          <w:sz w:val="20"/>
          <w:szCs w:val="20"/>
          <w:color w:val="auto"/>
        </w:rPr>
      </w:pPr>
    </w:p>
    <w:p>
      <w:pPr>
        <w:spacing w:after="0" w:line="241"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b w:val="1"/>
          <w:bCs w:val="1"/>
          <w:color w:val="auto"/>
        </w:rPr>
        <w:t xml:space="preserve">Portfolio Company/Principal Business </w:t>
      </w:r>
      <w:r>
        <w:rPr>
          <w:rFonts w:ascii="Arial" w:cs="Arial" w:eastAsia="Arial" w:hAnsi="Arial"/>
          <w:sz w:val="16"/>
          <w:szCs w:val="16"/>
          <w:color w:val="auto"/>
        </w:rPr>
        <w:t>Asset Manager Affiliates</w:t>
      </w:r>
      <w:r>
        <w:rPr>
          <w:rFonts w:ascii="Arial" w:cs="Arial" w:eastAsia="Arial" w:hAnsi="Arial"/>
          <w:sz w:val="26"/>
          <w:szCs w:val="26"/>
          <w:color w:val="auto"/>
          <w:vertAlign w:val="superscript"/>
        </w:rPr>
        <w:t>(9), (11)</w:t>
      </w:r>
    </w:p>
    <w:p>
      <w:pPr>
        <w:ind w:left="180" w:hanging="179"/>
        <w:spacing w:after="0" w:line="254" w:lineRule="auto"/>
        <w:rPr>
          <w:sz w:val="20"/>
          <w:szCs w:val="20"/>
          <w:color w:val="auto"/>
        </w:rPr>
      </w:pPr>
      <w:r>
        <w:rPr>
          <w:rFonts w:ascii="Arial" w:cs="Arial" w:eastAsia="Arial" w:hAnsi="Arial"/>
          <w:sz w:val="18"/>
          <w:szCs w:val="18"/>
          <w:b w:val="1"/>
          <w:bCs w:val="1"/>
          <w:color w:val="auto"/>
        </w:rPr>
        <w:t>Total Investment in Asset Manager Affiliates (27%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Percentage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6"/>
              </w:rPr>
              <w:t xml:space="preserve">Fair Value </w:t>
            </w:r>
            <w:r>
              <w:rPr>
                <w:rFonts w:ascii="Arial" w:cs="Arial" w:eastAsia="Arial" w:hAnsi="Arial"/>
                <w:sz w:val="30"/>
                <w:szCs w:val="30"/>
                <w:b w:val="1"/>
                <w:bCs w:val="1"/>
                <w:color w:val="auto"/>
                <w:w w:val="96"/>
                <w:vertAlign w:val="superscript"/>
              </w:rPr>
              <w:t>(2)</w:t>
            </w: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Ownership</w:t>
            </w:r>
          </w:p>
        </w:tc>
        <w:tc>
          <w:tcPr>
            <w:tcW w:w="280" w:type="dxa"/>
            <w:vAlign w:val="bottom"/>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40" w:type="dxa"/>
            <w:vAlign w:val="bottom"/>
            <w:gridSpan w:val="2"/>
          </w:tcPr>
          <w:p>
            <w:pPr>
              <w:jc w:val="right"/>
              <w:ind w:right="1420"/>
              <w:spacing w:after="0"/>
              <w:rPr>
                <w:sz w:val="20"/>
                <w:szCs w:val="20"/>
                <w:color w:val="auto"/>
              </w:rPr>
            </w:pPr>
            <w:r>
              <w:rPr>
                <w:rFonts w:ascii="Arial" w:cs="Arial" w:eastAsia="Arial" w:hAnsi="Arial"/>
                <w:sz w:val="18"/>
                <w:szCs w:val="18"/>
                <w:color w:val="auto"/>
                <w:w w:val="88"/>
              </w:rPr>
              <w:t>Asset Management Company</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56,591,230</w:t>
            </w:r>
          </w:p>
        </w:tc>
        <w:tc>
          <w:tcPr>
            <w:tcW w:w="20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57,381,000</w:t>
            </w:r>
          </w:p>
        </w:tc>
        <w:tc>
          <w:tcPr>
            <w:tcW w:w="0" w:type="dxa"/>
            <w:vAlign w:val="bottom"/>
          </w:tcPr>
          <w:p>
            <w:pPr>
              <w:spacing w:after="0"/>
              <w:rPr>
                <w:sz w:val="1"/>
                <w:szCs w:val="1"/>
                <w:color w:val="auto"/>
              </w:rPr>
            </w:pPr>
          </w:p>
        </w:tc>
      </w:tr>
      <w:tr>
        <w:trPr>
          <w:trHeight w:val="642"/>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56,591,230</w:t>
            </w:r>
          </w:p>
        </w:tc>
        <w:tc>
          <w:tcPr>
            <w:tcW w:w="1260" w:type="dxa"/>
            <w:vAlign w:val="bottom"/>
          </w:tcPr>
          <w:p>
            <w:pPr>
              <w:jc w:val="right"/>
              <w:spacing w:after="0"/>
              <w:rPr>
                <w:sz w:val="20"/>
                <w:szCs w:val="20"/>
                <w:color w:val="auto"/>
              </w:rPr>
            </w:pPr>
            <w:r>
              <w:rPr>
                <w:rFonts w:ascii="Arial" w:cs="Arial" w:eastAsia="Arial" w:hAnsi="Arial"/>
                <w:sz w:val="18"/>
                <w:szCs w:val="18"/>
                <w:color w:val="auto"/>
              </w:rPr>
              <w:t>57,381,000</w:t>
            </w:r>
          </w:p>
        </w:tc>
        <w:tc>
          <w:tcPr>
            <w:tcW w:w="0" w:type="dxa"/>
            <w:vAlign w:val="bottom"/>
          </w:tcPr>
          <w:p>
            <w:pPr>
              <w:spacing w:after="0"/>
              <w:rPr>
                <w:sz w:val="1"/>
                <w:szCs w:val="1"/>
                <w:color w:val="auto"/>
              </w:rPr>
            </w:pPr>
          </w:p>
        </w:tc>
      </w:tr>
      <w:tr>
        <w:trPr>
          <w:trHeight w:val="426"/>
        </w:trPr>
        <w:tc>
          <w:tcPr>
            <w:tcW w:w="5060" w:type="dxa"/>
            <w:vAlign w:val="bottom"/>
            <w:gridSpan w:val="4"/>
          </w:tcPr>
          <w:p>
            <w:pPr>
              <w:jc w:val="right"/>
              <w:ind w:right="920"/>
              <w:spacing w:after="0"/>
              <w:rPr>
                <w:sz w:val="20"/>
                <w:szCs w:val="20"/>
                <w:color w:val="auto"/>
              </w:rPr>
            </w:pPr>
            <w:r>
              <w:rPr>
                <w:rFonts w:ascii="Arial" w:cs="Arial" w:eastAsia="Arial" w:hAnsi="Arial"/>
                <w:sz w:val="18"/>
                <w:szCs w:val="18"/>
                <w:color w:val="auto"/>
              </w:rPr>
              <w:t>See accompanying notes to financial statements.</w:t>
            </w:r>
          </w:p>
        </w:tc>
        <w:tc>
          <w:tcPr>
            <w:tcW w:w="12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440" w:type="dxa"/>
            <w:vAlign w:val="bottom"/>
          </w:tcPr>
          <w:p>
            <w:pPr>
              <w:jc w:val="right"/>
              <w:ind w:right="10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-1294130</wp:posOffset>
            </wp:positionV>
            <wp:extent cx="7246620"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20" w:space="340"/>
            <w:col w:w="7860"/>
          </w:cols>
          <w:pgMar w:left="240" w:top="904"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w w:val="97"/>
              </w:rPr>
              <w:t>Time Deposits and Money Market Account</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w w:val="97"/>
              </w:rPr>
              <w:t>Time Deposit and Money Market Accounts</w:t>
            </w:r>
          </w:p>
        </w:tc>
        <w:tc>
          <w:tcPr>
            <w:tcW w:w="354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66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rPr>
              <w:t>Yield</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4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JP Morgan Business Money Market</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Money Market Account</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56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30"/>
                <w:szCs w:val="30"/>
                <w:color w:val="auto"/>
                <w:vertAlign w:val="subscript"/>
              </w:rPr>
              <w:t>Account</w:t>
            </w:r>
            <w:r>
              <w:rPr>
                <w:rFonts w:ascii="Arial" w:cs="Arial" w:eastAsia="Arial" w:hAnsi="Arial"/>
                <w:sz w:val="14"/>
                <w:szCs w:val="14"/>
                <w:color w:val="auto"/>
              </w:rPr>
              <w:t xml:space="preserve"> (8), (9)</w:t>
            </w:r>
          </w:p>
        </w:tc>
        <w:tc>
          <w:tcPr>
            <w:tcW w:w="3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0.10%  $</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249,247</w:t>
            </w:r>
          </w:p>
        </w:tc>
        <w:tc>
          <w:tcPr>
            <w:tcW w:w="0" w:type="dxa"/>
            <w:vAlign w:val="bottom"/>
          </w:tcPr>
          <w:p>
            <w:pPr>
              <w:spacing w:after="0"/>
              <w:rPr>
                <w:sz w:val="1"/>
                <w:szCs w:val="1"/>
                <w:color w:val="auto"/>
              </w:rPr>
            </w:pPr>
          </w:p>
        </w:tc>
      </w:tr>
      <w:tr>
        <w:trPr>
          <w:trHeight w:val="217"/>
        </w:trPr>
        <w:tc>
          <w:tcPr>
            <w:tcW w:w="3560" w:type="dxa"/>
            <w:vAlign w:val="bottom"/>
            <w:gridSpan w:val="2"/>
          </w:tcPr>
          <w:p>
            <w:pPr>
              <w:spacing w:after="0"/>
              <w:rPr>
                <w:sz w:val="20"/>
                <w:szCs w:val="20"/>
                <w:color w:val="auto"/>
              </w:rPr>
            </w:pPr>
            <w:r>
              <w:rPr>
                <w:rFonts w:ascii="Arial" w:cs="Arial" w:eastAsia="Arial" w:hAnsi="Arial"/>
                <w:sz w:val="18"/>
                <w:szCs w:val="18"/>
                <w:color w:val="auto"/>
              </w:rPr>
              <w:t>US Bank Money Market</w:t>
            </w:r>
          </w:p>
        </w:tc>
        <w:tc>
          <w:tcPr>
            <w:tcW w:w="3540" w:type="dxa"/>
            <w:vAlign w:val="bottom"/>
            <w:gridSpan w:val="2"/>
          </w:tcPr>
          <w:p>
            <w:pPr>
              <w:spacing w:after="0"/>
              <w:rPr>
                <w:sz w:val="20"/>
                <w:szCs w:val="20"/>
                <w:color w:val="auto"/>
              </w:rPr>
            </w:pPr>
            <w:r>
              <w:rPr>
                <w:rFonts w:ascii="Arial" w:cs="Arial" w:eastAsia="Arial" w:hAnsi="Arial"/>
                <w:sz w:val="18"/>
                <w:szCs w:val="18"/>
                <w:color w:val="auto"/>
              </w:rPr>
              <w:t>Money Market Account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80"/>
        <w:spacing w:after="0" w:line="188" w:lineRule="auto"/>
        <w:rPr>
          <w:sz w:val="20"/>
          <w:szCs w:val="20"/>
          <w:color w:val="auto"/>
        </w:rPr>
      </w:pPr>
      <w:r>
        <w:rPr>
          <w:rFonts w:ascii="Arial" w:cs="Arial" w:eastAsia="Arial" w:hAnsi="Arial"/>
          <w:sz w:val="18"/>
          <w:szCs w:val="18"/>
          <w:color w:val="auto"/>
        </w:rPr>
        <w:t>Account</w:t>
      </w:r>
      <w:r>
        <w:rPr>
          <w:rFonts w:ascii="Arial" w:cs="Arial" w:eastAsia="Arial" w:hAnsi="Arial"/>
          <w:sz w:val="30"/>
          <w:szCs w:val="30"/>
          <w:color w:val="auto"/>
          <w:vertAlign w:val="superscript"/>
        </w:rPr>
        <w:t>(9)</w:t>
      </w:r>
    </w:p>
    <w:p>
      <w:pPr>
        <w:ind w:left="180" w:hanging="179"/>
        <w:spacing w:after="0" w:line="249" w:lineRule="auto"/>
        <w:rPr>
          <w:sz w:val="20"/>
          <w:szCs w:val="20"/>
          <w:color w:val="auto"/>
        </w:rPr>
      </w:pPr>
      <w:r>
        <w:rPr>
          <w:rFonts w:ascii="Arial" w:cs="Arial" w:eastAsia="Arial" w:hAnsi="Arial"/>
          <w:sz w:val="18"/>
          <w:szCs w:val="18"/>
          <w:b w:val="1"/>
          <w:bCs w:val="1"/>
          <w:color w:val="auto"/>
        </w:rPr>
        <w:t>Total Investment in Time Deposit and Money Market Accounts (1% of net asset value at fair value)</w:t>
      </w:r>
    </w:p>
    <w:p>
      <w:pPr>
        <w:spacing w:after="0" w:line="2" w:lineRule="exact"/>
        <w:rPr>
          <w:sz w:val="20"/>
          <w:szCs w:val="20"/>
          <w:color w:val="auto"/>
        </w:rPr>
      </w:pPr>
    </w:p>
    <w:p>
      <w:pPr>
        <w:ind w:left="180" w:right="360" w:hanging="179"/>
        <w:spacing w:after="0" w:line="211" w:lineRule="auto"/>
        <w:rPr>
          <w:sz w:val="20"/>
          <w:szCs w:val="20"/>
          <w:color w:val="auto"/>
        </w:rPr>
      </w:pPr>
      <w:r>
        <w:rPr>
          <w:rFonts w:ascii="Arial" w:cs="Arial" w:eastAsia="Arial" w:hAnsi="Arial"/>
          <w:sz w:val="18"/>
          <w:szCs w:val="18"/>
          <w:b w:val="1"/>
          <w:bCs w:val="1"/>
          <w:color w:val="auto"/>
        </w:rPr>
        <w:t>Total Investments</w:t>
      </w:r>
      <w:r>
        <w:rPr>
          <w:rFonts w:ascii="Arial" w:cs="Arial" w:eastAsia="Arial" w:hAnsi="Arial"/>
          <w:sz w:val="30"/>
          <w:szCs w:val="30"/>
          <w:b w:val="1"/>
          <w:bCs w:val="1"/>
          <w:color w:val="auto"/>
          <w:vertAlign w:val="superscript"/>
        </w:rPr>
        <w:t>(4)</w:t>
      </w:r>
      <w:r>
        <w:rPr>
          <w:rFonts w:ascii="Arial" w:cs="Arial" w:eastAsia="Arial" w:hAnsi="Arial"/>
          <w:sz w:val="18"/>
          <w:szCs w:val="18"/>
          <w:b w:val="1"/>
          <w:bCs w:val="1"/>
          <w:color w:val="auto"/>
        </w:rPr>
        <w:t xml:space="preserve"> (190% of net asset value at fair value)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100"/>
        <w:spacing w:after="0"/>
        <w:tabs>
          <w:tab w:leader="none" w:pos="2160" w:val="left"/>
          <w:tab w:leader="none" w:pos="700" w:val="left"/>
        </w:tabs>
        <w:rPr>
          <w:sz w:val="20"/>
          <w:szCs w:val="20"/>
          <w:color w:val="auto"/>
        </w:rPr>
      </w:pPr>
      <w:r>
        <w:rPr>
          <w:rFonts w:ascii="Arial" w:cs="Arial" w:eastAsia="Arial" w:hAnsi="Arial"/>
          <w:sz w:val="18"/>
          <w:szCs w:val="18"/>
          <w:color w:val="auto"/>
        </w:rPr>
        <w:t>0.02%</w:t>
      </w:r>
      <w:r>
        <w:rPr>
          <w:sz w:val="20"/>
          <w:szCs w:val="20"/>
          <w:color w:val="auto"/>
        </w:rPr>
        <w:tab/>
      </w:r>
      <w:r>
        <w:rPr>
          <w:rFonts w:ascii="Arial" w:cs="Arial" w:eastAsia="Arial" w:hAnsi="Arial"/>
          <w:sz w:val="18"/>
          <w:szCs w:val="18"/>
          <w:color w:val="auto"/>
        </w:rPr>
        <w:t>1,880,134</w:t>
      </w:r>
      <w:r>
        <w:rPr>
          <w:sz w:val="20"/>
          <w:szCs w:val="20"/>
          <w:color w:val="auto"/>
        </w:rPr>
        <w:tab/>
      </w:r>
      <w:r>
        <w:rPr>
          <w:rFonts w:ascii="Arial" w:cs="Arial" w:eastAsia="Arial" w:hAnsi="Arial"/>
          <w:sz w:val="16"/>
          <w:szCs w:val="16"/>
          <w:color w:val="auto"/>
        </w:rPr>
        <w:t>1,880,134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23495</wp:posOffset>
            </wp:positionV>
            <wp:extent cx="7246620" cy="420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180"/>
        <w:spacing w:after="0"/>
        <w:tabs>
          <w:tab w:leader="none" w:pos="6620" w:val="left"/>
        </w:tabs>
        <w:rPr>
          <w:sz w:val="20"/>
          <w:szCs w:val="20"/>
          <w:color w:val="auto"/>
        </w:rPr>
      </w:pPr>
      <w:r>
        <w:rPr>
          <w:rFonts w:ascii="Arial" w:cs="Arial" w:eastAsia="Arial" w:hAnsi="Arial"/>
          <w:sz w:val="18"/>
          <w:szCs w:val="18"/>
          <w:color w:val="auto"/>
        </w:rPr>
        <w:t>2,129,381</w:t>
      </w:r>
      <w:r>
        <w:rPr>
          <w:sz w:val="20"/>
          <w:szCs w:val="20"/>
          <w:color w:val="auto"/>
        </w:rPr>
        <w:tab/>
      </w:r>
      <w:r>
        <w:rPr>
          <w:rFonts w:ascii="Arial" w:cs="Arial" w:eastAsia="Arial" w:hAnsi="Arial"/>
          <w:sz w:val="18"/>
          <w:szCs w:val="18"/>
          <w:color w:val="auto"/>
        </w:rPr>
        <w:t>2,129,381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14605</wp:posOffset>
            </wp:positionV>
            <wp:extent cx="17151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73" w:lineRule="exact"/>
        <w:rPr>
          <w:sz w:val="20"/>
          <w:szCs w:val="20"/>
          <w:color w:val="auto"/>
        </w:rPr>
      </w:pPr>
    </w:p>
    <w:p>
      <w:pPr>
        <w:jc w:val="both"/>
        <w:ind w:left="4660"/>
        <w:spacing w:after="0"/>
        <w:tabs>
          <w:tab w:leader="none" w:pos="4980" w:val="left"/>
          <w:tab w:leader="none" w:pos="6080" w:val="left"/>
          <w:tab w:leader="none" w:pos="6440" w:val="left"/>
        </w:tabs>
        <w:rPr>
          <w:sz w:val="20"/>
          <w:szCs w:val="20"/>
          <w:color w:val="auto"/>
        </w:rPr>
      </w:pPr>
      <w:r>
        <w:rPr>
          <w:rFonts w:ascii="Arial" w:cs="Arial" w:eastAsia="Arial" w:hAnsi="Arial"/>
          <w:sz w:val="18"/>
          <w:szCs w:val="18"/>
          <w:u w:val="single" w:color="auto"/>
          <w:color w:val="auto"/>
        </w:rPr>
        <w:t>$</w:t>
        <w:tab/>
        <w:t>450,712,189</w:t>
        <w:tab/>
        <w:t>$</w:t>
      </w:r>
      <w:r>
        <w:rPr>
          <w:sz w:val="20"/>
          <w:szCs w:val="20"/>
          <w:color w:val="auto"/>
        </w:rPr>
        <w:tab/>
      </w:r>
      <w:r>
        <w:rPr>
          <w:rFonts w:ascii="Arial" w:cs="Arial" w:eastAsia="Arial" w:hAnsi="Arial"/>
          <w:sz w:val="16"/>
          <w:szCs w:val="16"/>
          <w:u w:val="single" w:color="auto"/>
          <w:color w:val="auto"/>
        </w:rPr>
        <w:t>409,570,495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31750</wp:posOffset>
            </wp:positionV>
            <wp:extent cx="17151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ectPr>
          <w:pgSz w:w="11900" w:h="16838" w:orient="portrait"/>
          <w:cols w:equalWidth="0" w:num="2">
            <w:col w:w="3360" w:space="600"/>
            <w:col w:w="7460"/>
          </w:cols>
          <w:pgMar w:left="240" w:top="904" w:right="239" w:bottom="1440" w:gutter="0" w:footer="0" w:header="0"/>
          <w:type w:val="continuous"/>
        </w:sect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2" w:name="page33"/>
    <w:bookmarkEnd w:id="32"/>
    <w:p>
      <w:pPr>
        <w:jc w:val="both"/>
        <w:ind w:left="372" w:hanging="372"/>
        <w:spacing w:after="0" w:line="221" w:lineRule="auto"/>
        <w:tabs>
          <w:tab w:leader="none" w:pos="372"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w:t>
      </w:r>
    </w:p>
    <w:p>
      <w:pPr>
        <w:spacing w:after="0" w:line="2" w:lineRule="exact"/>
        <w:rPr>
          <w:sz w:val="20"/>
          <w:szCs w:val="20"/>
          <w:color w:val="auto"/>
        </w:rPr>
      </w:pPr>
    </w:p>
    <w:p>
      <w:pPr>
        <w:ind w:left="372"/>
        <w:spacing w:after="0" w:line="250" w:lineRule="auto"/>
        <w:rPr>
          <w:sz w:val="20"/>
          <w:szCs w:val="20"/>
          <w:color w:val="auto"/>
        </w:rPr>
      </w:pPr>
      <w:r>
        <w:rPr>
          <w:rFonts w:ascii="Arial" w:cs="Arial" w:eastAsia="Arial" w:hAnsi="Arial"/>
          <w:sz w:val="18"/>
          <w:szCs w:val="18"/>
          <w:color w:val="auto"/>
        </w:rPr>
        <w:t>the borrower’s option. The Borrower may also elect to have multiple interest reset periods for each loan. For each such loan, the Company has provided the weighted average annual stated interest rate in effect at December 31, 2015. As noted in the table above, 77% (based on par) of debt securities contain LIBOR floors which range between 0.75% and 3.0%.</w:t>
      </w:r>
    </w:p>
    <w:p>
      <w:pPr>
        <w:ind w:left="372" w:hanging="372"/>
        <w:spacing w:after="0" w:line="181" w:lineRule="auto"/>
        <w:tabs>
          <w:tab w:leader="none" w:pos="372"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December 31, 2015, as determined by the Company’s Board of Directors.</w:t>
      </w:r>
    </w:p>
    <w:p>
      <w:pPr>
        <w:ind w:left="372" w:hanging="372"/>
        <w:spacing w:after="0" w:line="180" w:lineRule="auto"/>
        <w:tabs>
          <w:tab w:leader="none" w:pos="372"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ind w:left="372" w:hanging="372"/>
        <w:spacing w:after="0" w:line="181" w:lineRule="auto"/>
        <w:tabs>
          <w:tab w:leader="none" w:pos="372"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The aggregate cost of investments for federal income tax purposes is approximately $471 million. The aggregate gross unrealized appreciation is</w:t>
      </w:r>
    </w:p>
    <w:p>
      <w:pPr>
        <w:spacing w:after="0" w:line="2" w:lineRule="exact"/>
        <w:rPr>
          <w:sz w:val="20"/>
          <w:szCs w:val="20"/>
          <w:color w:val="auto"/>
        </w:rPr>
      </w:pPr>
    </w:p>
    <w:p>
      <w:pPr>
        <w:ind w:left="372" w:right="720"/>
        <w:spacing w:after="0" w:line="249" w:lineRule="auto"/>
        <w:rPr>
          <w:sz w:val="20"/>
          <w:szCs w:val="20"/>
          <w:color w:val="auto"/>
        </w:rPr>
      </w:pPr>
      <w:r>
        <w:rPr>
          <w:rFonts w:ascii="Arial" w:cs="Arial" w:eastAsia="Arial" w:hAnsi="Arial"/>
          <w:sz w:val="18"/>
          <w:szCs w:val="18"/>
          <w:color w:val="auto"/>
        </w:rPr>
        <w:t>approximately $7.0 million, the aggregate gross unrealized depreciation is approximately $68.2 million, and the net unrealized depreciation is approximately $61.2 million.</w:t>
      </w:r>
    </w:p>
    <w:p>
      <w:pPr>
        <w:ind w:left="372" w:hanging="372"/>
        <w:spacing w:after="0" w:line="181" w:lineRule="auto"/>
        <w:tabs>
          <w:tab w:leader="none" w:pos="372"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ind w:left="372" w:hanging="372"/>
        <w:spacing w:after="0" w:line="180" w:lineRule="auto"/>
        <w:tabs>
          <w:tab w:leader="none" w:pos="372"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372" w:hanging="372"/>
        <w:spacing w:after="0" w:line="181" w:lineRule="auto"/>
        <w:tabs>
          <w:tab w:leader="none" w:pos="372"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372" w:hanging="372"/>
        <w:spacing w:after="0" w:line="180" w:lineRule="auto"/>
        <w:tabs>
          <w:tab w:leader="none" w:pos="372"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372" w:hanging="372"/>
        <w:spacing w:after="0" w:line="180" w:lineRule="auto"/>
        <w:tabs>
          <w:tab w:leader="none" w:pos="372"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spacing w:after="0" w:line="2" w:lineRule="exact"/>
        <w:rPr>
          <w:sz w:val="20"/>
          <w:szCs w:val="20"/>
          <w:color w:val="auto"/>
        </w:rPr>
      </w:pPr>
    </w:p>
    <w:p>
      <w:pPr>
        <w:ind w:left="372" w:right="480" w:hanging="372"/>
        <w:spacing w:after="0" w:line="187" w:lineRule="auto"/>
        <w:tabs>
          <w:tab w:leader="none" w:pos="372"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As of December 31, 2015, this investment is owned by KCAP Senior Funding I, LLC and was pledged to secure KCAP Senior Funding I, LLC’s obligation.</w:t>
      </w:r>
    </w:p>
    <w:p>
      <w:pPr>
        <w:ind w:left="372" w:right="100" w:hanging="372"/>
        <w:spacing w:after="0" w:line="214" w:lineRule="auto"/>
        <w:tabs>
          <w:tab w:leader="none" w:pos="372"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3" w:lineRule="exact"/>
        <w:rPr>
          <w:rFonts w:ascii="Arial" w:cs="Arial" w:eastAsia="Arial" w:hAnsi="Arial"/>
          <w:sz w:val="30"/>
          <w:szCs w:val="30"/>
          <w:color w:val="auto"/>
          <w:vertAlign w:val="superscript"/>
        </w:rPr>
      </w:pPr>
    </w:p>
    <w:p>
      <w:pPr>
        <w:ind w:left="372" w:hanging="372"/>
        <w:spacing w:after="0" w:line="180" w:lineRule="auto"/>
        <w:tabs>
          <w:tab w:leader="none" w:pos="372"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Non-voting.</w:t>
      </w:r>
    </w:p>
    <w:p>
      <w:pPr>
        <w:spacing w:after="0" w:line="2" w:lineRule="exact"/>
        <w:rPr>
          <w:rFonts w:ascii="Arial" w:cs="Arial" w:eastAsia="Arial" w:hAnsi="Arial"/>
          <w:sz w:val="25"/>
          <w:szCs w:val="25"/>
          <w:color w:val="auto"/>
          <w:vertAlign w:val="superscript"/>
        </w:rPr>
      </w:pPr>
    </w:p>
    <w:p>
      <w:pPr>
        <w:jc w:val="both"/>
        <w:ind w:left="372" w:right="40" w:hanging="372"/>
        <w:spacing w:after="0" w:line="214" w:lineRule="auto"/>
        <w:tabs>
          <w:tab w:leader="none" w:pos="372"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30"/>
          <w:szCs w:val="30"/>
          <w:color w:val="auto"/>
          <w:vertAlign w:val="superscript"/>
        </w:rPr>
      </w:pPr>
    </w:p>
    <w:p>
      <w:pPr>
        <w:ind w:left="372" w:hanging="372"/>
        <w:spacing w:after="0" w:line="180" w:lineRule="auto"/>
        <w:tabs>
          <w:tab w:leader="none" w:pos="372"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Notice of redemption has been received for this transaction.</w:t>
      </w:r>
    </w:p>
    <w:p>
      <w:pPr>
        <w:spacing w:after="0" w:line="200" w:lineRule="exact"/>
        <w:rPr>
          <w:sz w:val="20"/>
          <w:szCs w:val="20"/>
          <w:color w:val="auto"/>
        </w:rPr>
      </w:pPr>
    </w:p>
    <w:p>
      <w:pPr>
        <w:spacing w:after="0" w:line="21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0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0" w:type="dxa"/>
            <w:vAlign w:val="bottom"/>
          </w:tcPr>
          <w:p>
            <w:pPr>
              <w:jc w:val="center"/>
              <w:ind w:left="3311"/>
              <w:spacing w:after="0"/>
              <w:rPr>
                <w:sz w:val="20"/>
                <w:szCs w:val="20"/>
                <w:color w:val="auto"/>
              </w:rPr>
            </w:pPr>
            <w:r>
              <w:rPr>
                <w:rFonts w:ascii="Arial" w:cs="Arial" w:eastAsia="Arial" w:hAnsi="Arial"/>
                <w:sz w:val="18"/>
                <w:szCs w:val="18"/>
                <w:b w:val="1"/>
                <w:bCs w:val="1"/>
                <w:color w:val="auto"/>
              </w:rPr>
              <w:t>KCAP FINANCIAL, INC.</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00" w:type="dxa"/>
            <w:vAlign w:val="bottom"/>
          </w:tcPr>
          <w:p>
            <w:pPr>
              <w:jc w:val="center"/>
              <w:ind w:left="3291"/>
              <w:spacing w:after="0"/>
              <w:rPr>
                <w:sz w:val="20"/>
                <w:szCs w:val="20"/>
                <w:color w:val="auto"/>
              </w:rPr>
            </w:pPr>
            <w:r>
              <w:rPr>
                <w:rFonts w:ascii="Arial" w:cs="Arial" w:eastAsia="Arial" w:hAnsi="Arial"/>
                <w:sz w:val="18"/>
                <w:szCs w:val="18"/>
                <w:b w:val="1"/>
                <w:bCs w:val="1"/>
                <w:color w:val="auto"/>
              </w:rPr>
              <w:t>CONSOLIDATED FINANCIAL HIGHLIGHTS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jc w:val="center"/>
              <w:ind w:left="3291"/>
              <w:spacing w:after="0"/>
              <w:rPr>
                <w:sz w:val="20"/>
                <w:szCs w:val="20"/>
                <w:color w:val="auto"/>
              </w:rPr>
            </w:pPr>
            <w:r>
              <w:rPr>
                <w:rFonts w:ascii="Arial" w:cs="Arial" w:eastAsia="Arial" w:hAnsi="Arial"/>
                <w:sz w:val="18"/>
                <w:szCs w:val="18"/>
                <w:b w:val="1"/>
                <w:bCs w:val="1"/>
                <w:color w:val="auto"/>
                <w:w w:val="91"/>
              </w:rPr>
              <w:t>(unaudited)</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5.82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0" w:type="dxa"/>
            <w:vAlign w:val="bottom"/>
          </w:tcPr>
          <w:p>
            <w:pPr>
              <w:ind w:left="160"/>
              <w:spacing w:after="0" w:line="256" w:lineRule="exact"/>
              <w:rPr>
                <w:sz w:val="20"/>
                <w:szCs w:val="20"/>
                <w:color w:val="auto"/>
              </w:rPr>
            </w:pPr>
            <w:r>
              <w:rPr>
                <w:rFonts w:ascii="Arial" w:cs="Arial" w:eastAsia="Arial" w:hAnsi="Arial"/>
                <w:sz w:val="18"/>
                <w:szCs w:val="18"/>
                <w:color w:val="auto"/>
              </w:rPr>
              <w:t>Net realized losses</w:t>
            </w:r>
            <w:r>
              <w:rPr>
                <w:rFonts w:ascii="Arial" w:cs="Arial" w:eastAsia="Arial" w:hAnsi="Arial"/>
                <w:sz w:val="29"/>
                <w:szCs w:val="29"/>
                <w:color w:val="auto"/>
                <w:vertAlign w:val="superscript"/>
              </w:rPr>
              <w:t>1</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0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Net change in unrealized depreciation on investments</w:t>
            </w:r>
            <w:r>
              <w:rPr>
                <w:rFonts w:ascii="Arial" w:cs="Arial" w:eastAsia="Arial" w:hAnsi="Arial"/>
                <w:sz w:val="30"/>
                <w:szCs w:val="30"/>
                <w:color w:val="auto"/>
                <w:vertAlign w:val="superscript"/>
              </w:rPr>
              <w:t>1</w:t>
            </w: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Net decrease in net assets resulting from operations</w:t>
            </w: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(0.45)</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relating to stock-based transactions: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reinvestment plan</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shd w:val="clear" w:color="auto" w:fill="CCEEFF"/>
          </w:tcPr>
          <w:p>
            <w:pPr>
              <w:ind w:left="320"/>
              <w:spacing w:after="0" w:line="256" w:lineRule="exact"/>
              <w:rPr>
                <w:sz w:val="20"/>
                <w:szCs w:val="20"/>
                <w:color w:val="auto"/>
              </w:rPr>
            </w:pPr>
            <w:r>
              <w:rPr>
                <w:rFonts w:ascii="Arial" w:cs="Arial" w:eastAsia="Arial" w:hAnsi="Arial"/>
                <w:sz w:val="18"/>
                <w:szCs w:val="18"/>
                <w:color w:val="auto"/>
              </w:rPr>
              <w:t>Net increase (decrease) in net assets relating to stock-based transactions</w:t>
            </w:r>
            <w:r>
              <w:rPr>
                <w:rFonts w:ascii="Arial" w:cs="Arial" w:eastAsia="Arial" w:hAnsi="Arial"/>
                <w:sz w:val="29"/>
                <w:szCs w:val="29"/>
                <w:color w:val="auto"/>
                <w:vertAlign w:val="superscript"/>
              </w:rPr>
              <w:t>6</w:t>
            </w: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000" w:type="dxa"/>
            <w:vAlign w:val="bottom"/>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4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spacing w:after="0" w:line="250" w:lineRule="exact"/>
              <w:rPr>
                <w:sz w:val="20"/>
                <w:szCs w:val="20"/>
                <w:color w:val="auto"/>
              </w:rPr>
            </w:pPr>
            <w:r>
              <w:rPr>
                <w:rFonts w:ascii="Arial" w:cs="Arial" w:eastAsia="Arial" w:hAnsi="Arial"/>
                <w:sz w:val="17"/>
                <w:szCs w:val="17"/>
                <w:color w:val="auto"/>
              </w:rPr>
              <w:t>Total net asset value return</w:t>
            </w:r>
            <w:r>
              <w:rPr>
                <w:rFonts w:ascii="Arial" w:cs="Arial" w:eastAsia="Arial" w:hAnsi="Arial"/>
                <w:sz w:val="28"/>
                <w:szCs w:val="28"/>
                <w:color w:val="auto"/>
                <w:vertAlign w:val="superscript"/>
              </w:rPr>
              <w:t>2</w:t>
            </w: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beginning of period</w:t>
            </w: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4.63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37,160,770</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37,052,575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199,903,373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234,599,882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0" w:type="dxa"/>
            <w:vAlign w:val="bottom"/>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4</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Average par debt outstanding</w:t>
            </w: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192,692,951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227,250,480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Asset coverage ratio</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0" w:type="dxa"/>
            <w:vAlign w:val="bottom"/>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30"/>
                <w:szCs w:val="30"/>
                <w:color w:val="auto"/>
                <w:vertAlign w:val="superscript"/>
              </w:rPr>
              <w:t>5</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line="226"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ind w:left="340" w:hanging="332"/>
        <w:spacing w:after="0" w:line="180"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Total net asset value return (not annualized) equals the change in the ending of period net asset value per share over the beginning of period net asset</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value per share plus distributions (including any return of capital), divided by the beginning of period net asset value per share.</w:t>
      </w:r>
    </w:p>
    <w:p>
      <w:pPr>
        <w:ind w:left="340" w:hanging="332"/>
        <w:spacing w:after="0" w:line="186"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Total market return equals the change in the ending of period market price per share over the beginning of period price per share plus distributions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(including any return of capital), divided by the beginning of period market price per share.</w:t>
      </w:r>
    </w:p>
    <w:p>
      <w:pPr>
        <w:ind w:left="340" w:hanging="332"/>
        <w:spacing w:after="0" w:line="186"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6"/>
          <w:szCs w:val="16"/>
          <w:color w:val="auto"/>
        </w:rPr>
        <w:t>Not annualized. Portfolio turnover rate equals the year-to-date sales and paydowns over the average of the invested assets at fair value.</w:t>
      </w:r>
    </w:p>
    <w:p>
      <w:pPr>
        <w:ind w:left="340" w:hanging="332"/>
        <w:spacing w:after="0" w:line="180"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6"/>
          <w:szCs w:val="16"/>
          <w:color w:val="auto"/>
        </w:rPr>
        <w:t>Annualized</w:t>
      </w:r>
    </w:p>
    <w:p>
      <w:pPr>
        <w:ind w:left="340" w:hanging="332"/>
        <w:spacing w:after="0" w:line="181"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6"/>
          <w:szCs w:val="16"/>
          <w:color w:val="auto"/>
        </w:rPr>
        <w:t>Totals may not sum due to rounding.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(collectively, “Katonah Debt Advisors”) and in securities issued by collateralized loan obligation funds (“CLO Funds”) managed by Katonah Debt Advisors and two other asset managers.</w:t>
      </w:r>
    </w:p>
    <w:p>
      <w:pPr>
        <w:spacing w:after="0" w:line="1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the Company’s common stock, and net proceeds of $27 million.</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February 29, 2012, the Company purchased Trimaran Advisors, L.L.C. (“Trimaran Advisors”), an asset manager similar to Katonah Debt Advisors,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On October 6, 2014, the Company completed a follow-on public offering of 3.0 million shares of its common stock at a price of $8.02 per share. The offering raised net proceeds of approximately $23.8 million, after deducting underwriting discounts and offering expenses.</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of September 30, 2016, Katonah Debt Advisors and Trimaran Advisors, as well as affiliated management companies Katonah 2007-1 Management, L.L.C., and Trimaran Advisors Management, L.L.C. (collectively the “Asset Manager Affiliates”), had approximately $2.6 billion of par value assets under management. The Asset Manager Affiliates are each managed independently from KCAP by a separate management team (however, certain of the Company’s executive officers also act in similar capacities for one or both of the Asset Manager Affiliates). The Asset Manager Affiliates provide investment management services to CLO Funds, making day-to-day investment decisions concerning the assets of the CLO Funds. The Asset Manager Affiliates do not have any investments in the CLO Funds they manage; however, KCAP holds investments in a portion of the securities issued by the CLO Funds managed by the Asset Manager Affiliates.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three principal areas of investment:</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privately-held middle market companies.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Second, the Company has invested in the Asset Manager Affiliates, which manage CLO Funds.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5" w:name="page36"/>
    <w:bookmarkEnd w:id="35"/>
    <w:p>
      <w:pPr>
        <w:jc w:val="both"/>
        <w:ind w:firstLine="324"/>
        <w:spacing w:after="0" w:line="264" w:lineRule="auto"/>
        <w:rPr>
          <w:sz w:val="20"/>
          <w:szCs w:val="20"/>
          <w:color w:val="auto"/>
        </w:rPr>
      </w:pPr>
      <w:r>
        <w:rPr>
          <w:rFonts w:ascii="Arial" w:cs="Arial" w:eastAsia="Arial" w:hAnsi="Arial"/>
          <w:sz w:val="18"/>
          <w:szCs w:val="18"/>
          <w:color w:val="auto"/>
        </w:rPr>
        <w:t>Third, the Company invests in debt and subordinated securities issued by CLO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may also invest in other investments such as loans to publicly-traded companies, high-yield bonds and distressed debt securities. The Company may also receive warrants or options to purchase common stock in connection with its debt investments.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3" w:lineRule="exact"/>
        <w:rPr>
          <w:sz w:val="20"/>
          <w:szCs w:val="20"/>
          <w:color w:val="auto"/>
        </w:rPr>
      </w:pPr>
    </w:p>
    <w:p>
      <w:pPr>
        <w:ind w:left="340" w:right="7840" w:hanging="332"/>
        <w:spacing w:after="0" w:line="503" w:lineRule="auto"/>
        <w:tabs>
          <w:tab w:leader="none" w:pos="19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accounting principles generally accepted in the United States of America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2015, as filed with the U.S. Securities and Exchange Commission (the “Commission” or the “SEC”).</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19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and KCAP Senior Funding I Holdings, LLC in its consolidated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17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Asset Manager Affiliates are subject to Accounting Standards Codification Topic 810, “Consolidation” and although the Company cannot consolidate the financial statements of portfolio company investments, this guidance impacts the Company’s required disclosures relating to the Asset Manager Affiliates. 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18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On February 18, 2015, the Financial Accounting Standards Board (“FASB”) issued Accounting Standards Update 2015-2 (“ASU 2015-2”), which updated consolidation standards under ASC Topic 810, “Consolidation”. Under this update, a new consolidation analysis is required for variable interest entities (“VIEs”) and will limit the circumstances in which investment managers and similar entities are required to consolidate the entities that they manage. The FASB decided to eliminate some of the criteria under which their management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early adoption is permitted. The Asset Manager Affiliates adopted ASU 2015-2 in 2016 which resulted in the deconsolidation of the CLO Funds managed by them.</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324"/>
        <w:spacing w:after="0" w:line="312" w:lineRule="auto"/>
        <w:rPr>
          <w:sz w:val="20"/>
          <w:szCs w:val="20"/>
          <w:color w:val="auto"/>
        </w:rPr>
      </w:pPr>
      <w:r>
        <w:rPr>
          <w:rFonts w:ascii="Arial" w:cs="Arial" w:eastAsia="Arial" w:hAnsi="Arial"/>
          <w:sz w:val="16"/>
          <w:szCs w:val="16"/>
          <w:color w:val="auto"/>
        </w:rPr>
        <w:t>In addition, in accordance with Regulation S-X promulgated by the SEC, additional financial information with respect to one of the CLO Funds in which the Company has an investment, Katonah 2007-I CLO Ltd. (“Katonah 2007-I CLO”), is required to be included in the Company’s SEC filings. The additional financial information regarding the Asset Manager Affiliates and Katonah 2007-I CLO is set forth in Note 5 to these consolidated financial statements.</w:t>
      </w:r>
    </w:p>
    <w:p>
      <w:pPr>
        <w:spacing w:after="0" w:line="14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Stockholder distributions on the Statement of Changes in Net Assets reflect the estimated allocation, between net investment income and return of capital, of distributions made during the reporting period, excluding the distribution declared in a quarter with a record date occurring after the quarter-end. 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8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It is the Company’s primary investment objective to generate current income and capital appreciation by lending directly to privately-held middle market companies. During the nine months ended September 30, 2016, the Company provided approximately $37.9 million to portfolio companies to support their growth objectives. As of September 30, 2016 and December 31, 2015, the Company had $600,000 and $360,000 of outstanding commitments to fund investments, respectively. See also Note 8 – Commitments and Contingencies. As of September 30, 2016, the Company held loans it made to 83 investee companies with aggregate principal amounts of $272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nine months ended September 30, 2016, the Company did not engage in any such or similar activities.</w:t>
      </w:r>
    </w:p>
    <w:p>
      <w:pPr>
        <w:spacing w:after="0" w:line="16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August 2014, the FASB issued Accounting Standards Update (“ASU”) 2014- 15, “Presentation of Financial Statements — Going Concern (Subtopic 205-40): Disclosure of Uncertainties about an Entity’s Ability to Continue as a Going Concern” (“ASU 2014-15”). The standard requires management to evaluate, at each interim and annual reporting period, whether there are conditions or events that raise substantial doubt about the entity’s ability to continue as a going concern within one year after the date the financial statements are issued, and provide related disclosures. ASU 2014- 15 is effective for annual periods ending after December 15, 2016, and for annual and interim periods thereafter, and early adoption is permitted. We do not expect to adopt ASU 2014-15 early, and we do not believe the standard will have a material impact on our financial statements, when adopted.</w:t>
      </w:r>
    </w:p>
    <w:p>
      <w:pPr>
        <w:spacing w:after="0" w:line="16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April 2015, the FASB issued Accounting Standards Update 2015-03, Interest – Imputation of Interest (Subtopic 835-30): Simplifying the Presentation of Debt Issuance Costs. Under this guidance, debt issuance costs related to a recognized debt liability are to be presented as a direct deduction from the debt liability rather than as an asset on the balance sheet, consistent with debt discounts. For public business entities, the final guidance was effective for fiscal years beginning after December 15, 2015, and interim periods within those fiscal years. Early adoption was permitted. The Company adopted the new guidance beginning the first quarter of 2016.</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7" w:name="page38"/>
    <w:bookmarkEnd w:id="37"/>
    <w:p>
      <w:pPr>
        <w:ind w:left="340"/>
        <w:spacing w:after="0"/>
        <w:rPr>
          <w:sz w:val="20"/>
          <w:szCs w:val="20"/>
          <w:color w:val="auto"/>
        </w:rPr>
      </w:pPr>
      <w:r>
        <w:rPr>
          <w:rFonts w:ascii="Arial" w:cs="Arial" w:eastAsia="Arial" w:hAnsi="Arial"/>
          <w:sz w:val="17"/>
          <w:szCs w:val="17"/>
          <w:color w:val="auto"/>
        </w:rPr>
        <w:t>The following table presents the impact of the Accounting Standards Update 2015-03 on our Consolidated Balance Sheet at December 31,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0" w:type="dxa"/>
            <w:vAlign w:val="bottom"/>
            <w:gridSpan w:val="4"/>
          </w:tcPr>
          <w:p>
            <w:pPr>
              <w:jc w:val="right"/>
              <w:ind w:right="1160"/>
              <w:spacing w:after="0"/>
              <w:rPr>
                <w:sz w:val="20"/>
                <w:szCs w:val="20"/>
                <w:color w:val="auto"/>
              </w:rPr>
            </w:pPr>
            <w:r>
              <w:rPr>
                <w:rFonts w:ascii="Arial" w:cs="Arial" w:eastAsia="Arial" w:hAnsi="Arial"/>
                <w:sz w:val="18"/>
                <w:szCs w:val="18"/>
                <w:b w:val="1"/>
                <w:bCs w:val="1"/>
                <w:color w:val="auto"/>
              </w:rPr>
              <w:t>CONSOLIDATED BALANCE SHEET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0"/>
              </w:rPr>
              <w:t>As of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As originally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Impact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Balance Sheet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reported</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adoption</w:t>
            </w:r>
          </w:p>
        </w:tc>
        <w:tc>
          <w:tcPr>
            <w:tcW w:w="20" w:type="dxa"/>
            <w:vAlign w:val="bottom"/>
          </w:tcPr>
          <w:p>
            <w:pPr>
              <w:spacing w:after="0"/>
              <w:rPr>
                <w:sz w:val="20"/>
                <w:szCs w:val="20"/>
                <w:color w:val="auto"/>
              </w:rPr>
            </w:pPr>
          </w:p>
        </w:tc>
        <w:tc>
          <w:tcPr>
            <w:tcW w:w="14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after adjustment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assets</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4,603,855</w:t>
            </w: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(4,037,644)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566,211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w:t>
            </w:r>
          </w:p>
        </w:tc>
        <w:tc>
          <w:tcPr>
            <w:tcW w:w="3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41,400,000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(890,344)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40,509,656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Notes issued by KCAP Senior Funding I, LLC</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144,442,405</w:t>
            </w: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(3,126,009)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141,316,396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3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19,299,000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(21,291)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19,277,709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US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2017. We do not expect the adoption of ASU 2014-09 to have a material impact to the Company’s financial statements.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 faith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18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(see Note 4 – “Investments – Fair Value Measurements” for further information relating to Level I, Level II and Level III). The guidance also required that purchases, sales, issuances and settlements be presented gross in the Level III reconciliation.</w:t>
      </w:r>
    </w:p>
    <w:p>
      <w:pPr>
        <w:spacing w:after="0" w:line="187"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utilizes an independent valuation firm to provide an annual third-party review of the Company’s CLO Securities fair value model relative to its functionality, model inputs and calculations as a reasonable method to determine fair values of CLO Securities, in the absence of Level I or Level II trading activity or observable market inputs. The independent valuation firm’s 2015 annual review concluded that the Company’s model appropriately factors in all the necessary inputs required to build an equity cash flow model for CLO Securities for fair value purposes and that the inputs were being employed correctly.</w:t>
      </w:r>
    </w:p>
    <w:p>
      <w:pPr>
        <w:spacing w:after="0" w:line="18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firstLine="32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Debt Securities</w:t>
      </w:r>
      <w:r>
        <w:rPr>
          <w:rFonts w:ascii="Arial" w:cs="Arial" w:eastAsia="Arial" w:hAnsi="Arial"/>
          <w:sz w:val="17"/>
          <w:szCs w:val="17"/>
          <w:color w:val="auto"/>
        </w:rPr>
        <w:t>. To the extent that the Company’s investments are exchange traded and are priced or have sufficient price indications from normal course</w:t>
      </w:r>
      <w:r>
        <w:rPr>
          <w:rFonts w:ascii="Arial" w:cs="Arial" w:eastAsia="Arial" w:hAnsi="Arial"/>
          <w:sz w:val="17"/>
          <w:szCs w:val="17"/>
          <w:i w:val="1"/>
          <w:iCs w:val="1"/>
          <w:color w:val="auto"/>
        </w:rPr>
        <w:t xml:space="preserve"> </w:t>
      </w:r>
      <w:r>
        <w:rPr>
          <w:rFonts w:ascii="Arial" w:cs="Arial" w:eastAsia="Arial" w:hAnsi="Arial"/>
          <w:sz w:val="17"/>
          <w:szCs w:val="17"/>
          <w:color w:val="auto"/>
        </w:rPr>
        <w:t>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178"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18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9" w:name="page40"/>
    <w:bookmarkEnd w:id="39"/>
    <w:p>
      <w:pPr>
        <w:ind w:right="20" w:firstLine="32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is primarily determined utilizing the Discounted Cash Flow approach (as defined below),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w:t>
      </w:r>
    </w:p>
    <w:p>
      <w:pPr>
        <w:spacing w:after="0" w:line="193"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raised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181"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6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17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consists of cash held for reinvestment and quarterly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distribution (if any) to holders of notes issued by KCAP Senior Funding I, LLC.</w:t>
      </w:r>
    </w:p>
    <w:p>
      <w:pPr>
        <w:spacing w:after="0" w:line="170"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i w:val="1"/>
          <w:iCs w:val="1"/>
          <w:color w:val="auto"/>
        </w:rPr>
        <w:t>Time Deposits and Money Market Accounts</w:t>
      </w:r>
      <w:r>
        <w:rPr>
          <w:rFonts w:ascii="Arial" w:cs="Arial" w:eastAsia="Arial" w:hAnsi="Arial"/>
          <w:sz w:val="16"/>
          <w:szCs w:val="16"/>
          <w:color w:val="auto"/>
        </w:rPr>
        <w:t>. Time deposits primarily represent investments of cash held in demand deposit accounts.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primarily represent short term interest-bearing deposit accounts and also includes restricted cash held under employee benefit plans.</w:t>
      </w:r>
    </w:p>
    <w:p>
      <w:pPr>
        <w:spacing w:after="0" w:line="1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including the amortization of premium and accretion of discount, is recorded on the accrual basis to the extent that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are expected to be collected. The Company generally places a loan or security on non-accrual status and ceases recognizing cash interest income on such loan or security when a loan or security becomes 90 days or more past due or if the Company otherwise does not expect the debtor to be able to service its debt obligations. Non-accrual loans remain in such status until the borrower has demonstrated the ability and intent to pay contractual amounts due or such loans become current. As of September 30, 2016, one issuer representing less than 1% of the Company’s total investments at fair value was on a non-accrual status.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firstLine="324"/>
        <w:spacing w:after="0" w:line="255" w:lineRule="auto"/>
        <w:rPr>
          <w:sz w:val="20"/>
          <w:szCs w:val="20"/>
          <w:color w:val="auto"/>
        </w:rPr>
      </w:pPr>
      <w:r>
        <w:rPr>
          <w:rFonts w:ascii="Arial" w:cs="Arial" w:eastAsia="Arial" w:hAnsi="Arial"/>
          <w:sz w:val="18"/>
          <w:szCs w:val="18"/>
          <w:i w:val="1"/>
          <w:iCs w:val="1"/>
          <w:color w:val="auto"/>
        </w:rPr>
        <w:t>Distributions from Asset Manager Affiliates</w:t>
      </w:r>
      <w:r>
        <w:rPr>
          <w:rFonts w:ascii="Arial" w:cs="Arial" w:eastAsia="Arial" w:hAnsi="Arial"/>
          <w:sz w:val="18"/>
          <w:szCs w:val="18"/>
          <w:color w:val="auto"/>
        </w:rPr>
        <w:t>. The Company records distributions from our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8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Investment Income on CLO Fund Securities</w:t>
      </w:r>
      <w:r>
        <w:rPr>
          <w:rFonts w:ascii="Arial" w:cs="Arial" w:eastAsia="Arial" w:hAnsi="Arial"/>
          <w:sz w:val="16"/>
          <w:szCs w:val="16"/>
          <w:color w:val="auto"/>
        </w:rPr>
        <w:t>. The Company generates investment income from its investments in the most junior class of securities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CLO Funds (typically preferred shares or subordinated securities) managed by the Asset Manager Affiliates and select investments in securities issued by funds managed by other asset management companies.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16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E Notes of the Catamaran 2014-1 CLO, interest is earned at a fixed spread relative to the LIBOR index.</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 are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and amortized using the effective interest method over the expected term of the borrowing.</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i w:val="1"/>
          <w:iCs w:val="1"/>
          <w:color w:val="auto"/>
        </w:rPr>
        <w:t>Extinguishment of debt</w:t>
      </w:r>
      <w:r>
        <w:rPr>
          <w:rFonts w:ascii="Arial" w:cs="Arial" w:eastAsia="Arial" w:hAnsi="Arial"/>
          <w:sz w:val="17"/>
          <w:szCs w:val="17"/>
          <w:color w:val="auto"/>
        </w:rPr>
        <w:t>. The Company must derecognize a liability if and only if it has been extinguished through delivery of cash, delivery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19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Board of Directors each quarter.</w:t>
      </w:r>
    </w:p>
    <w:p>
      <w:pPr>
        <w:spacing w:after="0" w:line="170"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The Company has adopted a dividend reinvestment plan that provides for reinvestment of its distributions on behalf of its stockholders, unless a stockholder “opts out” of the plan to receive cash in lieu of having their cash distributions automatically reinvested in additional shares of the Company’s common stock.</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3. EARNINGS (LOSSES) PER SHARE</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accordance with the provisions of ASC 260,“Earnings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and nine months ended September 30, 2016 and 2015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(unaudited)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(unaudited)</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880" w:type="dxa"/>
            <w:vAlign w:val="bottom"/>
            <w:gridSpan w:val="8"/>
          </w:tcPr>
          <w:p>
            <w:pPr>
              <w:ind w:left="8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2,716,613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(16,050,865)</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(1,118,601)</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(7,145,869)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Net (increase) decrease in net assets allocated to unvested share awards</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(30,313)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303,869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16,701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125,136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Net increase (decrease) in net assets available to common stockholders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2,686,300</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(15,746,996)</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(1,101,900)</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(7,020,733)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3"/>
              </w:rPr>
              <w:t>Weighted average number of common shares outstanding for basic shares</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computation</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37,152,622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37,046,906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37,142,002</w:t>
            </w: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36,923,212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number of common and common stock equivalent shares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for diluted shares computation</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37,152,622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37,046,906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37,142,002</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36,923,212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per basic common shares: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(decrease) in net assets from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per diluted shares: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(decrease) in net assets from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There were 50,000 options to purchase shares of common stock considered for the computation of the diluted per share information for the three months and nine months ended September 30, 2016 and 2015. Since the effects are anti-dilutive for both periods, the options were not included in the computation. For the three months and nine months ended September 30, 2016, the Company purchased 309 and 67,654 shares of common stock, respectively, in connection with the vesting of employee restricted stock, such shares are treated as treasury shares and reduce the weighted average shares outstanding in the computation of earnings per share.</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Company’s Convertible Notes were included in the computation of the diluted net increase or decrease in net assets resulting from operations per share by application of the “if-converted method” for periods when the Convertible Notes were outstanding. Under the if-converted method, interest charges applicable to the convertible notes for the period are added to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three and nine month periods ended September 30, 2015, the effects of the convertible notes are anti-dilutive. The Convertible Notes matured and were repaid in March 2016.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4. INVESTMENTS</w:t>
            </w: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80" w:type="dxa"/>
            <w:vAlign w:val="bottom"/>
            <w:gridSpan w:val="15"/>
          </w:tcPr>
          <w:p>
            <w:pPr>
              <w:ind w:left="320"/>
              <w:spacing w:after="0"/>
              <w:rPr>
                <w:sz w:val="20"/>
                <w:szCs w:val="20"/>
                <w:color w:val="auto"/>
              </w:rPr>
            </w:pPr>
            <w:r>
              <w:rPr>
                <w:rFonts w:ascii="Arial" w:cs="Arial" w:eastAsia="Arial" w:hAnsi="Arial"/>
                <w:sz w:val="18"/>
                <w:szCs w:val="18"/>
                <w:color w:val="auto"/>
                <w:w w:val="92"/>
              </w:rPr>
              <w:t>The following table shows the Company’s portfolio by security type at September 30, 2016 and December 31, 2015: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w w:val="94"/>
              </w:rPr>
              <w:t>September 30, 2016 (unaudited)</w:t>
            </w: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December 31, 2015</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1820" w:type="dxa"/>
            <w:vAlign w:val="bottom"/>
            <w:gridSpan w:val="3"/>
          </w:tcPr>
          <w:p>
            <w:pPr>
              <w:spacing w:after="0"/>
              <w:rPr>
                <w:sz w:val="20"/>
                <w:szCs w:val="20"/>
                <w:color w:val="auto"/>
              </w:rPr>
            </w:pPr>
            <w:r>
              <w:rPr>
                <w:rFonts w:ascii="Arial" w:cs="Arial" w:eastAsia="Arial" w:hAnsi="Arial"/>
                <w:sz w:val="18"/>
                <w:szCs w:val="18"/>
                <w:b w:val="1"/>
                <w:bCs w:val="1"/>
                <w:color w:val="auto"/>
              </w:rPr>
              <w:t>Cost/Amortized Cost</w:t>
            </w:r>
          </w:p>
        </w:tc>
        <w:tc>
          <w:tcPr>
            <w:tcW w:w="140" w:type="dxa"/>
            <w:vAlign w:val="bottom"/>
          </w:tcPr>
          <w:p>
            <w:pPr>
              <w:spacing w:after="0"/>
              <w:rPr>
                <w:sz w:val="20"/>
                <w:szCs w:val="20"/>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Fair Value</w:t>
            </w: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Accounts²</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15,379,713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15,379,713</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Senior Secured Loan</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207,336,758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200,021,049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203,819,074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194,123,223</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40,175,253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38,432,562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40,221,557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37,591,900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Senior Unsecured Loan</w:t>
            </w:r>
          </w:p>
        </w:tc>
        <w:tc>
          <w:tcPr>
            <w:tcW w:w="4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23,000,000</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23,000,000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23,000,000</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23,000,000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4,466,793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4,615,569</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11,879,187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10,551,724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Senior Secured Bond</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1,507,492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1,400,625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1,510,560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1,503,755</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66,714,991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45,126,919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83,214,947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55,872,382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Equity Securities</w:t>
            </w:r>
          </w:p>
        </w:tc>
        <w:tc>
          <w:tcPr>
            <w:tcW w:w="4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10,208,846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4,392,696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10,467,787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9,548,488</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Preferred Securities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10,411,673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11,036,373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Asset Manager Affiliates³</w:t>
            </w:r>
          </w:p>
        </w:tc>
        <w:tc>
          <w:tcPr>
            <w:tcW w:w="4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55,341,230</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43,425,000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56,591,230</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57,381,000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422,664,283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372,213,564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450,712,189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409,570,495</w:t>
            </w:r>
          </w:p>
        </w:tc>
        <w:tc>
          <w:tcPr>
            <w:tcW w:w="22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ind w:right="240" w:firstLine="324"/>
        <w:spacing w:after="0" w:line="277" w:lineRule="auto"/>
        <w:rPr>
          <w:sz w:val="20"/>
          <w:szCs w:val="20"/>
          <w:color w:val="auto"/>
        </w:rPr>
      </w:pPr>
      <w:r>
        <w:rPr>
          <w:rFonts w:ascii="Arial" w:cs="Arial" w:eastAsia="Arial" w:hAnsi="Arial"/>
          <w:sz w:val="18"/>
          <w:szCs w:val="18"/>
          <w:color w:val="auto"/>
        </w:rPr>
        <w:t>The industry-related information, based on the fair value of the Company’s investment portfolio as of September 30, 2016 and December 31, 2015, for the Company’s investment portfolio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ind w:left="300"/>
              <w:spacing w:after="0"/>
              <w:rPr>
                <w:sz w:val="20"/>
                <w:szCs w:val="20"/>
                <w:color w:val="auto"/>
              </w:rPr>
            </w:pPr>
            <w:r>
              <w:rPr>
                <w:rFonts w:ascii="Arial" w:cs="Arial" w:eastAsia="Arial" w:hAnsi="Arial"/>
                <w:sz w:val="18"/>
                <w:szCs w:val="18"/>
                <w:b w:val="1"/>
                <w:bCs w:val="1"/>
                <w:color w:val="auto"/>
                <w:w w:val="92"/>
              </w:rPr>
              <w:t>September 30, 2016 (unaudited)</w:t>
            </w: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840"/>
              <w:spacing w:after="0"/>
              <w:rPr>
                <w:sz w:val="20"/>
                <w:szCs w:val="20"/>
                <w:color w:val="auto"/>
              </w:rPr>
            </w:pPr>
            <w:r>
              <w:rPr>
                <w:rFonts w:ascii="Arial" w:cs="Arial" w:eastAsia="Arial" w:hAnsi="Arial"/>
                <w:sz w:val="18"/>
                <w:szCs w:val="18"/>
                <w:b w:val="1"/>
                <w:bCs w:val="1"/>
                <w:color w:val="auto"/>
              </w:rPr>
              <w:t>December 31, 2015</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00" w:type="dxa"/>
            <w:vAlign w:val="bottom"/>
          </w:tcPr>
          <w:p>
            <w:pPr>
              <w:spacing w:after="0"/>
              <w:rPr>
                <w:sz w:val="20"/>
                <w:szCs w:val="20"/>
                <w:color w:val="auto"/>
              </w:rPr>
            </w:pPr>
            <w:r>
              <w:rPr>
                <w:rFonts w:ascii="Arial" w:cs="Arial" w:eastAsia="Arial" w:hAnsi="Arial"/>
                <w:sz w:val="18"/>
                <w:szCs w:val="18"/>
                <w:b w:val="1"/>
                <w:bCs w:val="1"/>
                <w:color w:val="auto"/>
              </w:rPr>
              <w:t>Industry Classification</w:t>
            </w:r>
          </w:p>
        </w:tc>
        <w:tc>
          <w:tcPr>
            <w:tcW w:w="240" w:type="dxa"/>
            <w:vAlign w:val="bottom"/>
          </w:tcPr>
          <w:p>
            <w:pPr>
              <w:spacing w:after="0"/>
              <w:rPr>
                <w:sz w:val="21"/>
                <w:szCs w:val="21"/>
                <w:color w:val="auto"/>
              </w:rPr>
            </w:pP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w w:val="99"/>
              </w:rPr>
              <w:t>Cost/ Amortized Cost</w:t>
            </w:r>
          </w:p>
        </w:tc>
        <w:tc>
          <w:tcPr>
            <w:tcW w:w="100" w:type="dxa"/>
            <w:vAlign w:val="bottom"/>
          </w:tcPr>
          <w:p>
            <w:pPr>
              <w:spacing w:after="0"/>
              <w:rPr>
                <w:sz w:val="21"/>
                <w:szCs w:val="21"/>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640" w:type="dxa"/>
            <w:vAlign w:val="bottom"/>
          </w:tcPr>
          <w:p>
            <w:pPr>
              <w:jc w:val="right"/>
              <w:ind w:right="19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240" w:type="dxa"/>
            <w:vAlign w:val="bottom"/>
          </w:tcPr>
          <w:p>
            <w:pPr>
              <w:spacing w:after="0"/>
              <w:rPr>
                <w:sz w:val="21"/>
                <w:szCs w:val="21"/>
                <w:color w:val="auto"/>
              </w:rPr>
            </w:pP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w w:val="99"/>
              </w:rPr>
              <w:t>Cost/ Amortized Cost</w:t>
            </w:r>
          </w:p>
        </w:tc>
        <w:tc>
          <w:tcPr>
            <w:tcW w:w="10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980" w:type="dxa"/>
            <w:vAlign w:val="bottom"/>
          </w:tcPr>
          <w:p>
            <w:pPr>
              <w:jc w:val="right"/>
              <w:ind w:right="27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color w:val="auto"/>
                <w:vertAlign w:val="superscript"/>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8,410,248</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8,384,194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6,910,349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6,383,724</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90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55,341,230</w:t>
            </w: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43,425,000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56,591,230</w:t>
            </w: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57,381,000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Loan</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23,000,000</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23,000,000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6,290,748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6,186,689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9,898,494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9,440,866</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Banking, Finance, Insurance &amp; Real</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Estate</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5,179,598</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5,171,400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6,270,984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6,008,587</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17,087,448</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16,933,213</w:t>
            </w:r>
          </w:p>
        </w:tc>
        <w:tc>
          <w:tcPr>
            <w:tcW w:w="18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17,334,746</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16,882,750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6,187,500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5,456,658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9,519,342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7,846,767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3,466,419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3,457,287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3,494,086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3,359,916</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66,714,991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45,126,919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83,214,947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55,872,382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1,963,286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1,974,587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1,976,345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1,907,614</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12,263,060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9,998,854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13,983,607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12,753,455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14,798,250</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14,549,700</w:t>
            </w:r>
          </w:p>
        </w:tc>
        <w:tc>
          <w:tcPr>
            <w:tcW w:w="18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20,124,355</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19,646,576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Ecological</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2,934,140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2,962,500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Energy: Electricity</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3,913,044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3,946,869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3,465,576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3,465,000</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Energy: Oil &amp; Gas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14,279,336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8,589,866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14,281,821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10,204,318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13,424,736</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12,989,425</w:t>
            </w:r>
          </w:p>
        </w:tc>
        <w:tc>
          <w:tcPr>
            <w:tcW w:w="18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13,735,492</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13,179,657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Forest Products &amp; Paper</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5,866,646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5,749,874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5,888,294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5,883,080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57,869,074</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54,059,389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58,649,512</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55,417,827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8"/>
              </w:rPr>
              <w:t>Healthcare, Education and Childcare</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High Tech Industries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13,183,733</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13,239,630</w:t>
            </w:r>
          </w:p>
        </w:tc>
        <w:tc>
          <w:tcPr>
            <w:tcW w:w="18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11,727,898</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11,662,995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Media: Advertising, Printing &amp;</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Publishing</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11,819,087</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11,498,594</w:t>
            </w:r>
          </w:p>
        </w:tc>
        <w:tc>
          <w:tcPr>
            <w:tcW w:w="180" w:type="dxa"/>
            <w:vAlign w:val="bottom"/>
          </w:tcPr>
          <w:p>
            <w:pPr>
              <w:spacing w:after="0"/>
              <w:rPr>
                <w:sz w:val="20"/>
                <w:szCs w:val="20"/>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11,167,950</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10,340,449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&amp; Subscription</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9,491,677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9,521,397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7,428,110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7,406,792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Metals &amp; Mining</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228,563</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228,563</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991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4,395,220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4,037,197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4,416,709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3,594,599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Services: Business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12,315,859</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12,249,350</w:t>
            </w:r>
          </w:p>
        </w:tc>
        <w:tc>
          <w:tcPr>
            <w:tcW w:w="18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18,206,668</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21,022,801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Services: Consumer</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6,234,862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6,199,438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6,512,029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6,356,054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Telecommunications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13,709,154</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13,527,620</w:t>
            </w:r>
          </w:p>
        </w:tc>
        <w:tc>
          <w:tcPr>
            <w:tcW w:w="18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13,776,871</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12,425,489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Time Deposit and Money Market</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90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Accounts</w:t>
            </w:r>
            <w:r>
              <w:rPr>
                <w:rFonts w:ascii="Arial" w:cs="Arial" w:eastAsia="Arial" w:hAnsi="Arial"/>
                <w:sz w:val="30"/>
                <w:szCs w:val="30"/>
                <w:color w:val="auto"/>
                <w:vertAlign w:val="superscript"/>
              </w:rPr>
              <w:t>3</w:t>
            </w:r>
          </w:p>
        </w:tc>
        <w:tc>
          <w:tcPr>
            <w:tcW w:w="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15,379,713</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15,379,713</w:t>
            </w:r>
          </w:p>
        </w:tc>
        <w:tc>
          <w:tcPr>
            <w:tcW w:w="180" w:type="dxa"/>
            <w:vAlign w:val="bottom"/>
            <w:shd w:val="clear" w:color="auto" w:fill="CCEEFF"/>
          </w:tcPr>
          <w:p>
            <w:pPr>
              <w:spacing w:after="0"/>
              <w:rPr>
                <w:sz w:val="23"/>
                <w:szCs w:val="23"/>
                <w:color w:val="auto"/>
              </w:rPr>
            </w:pPr>
          </w:p>
        </w:tc>
        <w:tc>
          <w:tcPr>
            <w:tcW w:w="8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Transportation: Cargo</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7,565,668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7,192,595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18,232,953</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18,865,603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Consumer</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2,427,666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2,434,575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2,472,795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2,324,381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Utilities: Electric</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5,443,710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4,968,040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5,673,082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4,806,441</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422,664,283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372,213,564</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450,712,189</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409,570,495</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120" w:hanging="112"/>
        <w:spacing w:after="0" w:line="184" w:lineRule="auto"/>
        <w:tabs>
          <w:tab w:leader="none" w:pos="120"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Represents the equity investment in the Asset Manager Affiliates.</w:t>
      </w:r>
    </w:p>
    <w:p>
      <w:pPr>
        <w:spacing w:after="0" w:line="43" w:lineRule="exact"/>
        <w:rPr>
          <w:rFonts w:ascii="Arial" w:cs="Arial" w:eastAsia="Arial" w:hAnsi="Arial"/>
          <w:sz w:val="29"/>
          <w:szCs w:val="29"/>
          <w:color w:val="auto"/>
          <w:vertAlign w:val="superscript"/>
        </w:rPr>
      </w:pPr>
    </w:p>
    <w:p>
      <w:pPr>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Includes restricted cash held under employee benefit plans.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right="40" w:firstLine="324"/>
        <w:spacing w:after="0" w:line="264"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At September 30, 2016 and December 31, 2015, the total amount of non-qualifying assets was approximately 16% and 18% of total assets, respectively. The majority of non-qualifying assets were foreign investments which were approximately 12% and 13% of the Company’s total assets, respectively (including the Company’s investments in CLO Funds, which are typically domiciled outside the U.S. and represented approximately 12% and 13% of its total assets on such dates,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detail the ten largest portfolio investments (at fair value) as of September 30, 2016 and December 31, 2015:</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0" w:type="dxa"/>
            <w:vAlign w:val="bottom"/>
            <w:gridSpan w:val="9"/>
          </w:tcPr>
          <w:p>
            <w:pPr>
              <w:jc w:val="right"/>
              <w:ind w:right="1060"/>
              <w:spacing w:after="0"/>
              <w:rPr>
                <w:sz w:val="20"/>
                <w:szCs w:val="20"/>
                <w:color w:val="auto"/>
              </w:rPr>
            </w:pPr>
            <w:r>
              <w:rPr>
                <w:rFonts w:ascii="Arial" w:cs="Arial" w:eastAsia="Arial" w:hAnsi="Arial"/>
                <w:sz w:val="18"/>
                <w:szCs w:val="18"/>
                <w:b w:val="1"/>
                <w:bCs w:val="1"/>
                <w:color w:val="auto"/>
              </w:rPr>
              <w:t>September 30, 2016 (unaudited)</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19"/>
                <w:szCs w:val="19"/>
                <w:color w:val="auto"/>
              </w:rPr>
            </w:pPr>
          </w:p>
        </w:tc>
        <w:tc>
          <w:tcPr>
            <w:tcW w:w="17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Cost/Amortized Cost</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1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 of FMV</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0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55,341,230</w:t>
            </w: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43,425,000</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5800" w:type="dxa"/>
            <w:vAlign w:val="bottom"/>
          </w:tcPr>
          <w:p>
            <w:pPr>
              <w:spacing w:after="0" w:line="256" w:lineRule="exact"/>
              <w:rPr>
                <w:sz w:val="20"/>
                <w:szCs w:val="20"/>
                <w:color w:val="auto"/>
              </w:rPr>
            </w:pPr>
            <w:r>
              <w:rPr>
                <w:rFonts w:ascii="Arial" w:cs="Arial" w:eastAsia="Arial" w:hAnsi="Arial"/>
                <w:sz w:val="18"/>
                <w:szCs w:val="18"/>
                <w:color w:val="auto"/>
              </w:rPr>
              <w:t>Trimaran Advisors, L.L.C.</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23,000,000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23,000,000</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26,960,634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21,476,801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US Bank Money Market Account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15,365,445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15,365,445</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Grupo HIMA San Pablo, Inc.</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9,825,759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9,149,200</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11,784,229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6,990,447</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Roscoe Medical, Inc.</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6,663,667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6,499,000</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Hoffmaster Group, Inc.</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5,866,646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5,749,874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Weiman Products, LLC</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5,473,917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5,496,597</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Nielsen &amp; Bainbridge, LLC</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5,323,685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5,138,864</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gridSpan w:val="2"/>
          </w:tcPr>
          <w:p>
            <w:pPr>
              <w:jc w:val="right"/>
              <w:ind w:right="21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165,605,212</w:t>
            </w: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142,291,228</w:t>
            </w:r>
          </w:p>
        </w:tc>
        <w:tc>
          <w:tcPr>
            <w:tcW w:w="1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1000"/>
              <w:spacing w:after="0"/>
              <w:rPr>
                <w:sz w:val="20"/>
                <w:szCs w:val="20"/>
                <w:color w:val="auto"/>
              </w:rPr>
            </w:pPr>
            <w:r>
              <w:rPr>
                <w:rFonts w:ascii="Arial" w:cs="Arial" w:eastAsia="Arial" w:hAnsi="Arial"/>
                <w:sz w:val="18"/>
                <w:szCs w:val="18"/>
                <w:b w:val="1"/>
                <w:bCs w:val="1"/>
                <w:color w:val="auto"/>
              </w:rPr>
              <w:t>December 31, 2015</w:t>
            </w: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19"/>
                <w:szCs w:val="19"/>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4"/>
              </w:rPr>
              <w:t>Cost/Amortized Cost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 of FMV</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0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56,591,230</w:t>
            </w: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5800" w:type="dxa"/>
            <w:vAlign w:val="bottom"/>
          </w:tcPr>
          <w:p>
            <w:pPr>
              <w:spacing w:after="0" w:line="256" w:lineRule="exact"/>
              <w:rPr>
                <w:sz w:val="20"/>
                <w:szCs w:val="20"/>
                <w:color w:val="auto"/>
              </w:rPr>
            </w:pPr>
            <w:r>
              <w:rPr>
                <w:rFonts w:ascii="Arial" w:cs="Arial" w:eastAsia="Arial" w:hAnsi="Arial"/>
                <w:sz w:val="18"/>
                <w:szCs w:val="18"/>
                <w:color w:val="auto"/>
              </w:rPr>
              <w:t>Trimaran Advisors, L.L.C.</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23,000,000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23,000,000</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24,312,424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20,295,677</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DBI Holding, LLC</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8,585,578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12,975,447</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Crowley Holdings Preferred, LLC</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10,411,673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11,036,373</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9,817,315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9,917,500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2015-1 Ltd.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11,869,751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8,789,651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10,624,515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8,177,538</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Weiman Products, LLC</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6,582,457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6,619,805</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Nielson &amp; Bainbrige, LLC</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6,803,605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6,510,157</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gridSpan w:val="2"/>
          </w:tcPr>
          <w:p>
            <w:pPr>
              <w:jc w:val="right"/>
              <w:ind w:right="21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168,598,548</w:t>
            </w: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164,703,148</w:t>
            </w:r>
          </w:p>
        </w:tc>
        <w:tc>
          <w:tcPr>
            <w:tcW w:w="1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40" w:right="5560" w:hanging="5308"/>
        <w:spacing w:after="0" w:line="906" w:lineRule="auto"/>
        <w:tabs>
          <w:tab w:leader="none" w:pos="666"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Related party loan - See Note 5 to Consolidated Financial Statements.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5" w:name="page46"/>
    <w:bookmarkEnd w:id="45"/>
    <w:p>
      <w:pPr>
        <w:ind w:right="280" w:firstLine="324"/>
        <w:spacing w:after="0" w:line="308" w:lineRule="auto"/>
        <w:rPr>
          <w:sz w:val="20"/>
          <w:szCs w:val="20"/>
          <w:color w:val="auto"/>
        </w:rPr>
      </w:pPr>
      <w:r>
        <w:rPr>
          <w:rFonts w:ascii="Arial" w:cs="Arial" w:eastAsia="Arial" w:hAnsi="Arial"/>
          <w:sz w:val="17"/>
          <w:szCs w:val="17"/>
          <w:color w:val="auto"/>
        </w:rPr>
        <w:t>Excluding the Asset Manager Affiliates and CLO Fund securities, the Company’s ten largest portfolio companies represented approximately 18% and 19% of the total fair value of the Company’s investments at September 30, 2016 and December 31, 2015,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2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6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In June 2013, the Company purchased $9.0 million of the par value of the Subordinated Notes of Catamaran 2013-1 CLO (“Catamaran 2013-1”) managed by Trimaran Advisors.</w:t>
      </w:r>
    </w:p>
    <w:p>
      <w:pPr>
        <w:spacing w:after="0" w:line="170"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In May and August 2014, the Company purchased $11.1 million and $9.9 million of the par value of the Subordinated Notes of Catamaran 2014-1 CLO (“Catamaran 2014-1”) and 2014-2 CLO (“Catamaran 2014-2”), respectively. Both are managed by Trimaran Advisors.</w:t>
      </w:r>
    </w:p>
    <w:p>
      <w:pPr>
        <w:spacing w:after="0" w:line="14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In May 2015, the Company purchased $11.9 million of the par value of the Subordinated Notes of Catamaran 2015-1 CLO (“Catamaran 2015-1”) managed by Trimaran Advisors.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June 2016, the Company sold $7.0 million par value of the Subordinated Notes of Catamaran 2015-1 for $4.2 million.</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All CLO Funds managed by the Asset Manager Affiliates are currently making quarterly distributions to the Company with respect to its interests in the CLO Funds and are paying all senior and subordinate management fees to the Asset Manager Affiliates. With the exception of Katonah III, Ltd., all third-party managed CLO Funds are making distributions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 “Significant Accounting Policies —Investments”).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6" w:name="page47"/>
    <w:bookmarkEnd w:id="46"/>
    <w:p>
      <w:pPr>
        <w:ind w:right="22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420" w:right="200" w:firstLine="41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420" w:right="160" w:firstLine="41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420" w:right="140" w:firstLine="41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8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September 30, 2016 (unaudited) and December 31, 2015,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40" w:type="dxa"/>
            <w:vAlign w:val="bottom"/>
            <w:gridSpan w:val="12"/>
          </w:tcPr>
          <w:p>
            <w:pPr>
              <w:ind w:left="20"/>
              <w:spacing w:after="0"/>
              <w:rPr>
                <w:sz w:val="20"/>
                <w:szCs w:val="20"/>
                <w:color w:val="auto"/>
              </w:rPr>
            </w:pPr>
            <w:r>
              <w:rPr>
                <w:rFonts w:ascii="Arial" w:cs="Arial" w:eastAsia="Arial" w:hAnsi="Arial"/>
                <w:sz w:val="18"/>
                <w:szCs w:val="18"/>
                <w:b w:val="1"/>
                <w:bCs w:val="1"/>
                <w:color w:val="auto"/>
              </w:rPr>
              <w:t>As of September 30, 2016 (unaudited)</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II</w:t>
            </w:r>
          </w:p>
        </w:tc>
        <w:tc>
          <w:tcPr>
            <w:tcW w:w="10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III</w:t>
            </w:r>
          </w:p>
        </w:tc>
        <w:tc>
          <w:tcPr>
            <w:tcW w:w="10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800" w:type="dxa"/>
            <w:vAlign w:val="bottom"/>
            <w:tcBorders>
              <w:top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15,379,713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15,379,713</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Debt securities</w:t>
            </w:r>
          </w:p>
        </w:tc>
        <w:tc>
          <w:tcPr>
            <w:tcW w:w="800" w:type="dxa"/>
            <w:vAlign w:val="bottom"/>
          </w:tcPr>
          <w:p>
            <w:pPr>
              <w:spacing w:after="0"/>
              <w:rPr>
                <w:sz w:val="18"/>
                <w:szCs w:val="18"/>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94,091,930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169,797,306</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263,889,236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45,126,919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45,126,919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Equity securities</w:t>
            </w:r>
          </w:p>
        </w:tc>
        <w:tc>
          <w:tcPr>
            <w:tcW w:w="800" w:type="dxa"/>
            <w:vAlign w:val="bottom"/>
          </w:tcPr>
          <w:p>
            <w:pPr>
              <w:spacing w:after="0"/>
              <w:rPr>
                <w:sz w:val="18"/>
                <w:szCs w:val="18"/>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769,158</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3,623,538</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4,392,696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8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43,425,000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43,425,000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110,240,801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261,972,763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372,213,564</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b w:val="1"/>
                <w:bCs w:val="1"/>
                <w:color w:val="auto"/>
              </w:rPr>
              <w:t>As of December 31, 2015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II</w:t>
            </w:r>
          </w:p>
        </w:tc>
        <w:tc>
          <w:tcPr>
            <w:tcW w:w="10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III</w:t>
            </w:r>
          </w:p>
        </w:tc>
        <w:tc>
          <w:tcPr>
            <w:tcW w:w="10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800" w:type="dxa"/>
            <w:vAlign w:val="bottom"/>
            <w:tcBorders>
              <w:top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Debt securities</w:t>
            </w:r>
          </w:p>
        </w:tc>
        <w:tc>
          <w:tcPr>
            <w:tcW w:w="80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101,238,779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183,400,465</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284,639,244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55,872,382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55,872,382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Equity securities</w:t>
            </w:r>
          </w:p>
        </w:tc>
        <w:tc>
          <w:tcPr>
            <w:tcW w:w="80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445,485</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9,103,003</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9,548,488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8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57,381,000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57,381,000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103,813,645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305,756,850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409,570,495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w:t>
      </w:r>
    </w:p>
    <w:p>
      <w:pPr>
        <w:spacing w:after="0" w:line="14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the Company considers them to be Level II.</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10"/>
          </w:tcPr>
          <w:p>
            <w:pPr>
              <w:jc w:val="right"/>
              <w:ind w:right="220"/>
              <w:spacing w:after="0"/>
              <w:rPr>
                <w:sz w:val="20"/>
                <w:szCs w:val="20"/>
                <w:color w:val="auto"/>
              </w:rPr>
            </w:pPr>
            <w:r>
              <w:rPr>
                <w:rFonts w:ascii="Arial" w:cs="Arial" w:eastAsia="Arial" w:hAnsi="Arial"/>
                <w:sz w:val="18"/>
                <w:szCs w:val="18"/>
                <w:b w:val="1"/>
                <w:bCs w:val="1"/>
                <w:color w:val="auto"/>
                <w:w w:val="92"/>
              </w:rPr>
              <w:t>Nine Months Ended September 30, 2016 (unaudited)</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CLO Fund</w:t>
            </w:r>
          </w:p>
        </w:tc>
        <w:tc>
          <w:tcPr>
            <w:tcW w:w="16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Equity</w:t>
            </w:r>
          </w:p>
        </w:tc>
        <w:tc>
          <w:tcPr>
            <w:tcW w:w="60" w:type="dxa"/>
            <w:vAlign w:val="bottom"/>
          </w:tcPr>
          <w:p>
            <w:pPr>
              <w:spacing w:after="0"/>
              <w:rPr>
                <w:sz w:val="20"/>
                <w:szCs w:val="20"/>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Asset Manager</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Securities</w:t>
            </w:r>
          </w:p>
        </w:tc>
        <w:tc>
          <w:tcPr>
            <w:tcW w:w="16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Securities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Affiliate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183,400,465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55,872,382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9,103,003</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305,756,850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Transfers out of Level III</w:t>
            </w:r>
          </w:p>
        </w:tc>
        <w:tc>
          <w:tcPr>
            <w:tcW w:w="240" w:type="dxa"/>
            <w:vAlign w:val="bottom"/>
          </w:tcPr>
          <w:p>
            <w:pPr>
              <w:spacing w:after="0"/>
              <w:rPr>
                <w:sz w:val="22"/>
                <w:szCs w:val="22"/>
                <w:color w:val="auto"/>
              </w:rPr>
            </w:pPr>
          </w:p>
        </w:tc>
        <w:tc>
          <w:tcPr>
            <w:tcW w:w="1220" w:type="dxa"/>
            <w:vAlign w:val="bottom"/>
            <w:gridSpan w:val="2"/>
          </w:tcPr>
          <w:p>
            <w:pPr>
              <w:jc w:val="right"/>
              <w:ind w:right="40"/>
              <w:spacing w:after="0" w:line="256" w:lineRule="exact"/>
              <w:rPr>
                <w:sz w:val="20"/>
                <w:szCs w:val="20"/>
                <w:color w:val="auto"/>
              </w:rPr>
            </w:pPr>
            <w:r>
              <w:rPr>
                <w:rFonts w:ascii="Arial" w:cs="Arial" w:eastAsia="Arial" w:hAnsi="Arial"/>
                <w:sz w:val="18"/>
                <w:szCs w:val="18"/>
                <w:color w:val="auto"/>
              </w:rPr>
              <w:t>(14,754,684)</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80"/>
              <w:spacing w:after="0" w:line="256" w:lineRule="exact"/>
              <w:rPr>
                <w:sz w:val="20"/>
                <w:szCs w:val="20"/>
                <w:color w:val="auto"/>
              </w:rPr>
            </w:pPr>
            <w:r>
              <w:rPr>
                <w:rFonts w:ascii="Arial" w:cs="Arial" w:eastAsia="Arial" w:hAnsi="Arial"/>
                <w:sz w:val="18"/>
                <w:szCs w:val="18"/>
                <w:color w:val="auto"/>
              </w:rPr>
              <w:t>(1,338,767)</w:t>
            </w:r>
            <w:r>
              <w:rPr>
                <w:rFonts w:ascii="Arial" w:cs="Arial" w:eastAsia="Arial" w:hAnsi="Arial"/>
                <w:sz w:val="29"/>
                <w:szCs w:val="29"/>
                <w:color w:val="auto"/>
                <w:vertAlign w:val="superscript"/>
              </w:rPr>
              <w:t>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(16,093,451)</w:t>
            </w:r>
          </w:p>
        </w:tc>
        <w:tc>
          <w:tcPr>
            <w:tcW w:w="0" w:type="dxa"/>
            <w:vAlign w:val="bottom"/>
          </w:tcPr>
          <w:p>
            <w:pPr>
              <w:spacing w:after="0"/>
              <w:rPr>
                <w:sz w:val="1"/>
                <w:szCs w:val="1"/>
                <w:color w:val="auto"/>
              </w:rPr>
            </w:pPr>
          </w:p>
        </w:tc>
      </w:tr>
      <w:tr>
        <w:trPr>
          <w:trHeight w:val="15"/>
        </w:trPr>
        <w:tc>
          <w:tcPr>
            <w:tcW w:w="4120" w:type="dxa"/>
            <w:vAlign w:val="bottom"/>
            <w:shd w:val="clear" w:color="auto" w:fill="CCEEFF"/>
          </w:tcPr>
          <w:p>
            <w:pPr>
              <w:spacing w:after="0"/>
              <w:rPr>
                <w:sz w:val="20"/>
                <w:szCs w:val="20"/>
                <w:color w:val="auto"/>
              </w:rPr>
            </w:pPr>
            <w:r>
              <w:rPr>
                <w:rFonts w:ascii="Arial" w:cs="Arial" w:eastAsia="Arial" w:hAnsi="Arial"/>
                <w:sz w:val="1"/>
                <w:szCs w:val="1"/>
                <w:color w:val="auto"/>
              </w:rPr>
              <w:t>Transfers into Level III</w:t>
            </w:r>
          </w:p>
        </w:tc>
        <w:tc>
          <w:tcPr>
            <w:tcW w:w="24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
                <w:szCs w:val="1"/>
                <w:color w:val="auto"/>
              </w:rPr>
              <w:t>31,921,015</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w:t>
            </w:r>
          </w:p>
        </w:tc>
        <w:tc>
          <w:tcPr>
            <w:tcW w:w="160" w:type="dxa"/>
            <w:vAlign w:val="bottom"/>
            <w:shd w:val="clear" w:color="auto" w:fill="CCEEFF"/>
          </w:tcPr>
          <w:p>
            <w:pPr>
              <w:spacing w:after="0" w:line="20" w:lineRule="exact"/>
              <w:rPr>
                <w:sz w:val="1"/>
                <w:szCs w:val="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445,485</w:t>
            </w: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
                <w:szCs w:val="1"/>
                <w:color w:val="auto"/>
              </w:rPr>
              <w:t>—</w:t>
            </w: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32,366,500</w:t>
            </w:r>
          </w:p>
        </w:tc>
        <w:tc>
          <w:tcPr>
            <w:tcW w:w="0" w:type="dxa"/>
            <w:vAlign w:val="bottom"/>
          </w:tcPr>
          <w:p>
            <w:pPr>
              <w:spacing w:after="0" w:line="20" w:lineRule="exact"/>
              <w:rPr>
                <w:sz w:val="1"/>
                <w:szCs w:val="1"/>
                <w:color w:val="auto"/>
              </w:rPr>
            </w:pPr>
          </w:p>
        </w:tc>
      </w:tr>
      <w:tr>
        <w:trPr>
          <w:trHeight w:val="201"/>
        </w:trPr>
        <w:tc>
          <w:tcPr>
            <w:tcW w:w="4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accretion (amortization)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250,424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(2,188,397)</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(1,937,973)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16,064,193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16,064,193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(46,233,881)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(4,200,000)</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(4,743,682)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(56,427,563)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(294,359)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(10,111,560)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4,484,742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(5,921,177)</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(555,867)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5,754,494</w:t>
            </w: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(4,327,243)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(12,706,000)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(11,834,616)</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2016</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169,797,306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45,126,919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3,623,538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43,425,000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261,972,763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(9,221,012)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5,754,494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(4,327,243)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(12,706,000)</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(20,499,763)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8" w:name="page49"/>
    <w:bookmarkEnd w:id="48"/>
    <w:p>
      <w:pPr>
        <w:ind w:right="140"/>
        <w:spacing w:after="0" w:line="277" w:lineRule="auto"/>
        <w:rPr>
          <w:sz w:val="20"/>
          <w:szCs w:val="20"/>
          <w:color w:val="auto"/>
        </w:rPr>
      </w:pPr>
      <w:r>
        <w:rPr>
          <w:rFonts w:ascii="Arial" w:cs="Arial" w:eastAsia="Arial" w:hAnsi="Arial"/>
          <w:sz w:val="18"/>
          <w:szCs w:val="18"/>
          <w:color w:val="auto"/>
        </w:rPr>
        <w:t>¹Transfers out of Level III represent a transfer of $16,093,451 relating to debt and equity securities for which pricing inputs, other than their quoted prices in active markets were observable as of September 30, 2016</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²Transfers into Level III represent a transfer of $32,366,500 relating to debt and equity securities for which pricing inputs, other than their quoted prices in active markets were unobservable as of September 30,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8"/>
                <w:szCs w:val="18"/>
                <w:b w:val="1"/>
                <w:bCs w:val="1"/>
                <w:color w:val="auto"/>
                <w:w w:val="90"/>
              </w:rPr>
              <w:t>Year Ended December 31, 2015</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80" w:type="dxa"/>
            <w:vAlign w:val="bottom"/>
          </w:tcPr>
          <w:p>
            <w:pPr>
              <w:spacing w:after="0"/>
              <w:rPr>
                <w:sz w:val="20"/>
                <w:szCs w:val="20"/>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Asset Manager</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Securities</w:t>
            </w:r>
          </w:p>
        </w:tc>
        <w:tc>
          <w:tcPr>
            <w:tcW w:w="1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Affiliate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171,018,343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77,514,902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328,978,926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Transfers out of Level III</w:t>
            </w:r>
          </w:p>
        </w:tc>
        <w:tc>
          <w:tcPr>
            <w:tcW w:w="240" w:type="dxa"/>
            <w:vAlign w:val="bottom"/>
          </w:tcPr>
          <w:p>
            <w:pPr>
              <w:spacing w:after="0"/>
              <w:rPr>
                <w:sz w:val="22"/>
                <w:szCs w:val="22"/>
                <w:color w:val="auto"/>
              </w:rPr>
            </w:pPr>
          </w:p>
        </w:tc>
        <w:tc>
          <w:tcPr>
            <w:tcW w:w="124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(30,472,595)</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(30,472,595)</w:t>
            </w:r>
          </w:p>
        </w:tc>
        <w:tc>
          <w:tcPr>
            <w:tcW w:w="0" w:type="dxa"/>
            <w:vAlign w:val="bottom"/>
          </w:tcPr>
          <w:p>
            <w:pPr>
              <w:spacing w:after="0"/>
              <w:rPr>
                <w:sz w:val="1"/>
                <w:szCs w:val="1"/>
                <w:color w:val="auto"/>
              </w:rPr>
            </w:pPr>
          </w:p>
        </w:tc>
      </w:tr>
      <w:tr>
        <w:trPr>
          <w:trHeight w:val="15"/>
        </w:trPr>
        <w:tc>
          <w:tcPr>
            <w:tcW w:w="4120" w:type="dxa"/>
            <w:vAlign w:val="bottom"/>
            <w:shd w:val="clear" w:color="auto" w:fill="CCEEFF"/>
          </w:tcPr>
          <w:p>
            <w:pPr>
              <w:spacing w:after="0"/>
              <w:rPr>
                <w:sz w:val="20"/>
                <w:szCs w:val="20"/>
                <w:color w:val="auto"/>
              </w:rPr>
            </w:pPr>
            <w:r>
              <w:rPr>
                <w:rFonts w:ascii="Arial" w:cs="Arial" w:eastAsia="Arial" w:hAnsi="Arial"/>
                <w:sz w:val="1"/>
                <w:szCs w:val="1"/>
                <w:color w:val="auto"/>
              </w:rPr>
              <w:t>Transfers into Level III</w:t>
            </w:r>
          </w:p>
        </w:tc>
        <w:tc>
          <w:tcPr>
            <w:tcW w:w="24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34,013,134</w:t>
            </w: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w:t>
            </w:r>
          </w:p>
        </w:tc>
        <w:tc>
          <w:tcPr>
            <w:tcW w:w="16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
                <w:szCs w:val="1"/>
                <w:color w:val="auto"/>
              </w:rPr>
              <w:t>—</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w:t>
            </w: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
                <w:szCs w:val="1"/>
                <w:color w:val="auto"/>
              </w:rPr>
              <w:t>34,013,134</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accretion (amortization)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300,255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(9,507,048)</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(9,206,793)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11,952,000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12,942,000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(3,872,700)</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(317,340)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(3,701,446)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(7,891,486)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(6,246,883)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(6,144,723)</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7,452,183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(13,967,889)</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1,297,647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(11,243,554)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(16,461,613)</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183,400,465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55,872,382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9,103,003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305,756,850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(7,109,531)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(20,760,499)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1,297,647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(11,243,554)</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(23,254,223)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¹Transfers out of Level III represent a transfer of $30,472,595 relating to debt securities for which pricing inputs, other than their quoted prices in active markets were observable as of December 31, 2015.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²Transfers into Level III represent a transfer of $34,013,134 relating to debt securities for which pricing inputs, other than their quoted prices in active markets were unobservable as of December 31, 2015.</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of September 30, 2016,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$110,240,801 as of September 30, 2016.</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2016,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Type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19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Primary Valuation</w:t>
            </w:r>
          </w:p>
        </w:tc>
        <w:tc>
          <w:tcPr>
            <w:tcW w:w="160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Unobservable</w:t>
            </w:r>
          </w:p>
        </w:tc>
        <w:tc>
          <w:tcPr>
            <w:tcW w:w="352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126"/>
        </w:trPr>
        <w:tc>
          <w:tcPr>
            <w:tcW w:w="2760" w:type="dxa"/>
            <w:vAlign w:val="bottom"/>
            <w:tcBorders>
              <w:left w:val="single" w:sz="8" w:color="auto"/>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b w:val="1"/>
                <w:bCs w:val="1"/>
                <w:color w:val="auto"/>
              </w:rPr>
              <w:t>Methodology</w:t>
            </w:r>
          </w:p>
        </w:tc>
        <w:tc>
          <w:tcPr>
            <w:tcW w:w="160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b w:val="1"/>
                <w:bCs w:val="1"/>
                <w:color w:val="auto"/>
              </w:rPr>
              <w:t>Inputs</w:t>
            </w:r>
          </w:p>
        </w:tc>
        <w:tc>
          <w:tcPr>
            <w:tcW w:w="3520" w:type="dxa"/>
            <w:vAlign w:val="bottom"/>
            <w:tcBorders>
              <w:right w:val="single" w:sz="8" w:color="auto"/>
            </w:tcBorders>
            <w:vMerge w:val="restart"/>
          </w:tcPr>
          <w:p>
            <w:pPr>
              <w:ind w:left="100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5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760" w:type="dxa"/>
            <w:vAlign w:val="bottom"/>
            <w:tcBorders>
              <w:left w:val="single" w:sz="8" w:color="auto"/>
              <w:right w:val="single" w:sz="8" w:color="auto"/>
            </w:tcBorders>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8,023,447</w:t>
            </w:r>
          </w:p>
        </w:tc>
        <w:tc>
          <w:tcPr>
            <w:tcW w:w="1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Enterprise Value</w:t>
            </w:r>
          </w:p>
        </w:tc>
        <w:tc>
          <w:tcPr>
            <w:tcW w:w="16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Average EBITDA</w:t>
            </w:r>
          </w:p>
        </w:tc>
        <w:tc>
          <w:tcPr>
            <w:tcW w:w="3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5.4x</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Multiple</w:t>
            </w:r>
          </w:p>
        </w:tc>
        <w:tc>
          <w:tcPr>
            <w:tcW w:w="3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7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8"/>
              </w:rPr>
              <w:t>Debt Securities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161,772,859</w:t>
            </w:r>
          </w:p>
        </w:tc>
        <w:tc>
          <w:tcPr>
            <w:tcW w:w="1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Income Approach</w:t>
            </w:r>
          </w:p>
        </w:tc>
        <w:tc>
          <w:tcPr>
            <w:tcW w:w="16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Implied Discount</w:t>
            </w:r>
          </w:p>
        </w:tc>
        <w:tc>
          <w:tcPr>
            <w:tcW w:w="3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2.9% - 23.5% (8.2%)</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Rate</w:t>
            </w:r>
          </w:p>
        </w:tc>
        <w:tc>
          <w:tcPr>
            <w:tcW w:w="3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Options Value</w:t>
            </w:r>
          </w:p>
        </w:tc>
        <w:tc>
          <w:tcPr>
            <w:tcW w:w="1600" w:type="dxa"/>
            <w:vAlign w:val="bottom"/>
            <w:tcBorders>
              <w:bottom w:val="single" w:sz="8" w:color="auto"/>
              <w:right w:val="single" w:sz="8" w:color="auto"/>
            </w:tcBorders>
          </w:tcPr>
          <w:p>
            <w:pPr>
              <w:ind w:left="40"/>
              <w:spacing w:after="0" w:line="251" w:lineRule="exact"/>
              <w:rPr>
                <w:sz w:val="20"/>
                <w:szCs w:val="20"/>
                <w:color w:val="auto"/>
              </w:rPr>
            </w:pPr>
            <w:r>
              <w:rPr>
                <w:rFonts w:ascii="Arial" w:cs="Arial" w:eastAsia="Arial" w:hAnsi="Arial"/>
                <w:sz w:val="18"/>
                <w:szCs w:val="18"/>
                <w:color w:val="auto"/>
              </w:rPr>
              <w:t>Qualitative Inputs</w:t>
            </w:r>
            <w:r>
              <w:rPr>
                <w:rFonts w:ascii="Arial" w:cs="Arial" w:eastAsia="Arial" w:hAnsi="Arial"/>
                <w:sz w:val="29"/>
                <w:szCs w:val="29"/>
                <w:color w:val="auto"/>
                <w:vertAlign w:val="superscript"/>
              </w:rPr>
              <w:t>1</w:t>
            </w: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3,616,538</w:t>
            </w:r>
          </w:p>
        </w:tc>
        <w:tc>
          <w:tcPr>
            <w:tcW w:w="1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Enterprise Value</w:t>
            </w:r>
          </w:p>
        </w:tc>
        <w:tc>
          <w:tcPr>
            <w:tcW w:w="16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Average EBITDA</w:t>
            </w:r>
          </w:p>
        </w:tc>
        <w:tc>
          <w:tcPr>
            <w:tcW w:w="3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4.8x/7.0% - 14.4x/11.2% (9.5x/9.7%)</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Multiple/WAAC</w:t>
            </w:r>
          </w:p>
        </w:tc>
        <w:tc>
          <w:tcPr>
            <w:tcW w:w="3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Options Value</w:t>
            </w: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Qualitative Inputs</w:t>
            </w:r>
          </w:p>
        </w:tc>
        <w:tc>
          <w:tcPr>
            <w:tcW w:w="3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Discount Rate</w:t>
            </w:r>
          </w:p>
        </w:tc>
        <w:tc>
          <w:tcPr>
            <w:tcW w:w="3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11.7% - 15.0% (14.9%)</w:t>
            </w:r>
          </w:p>
        </w:tc>
        <w:tc>
          <w:tcPr>
            <w:tcW w:w="0" w:type="dxa"/>
            <w:vAlign w:val="bottom"/>
          </w:tcPr>
          <w:p>
            <w:pPr>
              <w:spacing w:after="0"/>
              <w:rPr>
                <w:sz w:val="1"/>
                <w:szCs w:val="1"/>
                <w:color w:val="auto"/>
              </w:rPr>
            </w:pPr>
          </w:p>
        </w:tc>
      </w:tr>
      <w:tr>
        <w:trPr>
          <w:trHeight w:val="195"/>
        </w:trPr>
        <w:tc>
          <w:tcPr>
            <w:tcW w:w="2760" w:type="dxa"/>
            <w:vAlign w:val="bottom"/>
            <w:tcBorders>
              <w:left w:val="single" w:sz="8" w:color="auto"/>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Probability of</w:t>
            </w:r>
          </w:p>
        </w:tc>
        <w:tc>
          <w:tcPr>
            <w:tcW w:w="3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 - 2.5% (2.1%)</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45,126,919</w:t>
            </w:r>
          </w:p>
        </w:tc>
        <w:tc>
          <w:tcPr>
            <w:tcW w:w="1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Discounted Cash Flow</w:t>
            </w: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Default</w:t>
            </w:r>
          </w:p>
        </w:tc>
        <w:tc>
          <w:tcPr>
            <w:tcW w:w="3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760" w:type="dxa"/>
            <w:vAlign w:val="bottom"/>
            <w:tcBorders>
              <w:left w:val="single" w:sz="8" w:color="auto"/>
              <w:right w:val="single" w:sz="8" w:color="auto"/>
            </w:tcBorders>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Loss Severity</w:t>
            </w:r>
          </w:p>
        </w:tc>
        <w:tc>
          <w:tcPr>
            <w:tcW w:w="3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25.0% - 25.9% (25.8%)</w:t>
            </w:r>
          </w:p>
        </w:tc>
        <w:tc>
          <w:tcPr>
            <w:tcW w:w="0" w:type="dxa"/>
            <w:vAlign w:val="bottom"/>
          </w:tcPr>
          <w:p>
            <w:pPr>
              <w:spacing w:after="0"/>
              <w:rPr>
                <w:sz w:val="1"/>
                <w:szCs w:val="1"/>
                <w:color w:val="auto"/>
              </w:rPr>
            </w:pPr>
          </w:p>
        </w:tc>
      </w:tr>
      <w:tr>
        <w:trPr>
          <w:trHeight w:val="113"/>
        </w:trPr>
        <w:tc>
          <w:tcPr>
            <w:tcW w:w="2760" w:type="dxa"/>
            <w:vAlign w:val="bottom"/>
            <w:tcBorders>
              <w:left w:val="single" w:sz="8" w:color="auto"/>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5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Recovery Rate</w:t>
            </w:r>
          </w:p>
        </w:tc>
        <w:tc>
          <w:tcPr>
            <w:tcW w:w="3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74.1% - 75.0% (74.2%)</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Prepayment Rate</w:t>
            </w:r>
          </w:p>
        </w:tc>
        <w:tc>
          <w:tcPr>
            <w:tcW w:w="3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25.0% - 29.9% (25.4%)</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Asset Manager Affiliate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43,425,000</w:t>
            </w:r>
          </w:p>
        </w:tc>
        <w:tc>
          <w:tcPr>
            <w:tcW w:w="1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Discounted Cash Flow</w:t>
            </w: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Discount Rate</w:t>
            </w:r>
          </w:p>
        </w:tc>
        <w:tc>
          <w:tcPr>
            <w:tcW w:w="3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 - 15.0% (8.2%)</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 xml:space="preserve">Total Level III Investments </w:t>
            </w: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261,972,763</w:t>
            </w:r>
          </w:p>
        </w:tc>
        <w:tc>
          <w:tcPr>
            <w:tcW w:w="19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60" w:firstLine="8"/>
        <w:spacing w:after="0" w:line="277" w:lineRule="auto"/>
        <w:tabs>
          <w:tab w:leader="none" w:pos="9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color w:val="auto"/>
        </w:rPr>
        <w:t>As of December 31, 2015,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Type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19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Primary Valuation</w:t>
            </w:r>
          </w:p>
        </w:tc>
        <w:tc>
          <w:tcPr>
            <w:tcW w:w="160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Unobservable</w:t>
            </w:r>
          </w:p>
        </w:tc>
        <w:tc>
          <w:tcPr>
            <w:tcW w:w="352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126"/>
        </w:trPr>
        <w:tc>
          <w:tcPr>
            <w:tcW w:w="2760" w:type="dxa"/>
            <w:vAlign w:val="bottom"/>
            <w:tcBorders>
              <w:left w:val="single" w:sz="8" w:color="auto"/>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b w:val="1"/>
                <w:bCs w:val="1"/>
                <w:color w:val="auto"/>
              </w:rPr>
              <w:t>Methodology</w:t>
            </w:r>
          </w:p>
        </w:tc>
        <w:tc>
          <w:tcPr>
            <w:tcW w:w="160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b w:val="1"/>
                <w:bCs w:val="1"/>
                <w:color w:val="auto"/>
              </w:rPr>
              <w:t>Inputs</w:t>
            </w:r>
          </w:p>
        </w:tc>
        <w:tc>
          <w:tcPr>
            <w:tcW w:w="3520" w:type="dxa"/>
            <w:vAlign w:val="bottom"/>
            <w:tcBorders>
              <w:right w:val="single" w:sz="8" w:color="auto"/>
            </w:tcBorders>
            <w:vMerge w:val="restart"/>
          </w:tcPr>
          <w:p>
            <w:pPr>
              <w:ind w:left="100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5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760" w:type="dxa"/>
            <w:vAlign w:val="bottom"/>
            <w:tcBorders>
              <w:left w:val="single" w:sz="8" w:color="auto"/>
              <w:right w:val="single" w:sz="8" w:color="auto"/>
            </w:tcBorders>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2,216,700</w:t>
            </w:r>
          </w:p>
        </w:tc>
        <w:tc>
          <w:tcPr>
            <w:tcW w:w="1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Enterprise Value</w:t>
            </w:r>
          </w:p>
        </w:tc>
        <w:tc>
          <w:tcPr>
            <w:tcW w:w="16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Average EBITDA</w:t>
            </w:r>
          </w:p>
        </w:tc>
        <w:tc>
          <w:tcPr>
            <w:tcW w:w="3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Multiple</w:t>
            </w:r>
          </w:p>
        </w:tc>
        <w:tc>
          <w:tcPr>
            <w:tcW w:w="3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7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8"/>
              </w:rPr>
              <w:t>Debt Securities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181,182,774</w:t>
            </w:r>
          </w:p>
        </w:tc>
        <w:tc>
          <w:tcPr>
            <w:tcW w:w="1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Income Approach</w:t>
            </w:r>
          </w:p>
        </w:tc>
        <w:tc>
          <w:tcPr>
            <w:tcW w:w="16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Implied Discount</w:t>
            </w:r>
          </w:p>
        </w:tc>
        <w:tc>
          <w:tcPr>
            <w:tcW w:w="3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4.9% - 27.1% (10.46%)</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Rate</w:t>
            </w:r>
          </w:p>
        </w:tc>
        <w:tc>
          <w:tcPr>
            <w:tcW w:w="3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Options Value</w:t>
            </w:r>
          </w:p>
        </w:tc>
        <w:tc>
          <w:tcPr>
            <w:tcW w:w="1600" w:type="dxa"/>
            <w:vAlign w:val="bottom"/>
            <w:tcBorders>
              <w:bottom w:val="single" w:sz="8" w:color="auto"/>
              <w:right w:val="single" w:sz="8" w:color="auto"/>
            </w:tcBorders>
          </w:tcPr>
          <w:p>
            <w:pPr>
              <w:ind w:left="40"/>
              <w:spacing w:after="0" w:line="251" w:lineRule="exact"/>
              <w:rPr>
                <w:sz w:val="20"/>
                <w:szCs w:val="20"/>
                <w:color w:val="auto"/>
              </w:rPr>
            </w:pPr>
            <w:r>
              <w:rPr>
                <w:rFonts w:ascii="Arial" w:cs="Arial" w:eastAsia="Arial" w:hAnsi="Arial"/>
                <w:sz w:val="18"/>
                <w:szCs w:val="18"/>
                <w:color w:val="auto"/>
              </w:rPr>
              <w:t>Qualitative Inputs</w:t>
            </w:r>
            <w:r>
              <w:rPr>
                <w:rFonts w:ascii="Arial" w:cs="Arial" w:eastAsia="Arial" w:hAnsi="Arial"/>
                <w:sz w:val="29"/>
                <w:szCs w:val="29"/>
                <w:color w:val="auto"/>
                <w:vertAlign w:val="superscript"/>
              </w:rPr>
              <w:t>1</w:t>
            </w: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9,100,103</w:t>
            </w:r>
          </w:p>
        </w:tc>
        <w:tc>
          <w:tcPr>
            <w:tcW w:w="1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Enterprise Value</w:t>
            </w:r>
          </w:p>
        </w:tc>
        <w:tc>
          <w:tcPr>
            <w:tcW w:w="16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Average EBITDA</w:t>
            </w:r>
          </w:p>
        </w:tc>
        <w:tc>
          <w:tcPr>
            <w:tcW w:w="3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4.8x/6.9% - 12.9x/13.4% (6.8x/12.0%)</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Multiple/WAAC</w:t>
            </w:r>
          </w:p>
        </w:tc>
        <w:tc>
          <w:tcPr>
            <w:tcW w:w="3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Options Value</w:t>
            </w: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Qualitative Inputs</w:t>
            </w:r>
          </w:p>
        </w:tc>
        <w:tc>
          <w:tcPr>
            <w:tcW w:w="3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Discount Rate</w:t>
            </w:r>
          </w:p>
        </w:tc>
        <w:tc>
          <w:tcPr>
            <w:tcW w:w="3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11.3% - 15.0% (14.9%)</w:t>
            </w:r>
          </w:p>
        </w:tc>
        <w:tc>
          <w:tcPr>
            <w:tcW w:w="0" w:type="dxa"/>
            <w:vAlign w:val="bottom"/>
          </w:tcPr>
          <w:p>
            <w:pPr>
              <w:spacing w:after="0"/>
              <w:rPr>
                <w:sz w:val="1"/>
                <w:szCs w:val="1"/>
                <w:color w:val="auto"/>
              </w:rPr>
            </w:pPr>
          </w:p>
        </w:tc>
      </w:tr>
      <w:tr>
        <w:trPr>
          <w:trHeight w:val="195"/>
        </w:trPr>
        <w:tc>
          <w:tcPr>
            <w:tcW w:w="2760" w:type="dxa"/>
            <w:vAlign w:val="bottom"/>
            <w:tcBorders>
              <w:left w:val="single" w:sz="8" w:color="auto"/>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Probability of</w:t>
            </w:r>
          </w:p>
        </w:tc>
        <w:tc>
          <w:tcPr>
            <w:tcW w:w="3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 - 2.5% (2.1%)</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55,872,382</w:t>
            </w:r>
          </w:p>
        </w:tc>
        <w:tc>
          <w:tcPr>
            <w:tcW w:w="1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Discounted Cash Flow</w:t>
            </w: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Default</w:t>
            </w:r>
          </w:p>
        </w:tc>
        <w:tc>
          <w:tcPr>
            <w:tcW w:w="3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760" w:type="dxa"/>
            <w:vAlign w:val="bottom"/>
            <w:tcBorders>
              <w:left w:val="single" w:sz="8" w:color="auto"/>
              <w:right w:val="single" w:sz="8" w:color="auto"/>
            </w:tcBorders>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Loss Severity</w:t>
            </w:r>
          </w:p>
        </w:tc>
        <w:tc>
          <w:tcPr>
            <w:tcW w:w="3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25.0% - 25.9% (25.7%)</w:t>
            </w:r>
          </w:p>
        </w:tc>
        <w:tc>
          <w:tcPr>
            <w:tcW w:w="0" w:type="dxa"/>
            <w:vAlign w:val="bottom"/>
          </w:tcPr>
          <w:p>
            <w:pPr>
              <w:spacing w:after="0"/>
              <w:rPr>
                <w:sz w:val="1"/>
                <w:szCs w:val="1"/>
                <w:color w:val="auto"/>
              </w:rPr>
            </w:pPr>
          </w:p>
        </w:tc>
      </w:tr>
      <w:tr>
        <w:trPr>
          <w:trHeight w:val="113"/>
        </w:trPr>
        <w:tc>
          <w:tcPr>
            <w:tcW w:w="2760" w:type="dxa"/>
            <w:vAlign w:val="bottom"/>
            <w:tcBorders>
              <w:left w:val="single" w:sz="8" w:color="auto"/>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5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Recovery Rate</w:t>
            </w:r>
          </w:p>
        </w:tc>
        <w:tc>
          <w:tcPr>
            <w:tcW w:w="3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74.1% - 75.0% (74.3%)</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Prepayment Rate</w:t>
            </w:r>
          </w:p>
        </w:tc>
        <w:tc>
          <w:tcPr>
            <w:tcW w:w="3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7.9% - 32.0% (25.3%)</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Asset Manager Affiliate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57,381,000</w:t>
            </w:r>
          </w:p>
        </w:tc>
        <w:tc>
          <w:tcPr>
            <w:tcW w:w="1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Discounted Cash Flow</w:t>
            </w: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Discount Rate</w:t>
            </w:r>
          </w:p>
        </w:tc>
        <w:tc>
          <w:tcPr>
            <w:tcW w:w="3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 - 15.0% (8.6%)</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 xml:space="preserve">Total Level III Investments </w:t>
            </w: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305,756,850</w:t>
            </w:r>
          </w:p>
        </w:tc>
        <w:tc>
          <w:tcPr>
            <w:tcW w:w="19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60" w:firstLine="8"/>
        <w:spacing w:after="0" w:line="277" w:lineRule="auto"/>
        <w:tabs>
          <w:tab w:leader="none" w:pos="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170"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147"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firstLine="324"/>
        <w:spacing w:after="0" w:line="270" w:lineRule="auto"/>
        <w:rPr>
          <w:sz w:val="20"/>
          <w:szCs w:val="20"/>
          <w:color w:val="auto"/>
        </w:rPr>
      </w:pPr>
      <w:r>
        <w:rPr>
          <w:rFonts w:ascii="Arial" w:cs="Arial" w:eastAsia="Arial" w:hAnsi="Arial"/>
          <w:sz w:val="17"/>
          <w:szCs w:val="17"/>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September 30, 2016 and December 31, 2015, the Asset Manager Affiliates had approximately $2.6 billion and $2.7 billion of par value of assets under management, respectively, and the Company’s 100% equity interest in the Asset Manager Affiliates had a fair value of approximately $43 million and $57 million, respectively.</w:t>
      </w:r>
    </w:p>
    <w:p>
      <w:pPr>
        <w:spacing w:after="0" w:line="15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 - a senior management fee, a subordinated management fee and an incentive fee. Currently, all CLO Funds managed by the Asset Manager Affiliates are paying both their senior and subordinated management fees on a current basis.</w:t>
      </w:r>
    </w:p>
    <w:p>
      <w:pPr>
        <w:spacing w:after="0" w:line="17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For the three months ended September 30, 2016 and 2015, the Asset Manager Affiliates declared cash distributions of $750,000 and $2.3 million to the Company, respectively. For the nine months ended September 30, 2016 and 2015, the Asset Manager Affiliates declared cash distributions of approximately $2.7 million and $7.3 million to the Company, respectively. Any distributions from the Asset Manager Affiliates out of their estimated tax-basis earnings and profits are recorded as “Dividends from Asset Manager Affiliates” on the Company’s statement of operations. The Company recognized $0 and $1.5 million, respectively, of Dividends from Asset Manager Affiliates in the Statement of Operations for the three months ended September 30, 2016 and 2015. For the nine months ended September 30, 2016 and 2015, the Company recognized $1.4 million and $4.2 million, respectively, of Dividends from Asset Manager Affiliates in the Statement of Operations. The difference between cash distributions received and the tax-basis earnings and profits of the distributing affiliate, are recorded as an adjustment to the cost basis in the Asset Manager Affiliate (i.e., tax-basis return of capital). Distributions receivable, if any, are reflected in the Due from Affiliates account on the consolidated balance sheets.</w:t>
      </w:r>
    </w:p>
    <w:p>
      <w:pPr>
        <w:spacing w:after="0" w:line="18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166"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1" w:name="page52"/>
    <w:bookmarkEnd w:id="51"/>
    <w:p>
      <w:pPr>
        <w:ind w:firstLine="324"/>
        <w:spacing w:after="0" w:line="270" w:lineRule="auto"/>
        <w:rPr>
          <w:sz w:val="20"/>
          <w:szCs w:val="20"/>
          <w:color w:val="auto"/>
        </w:rPr>
      </w:pPr>
      <w:r>
        <w:rPr>
          <w:rFonts w:ascii="Arial" w:cs="Arial" w:eastAsia="Arial" w:hAnsi="Arial"/>
          <w:sz w:val="17"/>
          <w:szCs w:val="17"/>
          <w:color w:val="auto"/>
        </w:rPr>
        <w:t>On February 18, 2015, the FASB issued Accounting Standards Update 2015-2 (“ASU 2015-2”), which updated consolidation standards under ASC Topic 810, “Consolidation”. Under this update, a new consolidation analysis is required for VIEs and will limit the circumstances in which investment managers and similar entities are required to consolidate the entities that they manage. The FASB decided to eliminate some of the criteria under which their management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early adoption is permitted. The Asset Manager Affiliates adopted ASU 2015-2 in 2016 which resulted in the deconsolidation of the CLO Funds. Prior year amounts have been restated to reflect the retrospective adoption of ASU 2015-2. In addition, in accordance with Regulation S-X, additional financial information with respect to one of the CLO Funds in which the Company has an investment, Katonah 2007-I CLO, is required to be included in the Company’s SEC Filings.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Asset Manager Affiliates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840" w:type="dxa"/>
            <w:vAlign w:val="bottom"/>
            <w:gridSpan w:val="4"/>
          </w:tcPr>
          <w:p>
            <w:pPr>
              <w:jc w:val="right"/>
              <w:ind w:right="160"/>
              <w:spacing w:after="0"/>
              <w:rPr>
                <w:sz w:val="20"/>
                <w:szCs w:val="20"/>
                <w:color w:val="auto"/>
              </w:rPr>
            </w:pPr>
            <w:r>
              <w:rPr>
                <w:rFonts w:ascii="Arial" w:cs="Arial" w:eastAsia="Arial" w:hAnsi="Arial"/>
                <w:sz w:val="18"/>
                <w:szCs w:val="18"/>
                <w:color w:val="auto"/>
              </w:rPr>
              <w:t>Summarized Balance Sheet (unaudited)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4"/>
              </w:rPr>
              <w:t>September 30,</w:t>
            </w:r>
          </w:p>
        </w:tc>
        <w:tc>
          <w:tcPr>
            <w:tcW w:w="8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Borders>
              <w:bottom w:val="single" w:sz="8" w:color="CCEEFF"/>
            </w:tcBorders>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2,428,117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Residual Interest in CLO Warehouse</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23,135,823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23,089,679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23,485,082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24,467,705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 Assets</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6,281,110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4,760,385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55,330,132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56,403,233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286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23,000,000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23,000,000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6,471,304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5,131,814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29,471,304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28,131,814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2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25,858,828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28,271,419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2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55,330,132</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56,403,233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6"/>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3,148,353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9,707,075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19,110,505</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570,865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397,881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1,138,483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2,091,852</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3,719,218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8,158,996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10,845,558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21,202,357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2,789,654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3,235,290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8,618,839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9,890,539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982,623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1,980,582</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485,355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397,983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1,353,135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1,194,798</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3,602,550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3,960,814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10,954,597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13,065,919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Pre-Tax Income (Loss)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116,668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4,198,182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(109,039)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8,136,438</w:t>
            </w:r>
          </w:p>
        </w:tc>
        <w:tc>
          <w:tcPr>
            <w:tcW w:w="10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(100,862)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1,339,306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(346,447)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2,765,759</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2,858,876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237,408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5,370,679</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45</w:t>
            </w: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As of</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61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80" w:type="dxa"/>
            <w:vAlign w:val="bottom"/>
            <w:tcBorders>
              <w:bottom w:val="single" w:sz="8" w:color="CCEEFF"/>
            </w:tcBorders>
          </w:tcPr>
          <w:p>
            <w:pPr>
              <w:spacing w:after="0"/>
              <w:rPr>
                <w:sz w:val="20"/>
                <w:szCs w:val="20"/>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$ 200,096,428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$ 246,766,505</w:t>
            </w: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Cash</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34,282,185</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17,301,178</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234,937,609</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265,389,850</w:t>
            </w: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CLO Debt at fair value</w:t>
            </w:r>
          </w:p>
        </w:tc>
        <w:tc>
          <w:tcPr>
            <w:tcW w:w="1100" w:type="dxa"/>
            <w:vAlign w:val="bottom"/>
          </w:tcPr>
          <w:p>
            <w:pPr>
              <w:jc w:val="right"/>
              <w:spacing w:after="0"/>
              <w:rPr>
                <w:sz w:val="20"/>
                <w:szCs w:val="20"/>
                <w:color w:val="auto"/>
              </w:rPr>
            </w:pPr>
            <w:r>
              <w:rPr>
                <w:rFonts w:ascii="Arial" w:cs="Arial" w:eastAsia="Arial" w:hAnsi="Arial"/>
                <w:sz w:val="18"/>
                <w:szCs w:val="18"/>
                <w:color w:val="auto"/>
              </w:rPr>
              <w:t>233,046,152</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261,433,473</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234,741,148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269,163,111</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Total Net Assets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196,461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(3,773,261)</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For the three months ended</w:t>
            </w:r>
          </w:p>
        </w:tc>
        <w:tc>
          <w:tcPr>
            <w:tcW w:w="200" w:type="dxa"/>
            <w:vAlign w:val="bottom"/>
          </w:tcPr>
          <w:p>
            <w:pPr>
              <w:spacing w:after="0"/>
              <w:rPr>
                <w:sz w:val="19"/>
                <w:szCs w:val="19"/>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34"/>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2,330,108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2,567,295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7,338,815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7,644,426</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income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2,373,500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2,645,492</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7,683,808</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8,029,801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2,184,144</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2,299,222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6,724,410</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6,904,401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2,400,770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2,530,278</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7,497,100</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7,722,579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1,397,748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529,390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3,783,015</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2,121,290</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1,370,478</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644,604</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3,969,723</w:t>
            </w:r>
          </w:p>
        </w:tc>
        <w:tc>
          <w:tcPr>
            <w:tcW w:w="4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2,428,512</w:t>
            </w:r>
          </w:p>
        </w:tc>
      </w:tr>
    </w:tbl>
    <w:p>
      <w:pPr>
        <w:spacing w:after="0" w:line="187"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167"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which is being amortized for tax purposes on a straight-line basis over 15 years.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both"/>
        <w:ind w:right="60" w:firstLine="324"/>
        <w:spacing w:after="0" w:line="264" w:lineRule="auto"/>
        <w:rPr>
          <w:sz w:val="20"/>
          <w:szCs w:val="20"/>
          <w:color w:val="auto"/>
        </w:rPr>
      </w:pPr>
      <w:r>
        <w:rPr>
          <w:rFonts w:ascii="Arial" w:cs="Arial" w:eastAsia="Arial" w:hAnsi="Arial"/>
          <w:sz w:val="18"/>
          <w:szCs w:val="18"/>
          <w:color w:val="auto"/>
        </w:rPr>
        <w:t>During the second quarter of 2016, KCAP contributed 100% of its ownership interests in Katonah Debt Advisors and Trimaran Advisors Management to Commodore Holdings, a wholly-owned subsidiary of KCAP. These transactions simplify the tax structure of the AMAs and facilitate the consolidation of tax basis goodwill deductions for the AMAs, which may impact the tax character of distributions from the AMAs.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Outstanding borrowings on the Trimaran Credit Facility are callable by the Company at any time. On April 15, 2013, the Trimaran Credit Facility was amended and upsized from $20 million to $23 million. At September 30, 2016 and December 31, 2015, the par value of the outstanding loan was $23 million. For the three months ended September 30, 2016 and 2015, the Company recognized interest income of approximately $485,000 and $398,000, respectively, related to the Trimaran Credit Facility. For the nine months ended September 30, 2016 and 2015, the Company recognized interest income of approximately $1.3 million and $1.2 million, respectively, related Trimaran Credit Facility.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6. BORROWINGS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The Company’s debt obligations consist of the following:</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780" w:type="dxa"/>
            <w:vAlign w:val="bottom"/>
            <w:gridSpan w:val="4"/>
          </w:tcPr>
          <w:p>
            <w:pPr>
              <w:ind w:left="180"/>
              <w:spacing w:after="0"/>
              <w:rPr>
                <w:sz w:val="20"/>
                <w:szCs w:val="20"/>
                <w:color w:val="auto"/>
              </w:rPr>
            </w:pPr>
            <w:r>
              <w:rPr>
                <w:rFonts w:ascii="Arial" w:cs="Arial" w:eastAsia="Arial" w:hAnsi="Arial"/>
                <w:sz w:val="18"/>
                <w:szCs w:val="18"/>
                <w:b w:val="1"/>
                <w:bCs w:val="1"/>
                <w:color w:val="auto"/>
                <w:w w:val="93"/>
              </w:rPr>
              <w:t>September 30, 2016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 (net of offering costs of: 2016 - $599,542; 2015 - $890,344)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33,400,808</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40,509,656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Arial" w:cs="Arial" w:eastAsia="Arial" w:hAnsi="Arial"/>
                <w:sz w:val="18"/>
                <w:szCs w:val="18"/>
                <w:color w:val="auto"/>
                <w:w w:val="93"/>
              </w:rPr>
              <w:t>Notes issued by KCAP Senior Funding I, LLC (net of discount and offering costs of: 2016 - $2,443,275 and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$2,627,599, respectively; 2015 - $2,907,595 and $3,126,009, respectively)</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142,279,126</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141,316,396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due March 15, 2016 (net of offering costs of: 2015 - $21,292)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19,277,709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September 30, 2016 were 3.76% and 7.0 years, respectively, and as of December 31, 2015 were 4.08% and 6.8 years,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after the payment of underwriting expenses, were approximately $57.7 million. Interest on the Convertible Notes is due semi-annually in arrears on March 15 and September 15, at a rate of 8.75%, commencing September 15, 2011. The Convertible Notes matured and were repaid on March 15, 2016. The Convertible Notes were senior unsecured obligations of the Company.</w:t>
      </w:r>
    </w:p>
    <w:p>
      <w:pPr>
        <w:spacing w:after="0" w:line="19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 xml:space="preserve">In connection with the issuance of the Convertible Notes, the Company incurred approximately $2.4 million of debt offering costs, which were amortized over the term of the Convertible Notes on an effective yield method. On April 4, 2013, approximately $9 million of the Company’s 8.75% Convertible Notes were converted at a price per share of $8.159 into 1,102,093 shares of KCAP common stock. On September 4, 2013, the Company purchased $2.0 million face value of its own Convertible Notes at a price of $114.50 plus accrued interest. KCAP subsequently surrendered these notes to the Trustee for cancellation effective September 13, 2013. During 2015, the Company repurchased approximately $19.3 million face value of its own Convertible Notes at a price ranging from $101.500 to $102.375. KCAP subsequently surrendered these notes to the Trustee for cancellation. Due to the cash conversion option embedded in the Convertible Notes, the Company applied the guidance in ASC 470-20-40,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and realized a loss on the extinguishment of this debt. The indenture governing the Convertible Notes contains certain restrictive covenants, including compliance with certain provisions of the 1940 Act and conditions governing the undertaking of new debt. The Convertible Notes matured and were fully repaid on March 15, 2016.</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right="560" w:firstLine="324"/>
        <w:spacing w:after="0" w:line="277" w:lineRule="auto"/>
        <w:rPr>
          <w:sz w:val="20"/>
          <w:szCs w:val="20"/>
          <w:color w:val="auto"/>
        </w:rPr>
      </w:pPr>
      <w:r>
        <w:rPr>
          <w:rFonts w:ascii="Arial" w:cs="Arial" w:eastAsia="Arial" w:hAnsi="Arial"/>
          <w:sz w:val="18"/>
          <w:szCs w:val="18"/>
          <w:color w:val="auto"/>
        </w:rPr>
        <w:t>For the nine months ended September 30, 2016 and 2015, interest expense related to the Convertible Notes was approximately $378,000 and $2.5 million, respectively.</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Fair Value of Convertible Notes. </w:t>
      </w:r>
      <w:r>
        <w:rPr>
          <w:rFonts w:ascii="Arial" w:cs="Arial" w:eastAsia="Arial" w:hAnsi="Arial"/>
          <w:sz w:val="18"/>
          <w:szCs w:val="18"/>
          <w:color w:val="auto"/>
        </w:rPr>
        <w:t>The Company carries the Convertible Notes at cost. The Convertible Notes were issued in a private placement and there</w:t>
      </w:r>
      <w:r>
        <w:rPr>
          <w:rFonts w:ascii="Arial" w:cs="Arial" w:eastAsia="Arial" w:hAnsi="Arial"/>
          <w:sz w:val="18"/>
          <w:szCs w:val="18"/>
          <w:i w:val="1"/>
          <w:iCs w:val="1"/>
          <w:color w:val="auto"/>
        </w:rPr>
        <w:t xml:space="preserve"> </w:t>
      </w:r>
      <w:r>
        <w:rPr>
          <w:rFonts w:ascii="Arial" w:cs="Arial" w:eastAsia="Arial" w:hAnsi="Arial"/>
          <w:sz w:val="18"/>
          <w:szCs w:val="18"/>
          <w:color w:val="auto"/>
        </w:rPr>
        <w:t>was no active trading of these notes. The estimated fair value of the Company’s outstanding Convertible Notes was approximately $19.5 million at December 31, 2015. The fair value was determined based on an indicative closing price as of that date. The Convertible Notes are categorized as Level III following ASC 820: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October 10, 2012, the Company issued $41.4 million in aggregate principal amount of unsecured 7.375% Notes due 2019. The net proceeds for these Notes, after the payment of underwriting expenses, were approximately $39.9 million. Interest on the 7.375% Notes due 2019 is paid quarterly in arrears on March 30, June 30, September 30 and December 30, at a rate of 7.375%, commencing December 30, 2012. The 7.375% Notes due 2019 mature on September, 30, 2019 and are unsecured obligations of the Company. The 7.375% Notes due 2019 are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September 30, 2016, the Company was in compliance with all of its debt covenants.</w:t>
      </w:r>
    </w:p>
    <w:p>
      <w:pPr>
        <w:spacing w:after="0" w:line="178"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For the three months ended September 30, 2016 and 2015, interest expense related to the 7.375% Notes due 2019 was approximately $712,000 and</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$763,000, respectively. For the nine months ended September 30, 2016 and 2015, interest expense related to the 7.375% Notes due 2019 was approximately $2.2 million and $2.3 million, respectively.</w:t>
      </w:r>
    </w:p>
    <w:p>
      <w:pPr>
        <w:spacing w:after="0" w:line="184"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expected term of the facility on an effective yield method, of which approximately $600,000 remains to be amortized, and is included on the consolidated balance sheets as a reduction in the related debt liability.</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During the second quarter of 2016, the Company repurchased approximately $2.4 million par value of the 7.375% notes due 2019 at a weighted average price of $25.23 per $25.00 note, resulting in a realized loss on extinguishment of $71,190. KCAP subsequently surrendered these notes to the Trustee for cancellation.</w:t>
      </w:r>
    </w:p>
    <w:p>
      <w:pPr>
        <w:spacing w:after="0" w:line="18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During the third quarter of 2016, $5.0 million par value of the 7.375% notes due 2019 was redeemed by the Company, resulting in a realized loss on extinguishment of $88,015.</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Fair Value of 7.375% Notes Due 2019</w:t>
      </w:r>
      <w:r>
        <w:rPr>
          <w:rFonts w:ascii="Arial" w:cs="Arial" w:eastAsia="Arial" w:hAnsi="Arial"/>
          <w:sz w:val="18"/>
          <w:szCs w:val="18"/>
          <w:color w:val="auto"/>
        </w:rPr>
        <w:t>. The 7.375% Notes due 2019 were issued in a public offering on October 10, 2012 and are carried at cost.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Company’s outstanding 7.375% Notes due 2019 was approximately $34.2 million at September 30, 2016. The fair value was determined based on the closing price on September 30, 2016 for the 7.375% Notes due 2019. The 7.375% Notes due 2019 are categorized as Level I under the ASC 820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5" w:name="page56"/>
    <w:bookmarkEnd w:id="55"/>
    <w:p>
      <w:pPr>
        <w:ind w:right="360" w:firstLine="324"/>
        <w:spacing w:after="0" w:line="286" w:lineRule="auto"/>
        <w:rPr>
          <w:sz w:val="20"/>
          <w:szCs w:val="20"/>
          <w:color w:val="auto"/>
        </w:rPr>
      </w:pPr>
      <w:r>
        <w:rPr>
          <w:rFonts w:ascii="Arial" w:cs="Arial" w:eastAsia="Arial" w:hAnsi="Arial"/>
          <w:sz w:val="16"/>
          <w:szCs w:val="16"/>
          <w:color w:val="auto"/>
        </w:rPr>
        <w:t>The secured notes (the “KCAP Senior Funding I Secured Notes”) were issued as Class A senior secured floating rate notes which have an initial face amount of $77,250,000, are rated AAA (sf)/Aaa (sf) by Standard &amp; Poor’s Ratings Services and Moody’s Investors Service, Inc., respectively, and bear interest at the three-month LIBOR plus 1.50%, Class B senior secured floating rate notes which have an initial face amount of $9,000,000, are rated AA (sf)/Aa2 (sf) by Standard &amp; Poor’s Ratings Services and Moody’s Investors Service, Inc., respectively, and bear interest at three-month LIBOR plus the</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3.25%, Class C secured deferrable floating rate notes which have an initial face amount of $10,000,000, are rated A (sf)/A2 (sf) by Standard &amp; Poor’s Ratings Services and Moody’s Investors Service, Inc., respectively, and bear interest at three-month LIBOR plus 4.25%, and Class D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in July, 2024, and are subject to a two year non-call period. The Issuer has a four year reinvestment period. The stated interest rate re-sets on a quarterly basis based upon the then-current level of the benchmark three-month LIBOR.</w:t>
      </w:r>
    </w:p>
    <w:p>
      <w:pPr>
        <w:spacing w:after="0" w:line="170" w:lineRule="exact"/>
        <w:rPr>
          <w:sz w:val="20"/>
          <w:szCs w:val="20"/>
          <w:color w:val="auto"/>
        </w:rPr>
      </w:pPr>
    </w:p>
    <w:p>
      <w:pPr>
        <w:ind w:right="720" w:firstLine="324"/>
        <w:spacing w:after="0" w:line="264" w:lineRule="auto"/>
        <w:rPr>
          <w:sz w:val="20"/>
          <w:szCs w:val="20"/>
          <w:color w:val="auto"/>
        </w:rPr>
      </w:pPr>
      <w:r>
        <w:rPr>
          <w:rFonts w:ascii="Arial" w:cs="Arial" w:eastAsia="Arial" w:hAnsi="Arial"/>
          <w:sz w:val="18"/>
          <w:szCs w:val="18"/>
          <w:color w:val="auto"/>
        </w:rPr>
        <w:t>On December 8, 2014, the Company completed the sale of additional notes (“Additional Issuance Securities”) in a $56,000,000 increase to the collateralized loan obligation transaction that originally closed on June 18, 2013 (the “Original Closing Date”). The issuance of additional notes was proportional across all existing classes of notes issued on the Original Closing Date.</w:t>
      </w:r>
    </w:p>
    <w:p>
      <w:pPr>
        <w:spacing w:after="0" w:line="18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Each class of secured Additional Issuance Securities (all such classes, collectively, the “Additional Issuance Offered Securities”) was issued as a pari passu sub-class of an existing class of notes issued on the Original Closing Date. Accordingly, the ratings given by Standard &amp; Poor’s Ratings Services and Moody’s Investors Service, Inc. to each existing class of notes issued on the Original Closing Date will apply to each class of Additional Issuance Offered Securities that constitutes a related pari passu sub-class of such existing class of notes issued on the Original Closing Date.</w:t>
      </w:r>
    </w:p>
    <w:p>
      <w:pPr>
        <w:spacing w:after="0" w:line="17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Additional Issuance Offered Securities were issued as Class A-2 senior secured floating rate notes which have an initial face amount of $30,900,000, have a rating of AAA (sf)/Aaa (sf) by Standard &amp; Poor’s Ratings Services and Moody’s Investors Service, Inc., respectively, and bear interest at the three-month LIBOR plus 1.50%, Class B-2 senior secured floating rate notes which have an initial face amount of $3,600,000, a rating of AA (sf)/Aa2 (sf) by Standard &amp; Poor’s Ratings Services and Moody’s Investors Service, Inc., respectively, and bear interest at three-month LIBOR plus 3.25%, Class C-2 secured deferrable floating rate notes which have an initial face amount of $4,000,000, a rating of A (sf)/A2 (sf) by Standard &amp; Poor’s Ratings Services and Moody’s Investors Service, Inc., respectively, and bear interest at three-month LIBOR plus 4.25%, and Class D-2 secured deferrable floating rate notes which have an initial face amount of $3,600,000, a rating of BBB (sf)/Baa2 (sf) by Standard &amp; Poor’s Ratings Services and Moody’s Investors Service, Inc., respectively, and bear interest at three-month LIBOR plus 5.25%. The Depositor retained all of the subordinated Additional Issuance Securities of the Issuer (the “Additional Issuance Subordinated Notes”), which have an initial face amount of $13,900,000. The Additional Issuance Subordinated Notes do not bear interest and are not rated. The Additional Issuance Securities have a stated maturity date of July 20, 2024 and are subject to a non-call period until the payment date on the Additional Issuance Securities occurring in July 2015. The Issuer has a reinvestment period to and including the payment date on the Additional Issuance Securities occurring in July 2017, or such earlier date as is provided in the indenture relating to the Additional Issuance Securities. In connection with the Additional Issuance Offered Securities, the Company incurred issuance costs and OID costs of approximately $584,000 and $896,000, respectively.</w:t>
      </w:r>
    </w:p>
    <w:p>
      <w:pPr>
        <w:spacing w:after="0" w:line="18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189"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Company serves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right="80" w:firstLine="324"/>
        <w:spacing w:after="0" w:line="277" w:lineRule="auto"/>
        <w:rPr>
          <w:sz w:val="20"/>
          <w:szCs w:val="20"/>
          <w:color w:val="auto"/>
        </w:rPr>
      </w:pPr>
      <w:r>
        <w:rPr>
          <w:rFonts w:ascii="Arial" w:cs="Arial" w:eastAsia="Arial" w:hAnsi="Arial"/>
          <w:sz w:val="18"/>
          <w:szCs w:val="18"/>
          <w:color w:val="auto"/>
        </w:rPr>
        <w:t>In addition, because each of the Issuer and the Depositor are consolidated subsidiaries, the Company did not recognize any gain or loss on the transfer of any of our portfolio assets to such vehicles in connection with the issuance and sale of the KCAP Senior Funding I Notes.</w:t>
      </w:r>
    </w:p>
    <w:p>
      <w:pPr>
        <w:spacing w:after="0" w:line="170"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As of September 30, 2016, there were 76 investments in portfolio companies with a total fair value of approximately $189.5 million plus cash of $10.9 million, collateralizing the secured notes of the Issuer. At September 30, 2016, there were unamortized issuance costs of approximately $2.6 million, and unamortized original issue discount, (“OID”) of approximately $2.4 million included in Notes issued by KCAP Senior Funding I, LLC liabilities in the accompanying consolidated balance sheet. The pool of loans in the securitization must meet certain requirements, including asset mix and concentration, collateral coverage, term, agency rating, minimum coupon, minimum spread and sector diversity requirements.</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For the three months ended September 30, 2016, interest expense, including the amortization of deferred debt issuance costs and the OID was approximately $1.4 million consisting of stated interest expense of approximately $1.0 million, accreted discount of approximately $156,000, and deferred debt issuance costs of approximately $167,000. For the nine months ended September 30, 2016, interest expense, including the amortization of deferred debt issuance costs and the discount on the face amount of the notes, was approximately $4.2 million consisting of stated interest expense of approximately $3.2 million, accreted discount of approximately $464,000, and deferred debt issuance costs of approximately $498,000. As of September 30, 2016, the stated interest charged under the securitization was based on current three month LIBOR at the reset date, which was 0.70%. The classes, stated interest rates, spread over LIBOR, and stated interest expense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Stated Interest</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8"/>
              </w:rPr>
              <w:t>LIBOR Spread</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97"/>
              </w:rPr>
              <w:t>Quarterly Interest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Rate (1)</w:t>
            </w:r>
          </w:p>
        </w:tc>
        <w:tc>
          <w:tcPr>
            <w:tcW w:w="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(basis points)</w:t>
            </w:r>
          </w:p>
        </w:tc>
        <w:tc>
          <w:tcPr>
            <w:tcW w:w="16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Expense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 Notes</w:t>
            </w: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KCAP Senior Funding LLC Class B Notes</w:t>
            </w: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3.95%</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 Notes</w:t>
            </w: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173,096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KCAP Senior Funding LLC Class D Notes</w:t>
            </w: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5.95%</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187,286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1,078,303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120" w:hanging="332"/>
        <w:spacing w:after="0" w:line="569" w:lineRule="auto"/>
        <w:tabs>
          <w:tab w:leader="none" w:pos="271" w:val="left"/>
        </w:tabs>
        <w:numPr>
          <w:ilvl w:val="0"/>
          <w:numId w:val="39"/>
        </w:numPr>
        <w:rPr>
          <w:rFonts w:ascii="Arial" w:cs="Arial" w:eastAsia="Arial" w:hAnsi="Arial"/>
          <w:sz w:val="16"/>
          <w:szCs w:val="16"/>
          <w:color w:val="auto"/>
        </w:rPr>
      </w:pPr>
      <w:r>
        <w:rPr>
          <w:rFonts w:ascii="Arial" w:cs="Arial" w:eastAsia="Arial" w:hAnsi="Arial"/>
          <w:sz w:val="16"/>
          <w:szCs w:val="16"/>
          <w:color w:val="auto"/>
        </w:rPr>
        <w:t>Stated Interest Rate (and thus periodic interest expense), will vary based upon prevailing 3 month LIBOR as of the reset date. The amounts, ratings and interest rates (expressed as a spread to LIBOR) of the Class A, B, C, and D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Class A Notes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B Notes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C Notes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Class D Notes</w:t>
            </w: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Type</w:t>
            </w:r>
          </w:p>
        </w:tc>
        <w:tc>
          <w:tcPr>
            <w:tcW w:w="1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Senior Secured Floating</w:t>
            </w:r>
          </w:p>
        </w:tc>
        <w:tc>
          <w:tcPr>
            <w:tcW w:w="12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Senior Secured Floating</w:t>
            </w:r>
          </w:p>
        </w:tc>
        <w:tc>
          <w:tcPr>
            <w:tcW w:w="10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Secured Deferrable</w:t>
            </w:r>
          </w:p>
        </w:tc>
        <w:tc>
          <w:tcPr>
            <w:tcW w:w="10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Secured Deferrable</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Rate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Rate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Floating Rate</w:t>
            </w: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Amount Outstanding</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$108,150,000</w:t>
            </w:r>
          </w:p>
        </w:tc>
        <w:tc>
          <w:tcPr>
            <w:tcW w:w="120" w:type="dxa"/>
            <w:vAlign w:val="bottom"/>
          </w:tcPr>
          <w:p>
            <w:pPr>
              <w:spacing w:after="0"/>
              <w:rPr>
                <w:sz w:val="18"/>
                <w:szCs w:val="18"/>
                <w:color w:val="auto"/>
              </w:rPr>
            </w:pPr>
          </w:p>
        </w:tc>
        <w:tc>
          <w:tcPr>
            <w:tcW w:w="1940" w:type="dxa"/>
            <w:vAlign w:val="bottom"/>
          </w:tcPr>
          <w:p>
            <w:pPr>
              <w:jc w:val="right"/>
              <w:ind w:right="430"/>
              <w:spacing w:after="0"/>
              <w:rPr>
                <w:sz w:val="20"/>
                <w:szCs w:val="20"/>
                <w:color w:val="auto"/>
              </w:rPr>
            </w:pPr>
            <w:r>
              <w:rPr>
                <w:rFonts w:ascii="Arial" w:cs="Arial" w:eastAsia="Arial" w:hAnsi="Arial"/>
                <w:sz w:val="18"/>
                <w:szCs w:val="18"/>
                <w:color w:val="auto"/>
              </w:rPr>
              <w:t>$12,600,000</w:t>
            </w:r>
          </w:p>
        </w:tc>
        <w:tc>
          <w:tcPr>
            <w:tcW w:w="100" w:type="dxa"/>
            <w:vAlign w:val="bottom"/>
          </w:tcPr>
          <w:p>
            <w:pPr>
              <w:spacing w:after="0"/>
              <w:rPr>
                <w:sz w:val="18"/>
                <w:szCs w:val="18"/>
                <w:color w:val="auto"/>
              </w:rPr>
            </w:pPr>
          </w:p>
        </w:tc>
        <w:tc>
          <w:tcPr>
            <w:tcW w:w="1940" w:type="dxa"/>
            <w:vAlign w:val="bottom"/>
          </w:tcPr>
          <w:p>
            <w:pPr>
              <w:jc w:val="right"/>
              <w:ind w:right="430"/>
              <w:spacing w:after="0"/>
              <w:rPr>
                <w:sz w:val="20"/>
                <w:szCs w:val="20"/>
                <w:color w:val="auto"/>
              </w:rPr>
            </w:pPr>
            <w:r>
              <w:rPr>
                <w:rFonts w:ascii="Arial" w:cs="Arial" w:eastAsia="Arial" w:hAnsi="Arial"/>
                <w:sz w:val="18"/>
                <w:szCs w:val="18"/>
                <w:color w:val="auto"/>
              </w:rPr>
              <w:t>$14,000,000</w:t>
            </w:r>
          </w:p>
        </w:tc>
        <w:tc>
          <w:tcPr>
            <w:tcW w:w="100" w:type="dxa"/>
            <w:vAlign w:val="bottom"/>
          </w:tcPr>
          <w:p>
            <w:pPr>
              <w:spacing w:after="0"/>
              <w:rPr>
                <w:sz w:val="18"/>
                <w:szCs w:val="18"/>
                <w:color w:val="auto"/>
              </w:rPr>
            </w:pPr>
          </w:p>
        </w:tc>
        <w:tc>
          <w:tcPr>
            <w:tcW w:w="1940" w:type="dxa"/>
            <w:vAlign w:val="bottom"/>
          </w:tcPr>
          <w:p>
            <w:pPr>
              <w:jc w:val="right"/>
              <w:ind w:right="430"/>
              <w:spacing w:after="0"/>
              <w:rPr>
                <w:sz w:val="20"/>
                <w:szCs w:val="20"/>
                <w:color w:val="auto"/>
              </w:rPr>
            </w:pPr>
            <w:r>
              <w:rPr>
                <w:rFonts w:ascii="Arial" w:cs="Arial" w:eastAsia="Arial" w:hAnsi="Arial"/>
                <w:sz w:val="18"/>
                <w:szCs w:val="18"/>
                <w:color w:val="auto"/>
              </w:rPr>
              <w:t>$12,600,000</w:t>
            </w: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Moody's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"Aaa"</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rPr>
              <w:t>"Aa2"</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rPr>
              <w:t>"A2"</w:t>
            </w: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"Baa2"</w:t>
            </w: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Standard &amp; Poor's Rating (sf)</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rPr>
              <w:t>"AAA"</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rPr>
              <w:t>"AA"</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rPr>
              <w:t>"A"</w:t>
            </w:r>
          </w:p>
        </w:tc>
        <w:tc>
          <w:tcPr>
            <w:tcW w:w="1940" w:type="dxa"/>
            <w:vAlign w:val="bottom"/>
          </w:tcPr>
          <w:p>
            <w:pPr>
              <w:jc w:val="center"/>
              <w:spacing w:after="0"/>
              <w:rPr>
                <w:sz w:val="20"/>
                <w:szCs w:val="20"/>
                <w:color w:val="auto"/>
              </w:rPr>
            </w:pPr>
            <w:r>
              <w:rPr>
                <w:rFonts w:ascii="Arial" w:cs="Arial" w:eastAsia="Arial" w:hAnsi="Arial"/>
                <w:sz w:val="18"/>
                <w:szCs w:val="18"/>
                <w:color w:val="auto"/>
              </w:rPr>
              <w:t>"BBB"</w:t>
            </w: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Interest Rate</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LIBOR + 1.50 %</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LIBOR + 3.25 %</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LIBOR + 4.25 %</w:t>
            </w: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LIBOR + 5.25 %</w:t>
            </w: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Stated Maturity</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2024</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July, 2024</w:t>
            </w: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Junior Classes</w:t>
            </w: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B, C, D</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 D</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 and</w:t>
            </w:r>
          </w:p>
        </w:tc>
        <w:tc>
          <w:tcPr>
            <w:tcW w:w="19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and Subordinated</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and Subordinated</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Subordinated</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Subordinated</w:t>
            </w:r>
          </w:p>
        </w:tc>
      </w:tr>
      <w:tr>
        <w:trPr>
          <w:trHeight w:val="648"/>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color w:val="auto"/>
        </w:rPr>
        <w:t>The Company’s outstanding principal amounts, carrying values and fair values of the Class A, B, C and D Notes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rPr>
              <w:t>September 30, 2016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(unaudited)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1"/>
              </w:rPr>
              <w:t>Principal Amount</w:t>
            </w:r>
          </w:p>
        </w:tc>
        <w:tc>
          <w:tcPr>
            <w:tcW w:w="1480" w:type="dxa"/>
            <w:vAlign w:val="bottom"/>
            <w:gridSpan w:val="4"/>
          </w:tcPr>
          <w:p>
            <w:pPr>
              <w:ind w:left="100"/>
              <w:spacing w:after="0"/>
              <w:rPr>
                <w:sz w:val="20"/>
                <w:szCs w:val="20"/>
                <w:color w:val="auto"/>
              </w:rPr>
            </w:pPr>
            <w:r>
              <w:rPr>
                <w:rFonts w:ascii="Arial" w:cs="Arial" w:eastAsia="Arial" w:hAnsi="Arial"/>
                <w:sz w:val="18"/>
                <w:szCs w:val="18"/>
                <w:b w:val="1"/>
                <w:bCs w:val="1"/>
                <w:color w:val="auto"/>
              </w:rPr>
              <w:t>Carrying Value</w:t>
            </w:r>
          </w:p>
        </w:tc>
        <w:tc>
          <w:tcPr>
            <w:tcW w:w="12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 Notes</w:t>
            </w:r>
          </w:p>
        </w:tc>
        <w:tc>
          <w:tcPr>
            <w:tcW w:w="1780" w:type="dxa"/>
            <w:vAlign w:val="bottom"/>
            <w:gridSpan w:val="2"/>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108,150,000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104,428,147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107,014,425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KCAP Senior Funding LLC Class B Notes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12,600,000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12,166,386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12,584,250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 Notes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13,518,207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KCAP Senior Funding LLC Class D Notes</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12,600,000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12,166,386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12,080,250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142,279,126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145,573,925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i w:val="1"/>
          <w:iCs w:val="1"/>
          <w:color w:val="auto"/>
        </w:rPr>
        <w:t xml:space="preserve">Fair Value of KCAP Senior Funding I. </w:t>
      </w:r>
      <w:r>
        <w:rPr>
          <w:rFonts w:ascii="Arial" w:cs="Arial" w:eastAsia="Arial" w:hAnsi="Arial"/>
          <w:sz w:val="17"/>
          <w:szCs w:val="17"/>
          <w:color w:val="auto"/>
        </w:rPr>
        <w:t>The Company carries the KCAP Senior Funding I Notes at cost, net of unamortized discount and offering costs</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$2.4 million and $2.6 million, respectively. The fair value of the KCAP Senior Funding I Notes was approximately $145.6 million and $143.8 million at September 30, 2016 and December 31, 2015, respectively. The fair values were determined based on third party indicative values. The KCAP Senior Funding I L.L.C. Notes are categorized as Level III under ASC 820: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2016).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8" w:name="page59"/>
    <w:bookmarkEnd w:id="58"/>
    <w:p>
      <w:pPr>
        <w:ind w:left="340"/>
        <w:spacing w:after="0"/>
        <w:rPr>
          <w:sz w:val="20"/>
          <w:szCs w:val="20"/>
          <w:color w:val="auto"/>
        </w:rPr>
      </w:pPr>
      <w:r>
        <w:rPr>
          <w:rFonts w:ascii="Arial" w:cs="Arial" w:eastAsia="Arial" w:hAnsi="Arial"/>
          <w:sz w:val="16"/>
          <w:szCs w:val="16"/>
          <w:color w:val="auto"/>
        </w:rPr>
        <w:t>The following reconciles net increase (decrease) in net assets resulting from operations to taxable income for the nine months ended September 30, 2016:</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940" w:type="dxa"/>
            <w:vAlign w:val="bottom"/>
            <w:gridSpan w:val="8"/>
          </w:tcPr>
          <w:p>
            <w:pPr>
              <w:ind w:left="20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(1,118,601)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change in unrealized depreciation from investments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9,309,013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19,750,242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gains over capital losses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6,205,405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1,050,658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1,462,401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book/tax differences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(673,454)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764,244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Taxable income before deductions for distributions</w:t>
            </w:r>
          </w:p>
        </w:tc>
        <w:tc>
          <w:tcPr>
            <w:tcW w:w="2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14,773,021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21,106,924</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4"/>
              </w:rPr>
              <w:t>Taxable income before deductions for distributions per weighted average basic shares for the period</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w w:val="92"/>
              </w:rPr>
              <w:t>Taxable income before deductions for distributions per weighted average diluted shares for the period</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nine months ended September 30, 2016 and 2015, the Asset Manager Affiliates declared cash distributions of $2.7 million and $7.3 million to the Company, respectively. The Company recognized $1.4 million and $4.2 million, respectively, of dividends from Asset Manager Affiliates in the Statement of Operations for the nine months ended September 30, 2016 and 2015. The difference of $1.3 million and $3.1 million, respectively, between cash distributions received and the tax-basis earnings and profits of the distributing affiliate, are recorded as an adjustment to the cost basis in the Asset Manager Affiliate (i.e. tax-basis return of capital), for the nine months ended September 30, 2016 and 2015, respectively.</w:t>
      </w:r>
    </w:p>
    <w:p>
      <w:pPr>
        <w:spacing w:after="0" w:line="16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At September 30, 2016, the Company had a net capital loss carryforward of approximately $89.3 million to offset net capital gains, to the extent provided by federal tax law. Of the net capital loss carryforward, $57.4 million is not subject to expiration under the RIC Modernization Act of 2010.</w:t>
      </w:r>
    </w:p>
    <w:p>
      <w:pPr>
        <w:spacing w:after="0" w:line="14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On September 20, 2016, the Company’s Board of Directors declared a distribution to shareholders of $0.15 per share for a total of $5.5 million. The record date was October 14, 2016 and the distribution was paid on October 27, 2016.</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September 30, 2016 and December 31, 2015, the Company had $600,000 and $360,000 of outstanding commitments to fund investments,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During the nine months ended September 30, 2016 and 2015, the Company issued 153,792 and 127,613 shares, respectively, of common stock under its dividend reinvestment plan. For the nine months ended September 30, 2016, there were 6,000 grants, 31,373 forfeitures, and 260,607 shares vested. On February 14, 2013, the Company completed a public offering of 5,232,500 shares of common stock, which included the underwriters’ full exercise of their option to purchase up to 682,500 shares of common stock, at a price of $9.75 per share. In conjunction with this offering, the Company also sold 200,000 shares of common stock to a member of its Board of Directors, at a price of $9.31125 per share, raising approximately $1.9 million in gross proceeds. On April 4, 2013, approximately $9 million of the Company’s 8.75% Convertible Notes were converted at a price basis per share of $8.159 into 1,102,093 shares of KCAP common stock. On October 6, 2014, the Company priced a follow-on public offering of 3.0 million shares of its common stock at a price of $8.02 per share. The offering raised net proceeds were approximately $23.8 million, after deducting underwriting discounts and offering expenses. The total number of shares of the Company’s common stock outstanding as of September 30, 2016 and December 31, 2015 was 37,160,770 and 37,100,005, respectively. During the nine months ended September 30, 2016, the Company repurchased 67,654 shares at an aggregate cost of approximately $248,000 in connection with the vesting of restricted stock awards.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Company has an equity incentive plan, established in 2006 and as amended in 2008, 2014 and most recently in June 2015 (the “Equity Incentive Plan”). The Company reserved 2,000,000 shares of common stock for issuance under the Equity Incentive Plan. The purpose of the Equity Incentive Plan is to provide officers and employees of the Company with additional incentives and align the interests of its employees with those of its shareholders. Options granted under the Equity Incentive Plan are exercisable at a price equal to the fair market value (market closing price) of the shares on the day the option is granted. Restricted stock granted under the Equity Incentive Plan is granted at a price equal to the fair market value (market closing price) of the shares on the day such restricted stock is granted. Vesting of restricted stock awarded under the 2008 amendment of the Equity Incentive Plan will occur in two equal installments of 50%, on each of the third and fourth anniversaries of the grant date; vesting of restricted stock subsequent to the 2014 amendment of the Equity Incentive Plan will vest in four equal installments of 25%, on each of the first four anniversaries of the grant date.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On June 20, 2014, the Company’s Board of Directors approved the amended and restated the Non-Employee Director Plan (the “Non-Employee Director Plan”), which was approved by shareholders on June 10, 2011. Accordingly, the annual grant of options to non-employee directors has been discontinued and replaced with an annual grant of shares of restricted stock as partial annual compensation for the services of the non-employee directors.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0" w:name="page61"/>
    <w:bookmarkEnd w:id="60"/>
    <w:p>
      <w:pPr>
        <w:ind w:right="260" w:firstLine="32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2015 through September 30, 2016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spacing w:after="0" w:line="183" w:lineRule="exact"/>
              <w:rPr>
                <w:sz w:val="20"/>
                <w:szCs w:val="20"/>
                <w:color w:val="auto"/>
              </w:rPr>
            </w:pPr>
            <w:r>
              <w:rPr>
                <w:rFonts w:ascii="Arial" w:cs="Arial" w:eastAsia="Arial" w:hAnsi="Arial"/>
                <w:sz w:val="18"/>
                <w:szCs w:val="18"/>
                <w:b w:val="1"/>
                <w:bCs w:val="1"/>
                <w:color w:val="auto"/>
              </w:rPr>
              <w:t>Exercise Price per</w:t>
            </w:r>
          </w:p>
        </w:tc>
        <w:tc>
          <w:tcPr>
            <w:tcW w:w="1500" w:type="dxa"/>
            <w:vAlign w:val="bottom"/>
            <w:gridSpan w:val="2"/>
          </w:tcPr>
          <w:p>
            <w:pPr>
              <w:jc w:val="center"/>
              <w:ind w:right="100"/>
              <w:spacing w:after="0" w:line="183" w:lineRule="exact"/>
              <w:rPr>
                <w:sz w:val="20"/>
                <w:szCs w:val="20"/>
                <w:color w:val="auto"/>
              </w:rPr>
            </w:pPr>
            <w:r>
              <w:rPr>
                <w:rFonts w:ascii="Arial" w:cs="Arial" w:eastAsia="Arial" w:hAnsi="Arial"/>
                <w:sz w:val="18"/>
                <w:szCs w:val="18"/>
                <w:b w:val="1"/>
                <w:bCs w:val="1"/>
                <w:color w:val="auto"/>
                <w:w w:val="90"/>
              </w:rPr>
              <w:t>Remaining Term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3"/>
                <w:szCs w:val="23"/>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3"/>
                <w:szCs w:val="23"/>
                <w:color w:val="auto"/>
              </w:rPr>
            </w:pPr>
          </w:p>
        </w:tc>
        <w:tc>
          <w:tcPr>
            <w:tcW w:w="1360" w:type="dxa"/>
            <w:vAlign w:val="bottom"/>
            <w:gridSpan w:val="3"/>
          </w:tcPr>
          <w:p>
            <w:pPr>
              <w:ind w:left="20"/>
              <w:spacing w:after="0" w:line="266" w:lineRule="exact"/>
              <w:rPr>
                <w:sz w:val="20"/>
                <w:szCs w:val="20"/>
                <w:color w:val="auto"/>
              </w:rPr>
            </w:pPr>
            <w:r>
              <w:rPr>
                <w:rFonts w:ascii="Arial" w:cs="Arial" w:eastAsia="Arial" w:hAnsi="Arial"/>
                <w:sz w:val="18"/>
                <w:szCs w:val="18"/>
                <w:b w:val="1"/>
                <w:bCs w:val="1"/>
                <w:color w:val="auto"/>
                <w:w w:val="98"/>
              </w:rPr>
              <w:t>Intrinsic Value</w:t>
            </w:r>
            <w:r>
              <w:rPr>
                <w:rFonts w:ascii="Arial" w:cs="Arial" w:eastAsia="Arial" w:hAnsi="Arial"/>
                <w:sz w:val="30"/>
                <w:szCs w:val="30"/>
                <w:color w:val="auto"/>
                <w:w w:val="98"/>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2015</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2015</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26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2016</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vested at September 30, 2016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and the exercise price of the options.</w:t>
      </w:r>
    </w:p>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nine months ended September 30, 2016 and 2015, the Company did not recognize any non-cash compensation expense related to stock options. At September 30, 2016, the Company had no remaining compensation costs related to unvested stock 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7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25"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21, 2015, 6,000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3, 2016, 6,000 shares of restricted stock were awarded to the Company’s Board of Directors.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June 16, 2015, the Company received exemptive relief to repurchase shares of its common stock from its employees in connection with certain equity compensation plan arrangements. During the nine months ended September 30, 2016, the Company repurchased 67,654 shares of common stock at an aggregate cost of approximately $248,000 in connection with the vesting of employee’s restricted stock, which is reflected as Treasury Stock at cost on the Consolidated Balance Sheet. These shares are not available to be reissued under the Company’s Equity Incentive Plan.</w:t>
      </w:r>
    </w:p>
    <w:p>
      <w:pPr>
        <w:spacing w:after="0" w:line="17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right="120" w:firstLine="324"/>
        <w:spacing w:after="0" w:line="264" w:lineRule="auto"/>
        <w:rPr>
          <w:sz w:val="20"/>
          <w:szCs w:val="20"/>
          <w:color w:val="auto"/>
        </w:rPr>
      </w:pPr>
      <w:r>
        <w:rPr>
          <w:rFonts w:ascii="Arial" w:cs="Arial" w:eastAsia="Arial" w:hAnsi="Arial"/>
          <w:sz w:val="18"/>
          <w:szCs w:val="18"/>
          <w:color w:val="auto"/>
        </w:rPr>
        <w:t>On June 23, 2015, the Company’s Board of Directors also voted to amend the Equity Incentive Plan to specify that shares repurchased by the Company to satisfy employee tax withholding requirements would not be returned to the plan reserve and could not be reissued under the Company’s Equity Incentive Plan.</w:t>
      </w:r>
    </w:p>
    <w:p>
      <w:pPr>
        <w:spacing w:after="0" w:line="18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During the nine months ended September 30, 2016, 260,607 shares of restricted stock vested and 31,373 shares of restricted stock were forfeited. As of September 30, 2016, after giving effect to these restricted stock awards, there were 414,559 shares of restricted stock outstanding. Information with respect to restricted stock granted, exercised and forfeited under the Plan for the period January 1, 2015 through September 30, 2016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Non-vested</w:t>
            </w:r>
          </w:p>
        </w:tc>
      </w:tr>
      <w:tr>
        <w:trPr>
          <w:trHeight w:val="216"/>
        </w:trPr>
        <w:tc>
          <w:tcPr>
            <w:tcW w:w="708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r>
      <w:tr>
        <w:trPr>
          <w:trHeight w:val="234"/>
        </w:trPr>
        <w:tc>
          <w:tcPr>
            <w:tcW w:w="7080" w:type="dxa"/>
            <w:vAlign w:val="bottom"/>
          </w:tcPr>
          <w:p>
            <w:pPr>
              <w:spacing w:after="0"/>
              <w:rPr>
                <w:sz w:val="20"/>
                <w:szCs w:val="20"/>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January 1, 2015</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196,166</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(104,550)</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(10,862)</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December 31, 2015</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(260,607)</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(31,373)</w:t>
            </w:r>
          </w:p>
        </w:tc>
      </w:tr>
      <w:tr>
        <w:trPr>
          <w:trHeight w:val="223"/>
        </w:trPr>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Outstanding at September 30, 2016</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For the nine months ended September 30, 2016, non-cash compensation expense related to restricted stock was approximately $1.2 million; of this amount approximately $472,000 was expensed at the Company, and approximately $682,000 was a reimbursable expense allocated to the Asset Manager Affiliates. For the nine months ended September 30, 2015, non-cash compensation expense related to restricted stock was approximately $1.2 million; of this amount approximately $504,000 was expensed at the Company and approximately $648,000 was a reimbursable expense allocated to the Asset Manager Affiliates.</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Distributions are paid on all outstanding shares of restricted stock, whether or not vested. In general, shares of unvested restricted stock are forfeited upon the recipient’s termination of employment. As of September 30, 2016, the Company had approximately $2.2 million of total unrecognized compensation cost related to non-vested restricted share awards. That cost is expected to be recognized over the remaining weighted average period of 1.7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$1,000 and $3,000 was expensed during the three months ended September 30, 2016 and 2015, respectively, related to the 401K Plan. During the nine months ended September 30, 2016 and 2015, approximately $19,000 and $25,000 was expensed related to the 401K Plan.</w:t>
      </w:r>
    </w:p>
    <w:p>
      <w:pPr>
        <w:spacing w:after="0" w:line="158" w:lineRule="exact"/>
        <w:rPr>
          <w:sz w:val="20"/>
          <w:szCs w:val="20"/>
          <w:color w:val="auto"/>
        </w:rPr>
      </w:pPr>
    </w:p>
    <w:p>
      <w:pPr>
        <w:ind w:right="220" w:firstLine="324"/>
        <w:spacing w:after="0" w:line="271" w:lineRule="auto"/>
        <w:rPr>
          <w:sz w:val="20"/>
          <w:szCs w:val="20"/>
          <w:color w:val="auto"/>
        </w:rPr>
      </w:pPr>
      <w:r>
        <w:rPr>
          <w:rFonts w:ascii="Arial" w:cs="Arial" w:eastAsia="Arial" w:hAnsi="Arial"/>
          <w:sz w:val="17"/>
          <w:szCs w:val="17"/>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$46,000 and $8,000 was expensed during the three months ended September 30, 2016 and 2015, respectively, related to the Profit-Sharing Plan. During the nine months ended September 30, 2016 and 2015, approximately $138,000 and $98,000, respectively, was expensed related to the Profit-Sharing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September 30, 2016 for items that should potentially be recognized or disclosed in these financial statements. Management has determined that there are no material subsequent events that would require adjustment to, or disclosure in, these consolidated financial statements.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2" w:name="page63"/>
    <w:bookmarkEnd w:id="62"/>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subsidiaries.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information contained in this section should be read in conjunction with our consolidated financial statements and notes thereto appearing elsewhere in this Quarterly Report and in conjunction with the financial statements and notes thereto in the Company’s Form 10-K for the year ended December 31, 2015,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80" w:lineRule="exact"/>
        <w:rPr>
          <w:sz w:val="20"/>
          <w:szCs w:val="20"/>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920" w:right="480" w:hanging="331"/>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registered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form and amount of any distributions.</w:t>
      </w:r>
    </w:p>
    <w:p>
      <w:pPr>
        <w:spacing w:after="0" w:line="225"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 “Item 1A. Risk Factors” in our Annual Report on Form 10-K for the fiscal year ended December 31, 2015.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or BDC,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 (the “1940 Act”). We have three principal areas of investments: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Second, the Company has invested in asset management companies (Katonah Debt Advisors and Trimaran Advisors, collectively the “Asset Manager Affiliates”) that manage collateralized loan obligation funds (“CLO Funds”).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Third, the Company invests in debt and subordinated securities issued by collateralized loan obligation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6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 may also invest in other investments such as loans to publicly-traded companies, high-yield bonds and distressed debt securities. The Company may also receive warrants or options to purchase common stock in connection with its debt investments.</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private companies or publicly-traded companies, high-yield bonds and distressed debt securities. We may also receive warrants or options to purchase common stock in connection with our debt investments.</w:t>
      </w:r>
    </w:p>
    <w:p>
      <w:pPr>
        <w:spacing w:after="0" w:line="17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From our Asset Manager Affiliates investment, we expect to receive recurring cash distributions and to generate capital appreciation through the addition of new CLO Funds managed by our Asset Manager Affiliates. We may also seek to monetize our investment in the Asset Manager Affiliates if and when business conditions warrant. The Asset Manager Affiliates manage CLO Funds that invest in broadly syndicated loans, high-yield bonds and other credit instruments. Collectively, the Asset Manager Affiliates have approximately $2.6 billion of par value assets under management as of September 30, 2016. The Asset Manager Affiliates are registered under the Investment Advisers Act of 1940, and are each managed independently from KCAP by a separate management team (however, certain of the Company’s executive officers also act in similar capacities for one or both of the Asset Manager Affiliates).</w:t>
      </w:r>
    </w:p>
    <w:p>
      <w:pPr>
        <w:spacing w:after="0" w:line="16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our investment in the Asset Manager Affiliates.</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Subject to market conditions, 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elected to be treated for U.S. federal income tax purposes as a RIC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manage portfolios of broadly syndicated loans, high-yield bonds and other credit instruments, and (3) CLO Fund Securities.</w:t>
      </w:r>
    </w:p>
    <w:p>
      <w:pPr>
        <w:spacing w:after="0" w:line="16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Total portfolio investment activity (excluding activity in time deposit and money market investments) for the nine months ended September 30, 2016 (unaudited) and for the year ended December 31, 2015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CLO Fund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Asset Manager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Debt Securities</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Securities</w:t>
            </w:r>
          </w:p>
        </w:tc>
        <w:tc>
          <w:tcPr>
            <w:tcW w:w="2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Equity Securities</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Affiliates</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320,143,170</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77,514,902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8,119,681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72,326,000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478,103,753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2015 Activity:</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108,670,472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11,952,000</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1,953,299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122,575,771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(135,328,386)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(3,872,700)</w:t>
            </w:r>
          </w:p>
        </w:tc>
        <w:tc>
          <w:tcPr>
            <w:tcW w:w="3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(317,340)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(3,701,446)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(143,219,872)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accretion (amortization)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1,860,670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(9,507,050)</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(7,646,380)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Net realized (losses) gains</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41,580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(6,246,883)</w:t>
            </w:r>
          </w:p>
        </w:tc>
        <w:tc>
          <w:tcPr>
            <w:tcW w:w="3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(6,202,288)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increase (decrease) in fair value</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(10,748,262)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(13,967,887)</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(210,167)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(11,243,554)</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(36,169,870)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2015</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284,639,244</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55,872,382</w:t>
            </w: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9,548,488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57,381,000</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407,441,114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to Date 2016 Activity:</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42,162,817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42,162,817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(65,361,885)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(4,200,000)</w:t>
            </w:r>
          </w:p>
        </w:tc>
        <w:tc>
          <w:tcPr>
            <w:tcW w:w="3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(4,743,682)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(75,555,567)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accretion (amortization)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329,096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(2,188,397)</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(1,859,301)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Net realized gains (losses)</w:t>
            </w: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(419,381)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(10,111,560)</w:t>
            </w:r>
          </w:p>
        </w:tc>
        <w:tc>
          <w:tcPr>
            <w:tcW w:w="3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4,484,742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(6,046,199)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increase (decrease) in fair value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2,539,345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5,754,494</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(4,896,852)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(12,706,000)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(9,309,013)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September 30, 2016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263,889,236</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45,126,919</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4,392,696</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43,425,000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356,833,851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September 30, 2016 and December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September 30, 2016 (unaudited)</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rPr>
              <w:t>December 31, 2015</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4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20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Fair Value</w:t>
            </w: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Accounts²</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15,379,713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15,379,713</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Senior Secured Loan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207,336,758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200,021,049</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203,819,074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194,123,223</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40,175,253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38,432,562</w:t>
            </w:r>
          </w:p>
        </w:tc>
        <w:tc>
          <w:tcPr>
            <w:tcW w:w="6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40,221,557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37,591,900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Senior Unsecured Loan</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23,000,000</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23,000,000</w:t>
            </w:r>
          </w:p>
        </w:tc>
        <w:tc>
          <w:tcPr>
            <w:tcW w:w="6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23,000,000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23,000,000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4,466,793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4,615,569</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11,879,187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10,551,724</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Senior Secured Bond</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1,507,492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1,400,625</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1,510,560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1,503,755</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66,714,991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45,126,919</w:t>
            </w:r>
          </w:p>
        </w:tc>
        <w:tc>
          <w:tcPr>
            <w:tcW w:w="6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83,214,947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55,872,382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10,208,846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4,392,696</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10,467,787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9,548,488</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Preferred Securities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10,411,673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11,036,373</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Asset Manager Affiliates³</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55,341,230</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43,425,000</w:t>
            </w:r>
          </w:p>
        </w:tc>
        <w:tc>
          <w:tcPr>
            <w:tcW w:w="64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56,591,230</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57,381,000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422,664,283</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372,213,564</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450,712,189</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409,570,495</w:t>
            </w: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436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Debt Securities Portfolio</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At September 30, 2016 and December 31, 2015, our investments in income producing loans and debt securities, excluding CLO Fund securities, had a weighted average interest rate of approximately 7.1% and 7.4%, respectively.</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investment portfolio (excluding the Company’s investment in Asset Manager Affiliates and CLO Funds) at September 30, 2016 was spread across 29 different industries and 98 different entities with an average balance per entity of approximately $2.7 million. As of September 30, 2016, all but one of our portfolio companies were current on their debt service obligations.</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may invest up to 30% of our investment portfolio in “Non-qualifying” opportunistic investments such as high-yield bonds, debt and equity securities of CLO Funds, foreign investments, and distressed debt or equity securities of large cap public companies. At September 30, 2016 and December 31, 2015, the total amount of non-qualifying assets were approximately 16% and 18%, respectively. The majority of non-qualifying assets were foreign investments which were approximately 12% and 13% of the Company’s total assets, respectively (including the Company’s investments in CLO Funds, which are typically domiciled outside the U.S. and represented approximately 12% and 13% of its total assets on such dates, respectively). The investments in our Debt Securities Portfolio are all or predominantly below investment grade, and therefore have speculative characteristics with respect to the issuer’s capacity to pay interest and repay principal.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detail the ten largest portfolio companies (at fair value) as of September 30, 2016 and December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80" w:type="dxa"/>
            <w:vAlign w:val="bottom"/>
            <w:gridSpan w:val="7"/>
          </w:tcPr>
          <w:p>
            <w:pPr>
              <w:jc w:val="right"/>
              <w:ind w:right="1000"/>
              <w:spacing w:after="0"/>
              <w:rPr>
                <w:sz w:val="20"/>
                <w:szCs w:val="20"/>
                <w:color w:val="auto"/>
              </w:rPr>
            </w:pPr>
            <w:r>
              <w:rPr>
                <w:rFonts w:ascii="Arial" w:cs="Arial" w:eastAsia="Arial" w:hAnsi="Arial"/>
                <w:sz w:val="18"/>
                <w:szCs w:val="18"/>
                <w:b w:val="1"/>
                <w:bCs w:val="1"/>
                <w:color w:val="auto"/>
              </w:rPr>
              <w:t>September 30, 2016 (unaudited)</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17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Cost/Amortized Cost</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5"/>
              </w:rPr>
              <w:t>Fair Value</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of FMV</w:t>
            </w: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55,341,230</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43,425,000</w:t>
            </w:r>
          </w:p>
        </w:tc>
        <w:tc>
          <w:tcPr>
            <w:tcW w:w="16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80" w:type="dxa"/>
            <w:vAlign w:val="bottom"/>
          </w:tcPr>
          <w:p>
            <w:pPr>
              <w:spacing w:after="0" w:line="256" w:lineRule="exact"/>
              <w:rPr>
                <w:sz w:val="20"/>
                <w:szCs w:val="20"/>
                <w:color w:val="auto"/>
              </w:rPr>
            </w:pPr>
            <w:r>
              <w:rPr>
                <w:rFonts w:ascii="Arial" w:cs="Arial" w:eastAsia="Arial" w:hAnsi="Arial"/>
                <w:sz w:val="18"/>
                <w:szCs w:val="18"/>
                <w:color w:val="auto"/>
              </w:rPr>
              <w:t xml:space="preserve">Trimaran Advisors, L.L.C. </w:t>
            </w:r>
            <w:r>
              <w:rPr>
                <w:rFonts w:ascii="Arial" w:cs="Arial" w:eastAsia="Arial" w:hAnsi="Arial"/>
                <w:sz w:val="29"/>
                <w:szCs w:val="29"/>
                <w:color w:val="auto"/>
                <w:vertAlign w:val="superscript"/>
              </w:rPr>
              <w:t>1</w:t>
            </w:r>
          </w:p>
        </w:tc>
        <w:tc>
          <w:tcPr>
            <w:tcW w:w="4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23,000,000</w:t>
            </w: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23,000,000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26,960,634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21,476,801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US Bank Money Market Account</w:t>
            </w:r>
          </w:p>
        </w:tc>
        <w:tc>
          <w:tcPr>
            <w:tcW w:w="4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15,365,445</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15,365,445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Grupo HIMA San Pablo, Inc.</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9,825,759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9,149,200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4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11,784,229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6,990,447</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Roscoe Medical, Inc.</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6,663,667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6,499,000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Hoffmaster Group, Inc.</w:t>
            </w:r>
          </w:p>
        </w:tc>
        <w:tc>
          <w:tcPr>
            <w:tcW w:w="4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5,866,646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5,749,874</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Weiman Products, LLC</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5,473,917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5,496,597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Nielsen &amp; Bainbridge, LLC</w:t>
            </w: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5,323,685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5,138,864</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165,605,212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142,291,228</w:t>
            </w:r>
          </w:p>
        </w:tc>
        <w:tc>
          <w:tcPr>
            <w:tcW w:w="16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b w:val="1"/>
                <w:bCs w:val="1"/>
                <w:color w:val="auto"/>
              </w:rPr>
              <w:t>December 31, 2015</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8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8"/>
              </w:rPr>
              <w:t>Cost/Amortized Cost</w:t>
            </w:r>
          </w:p>
        </w:tc>
        <w:tc>
          <w:tcPr>
            <w:tcW w:w="1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Fair Value</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 of FMV</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56,591,230</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160" w:type="dxa"/>
            <w:vAlign w:val="bottom"/>
            <w:vMerge w:val="continue"/>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4280" w:type="dxa"/>
            <w:vAlign w:val="bottom"/>
            <w:gridSpan w:val="2"/>
          </w:tcPr>
          <w:p>
            <w:pPr>
              <w:spacing w:after="0" w:line="256" w:lineRule="exact"/>
              <w:rPr>
                <w:sz w:val="20"/>
                <w:szCs w:val="20"/>
                <w:color w:val="auto"/>
              </w:rPr>
            </w:pPr>
            <w:r>
              <w:rPr>
                <w:rFonts w:ascii="Arial" w:cs="Arial" w:eastAsia="Arial" w:hAnsi="Arial"/>
                <w:sz w:val="18"/>
                <w:szCs w:val="18"/>
                <w:color w:val="auto"/>
              </w:rPr>
              <w:t>Trimaran Advisors, L.L.C.</w:t>
            </w:r>
            <w:r>
              <w:rPr>
                <w:rFonts w:ascii="Arial" w:cs="Arial" w:eastAsia="Arial" w:hAnsi="Arial"/>
                <w:sz w:val="29"/>
                <w:szCs w:val="29"/>
                <w:color w:val="auto"/>
                <w:vertAlign w:val="superscript"/>
              </w:rPr>
              <w:t>1</w:t>
            </w:r>
          </w:p>
        </w:tc>
        <w:tc>
          <w:tcPr>
            <w:tcW w:w="4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23,000,000</w:t>
            </w: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23,000,000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24,312,424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20,295,677</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DBI Holding, LLC</w:t>
            </w:r>
          </w:p>
        </w:tc>
        <w:tc>
          <w:tcPr>
            <w:tcW w:w="4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8,585,578</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12,975,447</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Crowley Holdings Preferred, LLC</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10,411,673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11,036,373</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Grupo HIMA San Pablo, Inc.</w:t>
            </w:r>
          </w:p>
        </w:tc>
        <w:tc>
          <w:tcPr>
            <w:tcW w:w="4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9,817,315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9,917,500</w:t>
            </w:r>
          </w:p>
        </w:tc>
        <w:tc>
          <w:tcPr>
            <w:tcW w:w="1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Catamaran CLO 2015-1 Ltd.</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11,869,751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8,789,651</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Tank Partners Holdings, LLC</w:t>
            </w:r>
          </w:p>
        </w:tc>
        <w:tc>
          <w:tcPr>
            <w:tcW w:w="4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10,624,515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8,177,538</w:t>
            </w:r>
          </w:p>
        </w:tc>
        <w:tc>
          <w:tcPr>
            <w:tcW w:w="1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Weiman Products, LLC</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6,582,457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6,619,805</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Nielsen &amp; Bainbridge, LLC</w:t>
            </w: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6,803,605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6,510,157</w:t>
            </w:r>
          </w:p>
        </w:tc>
        <w:tc>
          <w:tcPr>
            <w:tcW w:w="16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2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168,598,548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164,703,148</w:t>
            </w:r>
          </w:p>
        </w:tc>
        <w:tc>
          <w:tcPr>
            <w:tcW w:w="16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Related party loan - See Note 5 to Consolidated Financial Statements.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Excluding the Asset Manager Affiliates and CLO Fund Securities, the Company’s ten largest portfolio companies represented approximately 18% and 19% of the total fair value of the Company’s investments at September 30, 2016 and December 31, 2015, respectively.</w:t>
      </w:r>
    </w:p>
    <w:p>
      <w:pPr>
        <w:spacing w:after="0" w:line="36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918" w:right="499" w:bottom="1440" w:gutter="0" w:footer="0" w:header="0"/>
        </w:sectPr>
      </w:pPr>
    </w:p>
    <w:bookmarkStart w:id="67" w:name="page68"/>
    <w:bookmarkEnd w:id="67"/>
    <w:p>
      <w:pPr>
        <w:ind w:right="240" w:firstLine="324"/>
        <w:spacing w:after="0" w:line="277" w:lineRule="auto"/>
        <w:rPr>
          <w:sz w:val="20"/>
          <w:szCs w:val="20"/>
          <w:color w:val="auto"/>
        </w:rPr>
      </w:pPr>
      <w:r>
        <w:rPr>
          <w:rFonts w:ascii="Arial" w:cs="Arial" w:eastAsia="Arial" w:hAnsi="Arial"/>
          <w:sz w:val="18"/>
          <w:szCs w:val="18"/>
          <w:color w:val="auto"/>
        </w:rPr>
        <w:t>The industry-related information, based on the fair value of the Company’s investment portfolio as of September 30, 2016 and December 31, 2015, for our investment portfolio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ind w:left="300"/>
              <w:spacing w:after="0"/>
              <w:rPr>
                <w:sz w:val="20"/>
                <w:szCs w:val="20"/>
                <w:color w:val="auto"/>
              </w:rPr>
            </w:pPr>
            <w:r>
              <w:rPr>
                <w:rFonts w:ascii="Arial" w:cs="Arial" w:eastAsia="Arial" w:hAnsi="Arial"/>
                <w:sz w:val="18"/>
                <w:szCs w:val="18"/>
                <w:b w:val="1"/>
                <w:bCs w:val="1"/>
                <w:color w:val="auto"/>
                <w:w w:val="92"/>
              </w:rPr>
              <w:t>September 30, 2016 (unaudited)</w:t>
            </w:r>
          </w:p>
        </w:tc>
        <w:tc>
          <w:tcPr>
            <w:tcW w:w="6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ind w:left="780"/>
              <w:spacing w:after="0"/>
              <w:rPr>
                <w:sz w:val="20"/>
                <w:szCs w:val="20"/>
                <w:color w:val="auto"/>
              </w:rPr>
            </w:pPr>
            <w:r>
              <w:rPr>
                <w:rFonts w:ascii="Arial" w:cs="Arial" w:eastAsia="Arial" w:hAnsi="Arial"/>
                <w:sz w:val="18"/>
                <w:szCs w:val="18"/>
                <w:b w:val="1"/>
                <w:bCs w:val="1"/>
                <w:color w:val="auto"/>
              </w:rPr>
              <w:t>December 31, 2015</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Industry Classification</w:t>
            </w: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w w:val="95"/>
              </w:rPr>
              <w:t>Cost/ Amortized Cost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620" w:type="dxa"/>
            <w:vAlign w:val="bottom"/>
          </w:tcPr>
          <w:p>
            <w:pPr>
              <w:jc w:val="right"/>
              <w:ind w:right="19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240" w:type="dxa"/>
            <w:vAlign w:val="bottom"/>
          </w:tcPr>
          <w:p>
            <w:pPr>
              <w:spacing w:after="0"/>
              <w:rPr>
                <w:sz w:val="21"/>
                <w:szCs w:val="21"/>
                <w:color w:val="auto"/>
              </w:rPr>
            </w:pP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w w:val="95"/>
              </w:rPr>
              <w:t>Cost/ Amortized Cost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820" w:type="dxa"/>
            <w:vAlign w:val="bottom"/>
          </w:tcPr>
          <w:p>
            <w:pPr>
              <w:jc w:val="right"/>
              <w:ind w:right="19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r>
      <w:tr>
        <w:trPr>
          <w:trHeight w:val="23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Aerospace and Defense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8,410,248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8,384,194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6,910,349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6,383,724</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57"/>
        </w:trPr>
        <w:tc>
          <w:tcPr>
            <w:tcW w:w="3300" w:type="dxa"/>
            <w:vAlign w:val="bottom"/>
          </w:tcPr>
          <w:p>
            <w:pPr>
              <w:ind w:left="40"/>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55,341,230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43,425,000</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56,591,230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57,381,000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2"/>
                <w:szCs w:val="2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Loan</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23,000,000</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23,000,000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2"/>
                <w:szCs w:val="22"/>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6,290,748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6,186,689</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9,898,494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9,440,866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Banking, Finance, Insurance &amp; Real Estate</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5,179,598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5,171,400</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6,270,984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6,008,587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Beverage, Food and Tobacco</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17,087,448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16,933,213</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17,334,746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16,882,750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2"/>
                <w:szCs w:val="2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Equipment</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6,187,500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5,456,658</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9,519,342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7,846,767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2"/>
                <w:szCs w:val="22"/>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Chemicals, Plastics and Rubber</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3,466,419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3,457,287</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3,494,086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3,359,916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CLO Fund Securities</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66,714,991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45,126,919</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83,214,947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55,872,382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2"/>
                <w:szCs w:val="22"/>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Construction &amp; Building</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1,963,286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1,974,587</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1,976,345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1,907,614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Consumer goods: Durable</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12,263,060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9,998,854</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13,983,607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12,753,455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2"/>
                <w:szCs w:val="22"/>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Consumer goods: Non-durable</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14,798,250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14,549,700</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20,124,355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19,646,576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2"/>
                <w:szCs w:val="2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Ecological</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2,934,140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2,962,500</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Energy: Electricity</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3,913,044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3,946,869</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3,465,576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3,465,000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Energy: Oil &amp; Gas</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14,279,336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8,589,866</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14,281,821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10,204,318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2"/>
                <w:szCs w:val="22"/>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Environmental Industries</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13,424,736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12,989,425</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13,735,492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13,179,657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2"/>
                <w:szCs w:val="2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Forest Products &amp; Paper</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5,866,646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5,749,874</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5,888,294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5,883,080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Healthcare &amp; Pharmaceuticals</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57,869,074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54,059,389</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58,649,512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55,417,827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2"/>
                <w:szCs w:val="2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Healthcare, Education and Childcare</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High Tech Industries</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13,183,733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13,239,630</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11,727,898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11,662,995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2"/>
                <w:szCs w:val="2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Hotel, Gaming &amp; Leisure</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w w:val="99"/>
              </w:rPr>
              <w:t>Media: Advertising, Printing &amp; Publishing</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11,819,087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11,498,594</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11,167,950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10,340,449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2"/>
                <w:szCs w:val="2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Media: Broadcasting &amp; Subscription</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9,491,677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9,521,397</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7,428,110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7,406,792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2"/>
                <w:szCs w:val="22"/>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Metals &amp; Mining</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228,563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228,563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991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4,395,220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4,037,197</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4,416,709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3,594,599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Services: Business</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12,315,859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12,249,350</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18,206,668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21,022,801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2"/>
                <w:szCs w:val="2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Consumer</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6,234,862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6,199,438</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6,512,029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6,356,054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2"/>
                <w:szCs w:val="22"/>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Telecommunications</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13,709,154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13,527,620</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13,776,871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12,425,489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2"/>
                <w:szCs w:val="22"/>
                <w:color w:val="auto"/>
              </w:rPr>
            </w:pPr>
          </w:p>
        </w:tc>
      </w:tr>
      <w:tr>
        <w:trPr>
          <w:trHeight w:val="246"/>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Time Deposit and Money Market</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67"/>
        </w:trPr>
        <w:tc>
          <w:tcPr>
            <w:tcW w:w="330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Accounts</w:t>
            </w:r>
            <w:r>
              <w:rPr>
                <w:rFonts w:ascii="Arial" w:cs="Arial" w:eastAsia="Arial" w:hAnsi="Arial"/>
                <w:sz w:val="30"/>
                <w:szCs w:val="30"/>
                <w:color w:val="auto"/>
                <w:vertAlign w:val="superscript"/>
              </w:rPr>
              <w:t>3</w:t>
            </w:r>
          </w:p>
        </w:tc>
        <w:tc>
          <w:tcPr>
            <w:tcW w:w="4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15,379,713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15,379,713</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2,129,381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2,129,381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Transportation: Cargo</w:t>
            </w:r>
          </w:p>
        </w:tc>
        <w:tc>
          <w:tcPr>
            <w:tcW w:w="4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7,565,668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7,192,595</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18,232,953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18,865,603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2"/>
                <w:szCs w:val="2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Transportation: Consumer</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2,427,666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2,434,575</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2,472,795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2,324,381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Utilities: Electric</w:t>
            </w:r>
          </w:p>
        </w:tc>
        <w:tc>
          <w:tcPr>
            <w:tcW w:w="40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5,443,710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4,968,040</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5,673,082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4,806,441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r>
      <w:tr>
        <w:trPr>
          <w:trHeight w:val="237"/>
        </w:trPr>
        <w:tc>
          <w:tcPr>
            <w:tcW w:w="33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r>
      <w:tr>
        <w:trPr>
          <w:trHeight w:val="284"/>
        </w:trPr>
        <w:tc>
          <w:tcPr>
            <w:tcW w:w="330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422,664,283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372,213,564</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450,712,189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409,570,495</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3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ind w:left="340" w:hanging="332"/>
        <w:spacing w:after="0" w:line="180" w:lineRule="auto"/>
        <w:tabs>
          <w:tab w:leader="none" w:pos="340" w:val="left"/>
        </w:tabs>
        <w:numPr>
          <w:ilvl w:val="0"/>
          <w:numId w:val="49"/>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CLO Fund Securities</w:t>
      </w:r>
    </w:p>
    <w:p>
      <w:pPr>
        <w:spacing w:after="0" w:line="22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September 30, 2016, we had approximately $45 million invested in CLO Fund Securities, issued primarily by funds managed by our Asset Manager Affiliates.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ind w:left="340"/>
        <w:spacing w:after="0"/>
        <w:rPr>
          <w:sz w:val="20"/>
          <w:szCs w:val="20"/>
          <w:color w:val="auto"/>
        </w:rPr>
      </w:pPr>
      <w:r>
        <w:rPr>
          <w:rFonts w:ascii="Arial" w:cs="Arial" w:eastAsia="Arial" w:hAnsi="Arial"/>
          <w:sz w:val="18"/>
          <w:szCs w:val="18"/>
          <w:color w:val="auto"/>
        </w:rPr>
        <w:t>Our CLO Fund Securities as of September 30, 2016 and December 31, 2015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8"/>
              </w:rPr>
              <w:t>September 30, 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6"/>
          </w:tcPr>
          <w:p>
            <w:pPr>
              <w:ind w:left="20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80" w:type="dxa"/>
            <w:vAlign w:val="bottom"/>
          </w:tcPr>
          <w:p>
            <w:pPr>
              <w:spacing w:after="0"/>
              <w:rPr>
                <w:sz w:val="16"/>
                <w:szCs w:val="16"/>
                <w:color w:val="auto"/>
              </w:rPr>
            </w:pPr>
          </w:p>
        </w:tc>
        <w:tc>
          <w:tcPr>
            <w:tcW w:w="14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CLO Fund Securities</w:t>
            </w:r>
          </w:p>
        </w:tc>
        <w:tc>
          <w:tcPr>
            <w:tcW w:w="100" w:type="dxa"/>
            <w:vAlign w:val="bottom"/>
            <w:tcBorders>
              <w:bottom w:val="single" w:sz="8" w:color="CCEEFF"/>
            </w:tcBorders>
          </w:tcPr>
          <w:p>
            <w:pPr>
              <w:spacing w:after="0"/>
              <w:rPr>
                <w:sz w:val="20"/>
                <w:szCs w:val="20"/>
                <w:color w:val="auto"/>
              </w:rPr>
            </w:pPr>
          </w:p>
        </w:tc>
        <w:tc>
          <w:tcPr>
            <w:tcW w:w="252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Grant Grove CLO, Ltd.</w:t>
            </w:r>
          </w:p>
        </w:tc>
        <w:tc>
          <w:tcPr>
            <w:tcW w:w="1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Subordinated Securities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2,496,262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2,484,943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8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Preferred Shares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1,390,606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1,373,132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Katonah IX CLO Ltd. </w:t>
            </w:r>
            <w:r>
              <w:rPr>
                <w:rFonts w:ascii="Arial" w:cs="Arial" w:eastAsia="Arial" w:hAnsi="Arial"/>
                <w:sz w:val="29"/>
                <w:szCs w:val="29"/>
                <w:color w:val="auto"/>
                <w:vertAlign w:val="superscript"/>
              </w:rPr>
              <w:t>2</w:t>
            </w:r>
          </w:p>
        </w:tc>
        <w:tc>
          <w:tcPr>
            <w:tcW w:w="2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1,140,057</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80" w:type="dxa"/>
            <w:vAlign w:val="bottom"/>
          </w:tcPr>
          <w:p>
            <w:pPr>
              <w:spacing w:after="0" w:line="256" w:lineRule="exact"/>
              <w:rPr>
                <w:sz w:val="20"/>
                <w:szCs w:val="20"/>
                <w:color w:val="auto"/>
              </w:rPr>
            </w:pPr>
            <w:r>
              <w:rPr>
                <w:rFonts w:ascii="Arial" w:cs="Arial" w:eastAsia="Arial" w:hAnsi="Arial"/>
                <w:sz w:val="18"/>
                <w:szCs w:val="18"/>
                <w:color w:val="auto"/>
              </w:rPr>
              <w:t xml:space="preserve">Katonah X CLO Ltd. </w:t>
            </w:r>
            <w:r>
              <w:rPr>
                <w:rFonts w:ascii="Arial" w:cs="Arial" w:eastAsia="Arial" w:hAnsi="Arial"/>
                <w:sz w:val="29"/>
                <w:szCs w:val="29"/>
                <w:color w:val="auto"/>
                <w:vertAlign w:val="superscript"/>
              </w:rPr>
              <w:t>2</w:t>
            </w: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Subordinated Securities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7,637,499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Katonah 2007-I CLO Ltd. </w:t>
            </w:r>
            <w:r>
              <w:rPr>
                <w:rFonts w:ascii="Arial" w:cs="Arial" w:eastAsia="Arial" w:hAnsi="Arial"/>
                <w:sz w:val="29"/>
                <w:szCs w:val="29"/>
                <w:color w:val="auto"/>
                <w:vertAlign w:val="superscript"/>
              </w:rPr>
              <w:t>2</w:t>
            </w:r>
          </w:p>
        </w:tc>
        <w:tc>
          <w:tcPr>
            <w:tcW w:w="2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26,960,634</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21,476,801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24,312,424</w:t>
            </w:r>
          </w:p>
        </w:tc>
        <w:tc>
          <w:tcPr>
            <w:tcW w:w="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20,295,677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80" w:type="dxa"/>
            <w:vAlign w:val="bottom"/>
          </w:tcPr>
          <w:p>
            <w:pPr>
              <w:spacing w:after="0" w:line="256" w:lineRule="exact"/>
              <w:rPr>
                <w:sz w:val="20"/>
                <w:szCs w:val="20"/>
                <w:color w:val="auto"/>
              </w:rPr>
            </w:pPr>
            <w:r>
              <w:rPr>
                <w:rFonts w:ascii="Arial" w:cs="Arial" w:eastAsia="Arial" w:hAnsi="Arial"/>
                <w:sz w:val="18"/>
                <w:szCs w:val="18"/>
                <w:color w:val="auto"/>
              </w:rPr>
              <w:t xml:space="preserve">Trimaran CLO VII, Ltd. </w:t>
            </w:r>
            <w:r>
              <w:rPr>
                <w:rFonts w:ascii="Arial" w:cs="Arial" w:eastAsia="Arial" w:hAnsi="Arial"/>
                <w:sz w:val="29"/>
                <w:szCs w:val="29"/>
                <w:color w:val="auto"/>
                <w:vertAlign w:val="superscript"/>
              </w:rPr>
              <w:t>2</w:t>
            </w: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Income Notes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1,546,525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1,530,054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1,375,013</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1,647,272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Catamaran CLO 2012-1 Ltd. </w:t>
            </w:r>
            <w:r>
              <w:rPr>
                <w:rFonts w:ascii="Arial" w:cs="Arial" w:eastAsia="Arial" w:hAnsi="Arial"/>
                <w:sz w:val="29"/>
                <w:szCs w:val="29"/>
                <w:color w:val="auto"/>
                <w:vertAlign w:val="superscript"/>
              </w:rPr>
              <w:t>2</w:t>
            </w:r>
          </w:p>
        </w:tc>
        <w:tc>
          <w:tcPr>
            <w:tcW w:w="2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6,049,821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2,417,941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6,791,980</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3,312,940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80" w:type="dxa"/>
            <w:vAlign w:val="bottom"/>
          </w:tcPr>
          <w:p>
            <w:pPr>
              <w:spacing w:after="0" w:line="256" w:lineRule="exact"/>
              <w:rPr>
                <w:sz w:val="20"/>
                <w:szCs w:val="20"/>
                <w:color w:val="auto"/>
              </w:rPr>
            </w:pPr>
            <w:r>
              <w:rPr>
                <w:rFonts w:ascii="Arial" w:cs="Arial" w:eastAsia="Arial" w:hAnsi="Arial"/>
                <w:sz w:val="18"/>
                <w:szCs w:val="18"/>
                <w:color w:val="auto"/>
              </w:rPr>
              <w:t xml:space="preserve">Catamaran CLO 2013-1 Ltd. </w:t>
            </w:r>
            <w:r>
              <w:rPr>
                <w:rFonts w:ascii="Arial" w:cs="Arial" w:eastAsia="Arial" w:hAnsi="Arial"/>
                <w:sz w:val="29"/>
                <w:szCs w:val="29"/>
                <w:color w:val="auto"/>
                <w:vertAlign w:val="superscript"/>
              </w:rPr>
              <w:t>2</w:t>
            </w: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5,480,454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4,783,491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6,256,090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5,639,106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Dryden 30 Senior Loan Fund</w:t>
            </w:r>
          </w:p>
        </w:tc>
        <w:tc>
          <w:tcPr>
            <w:tcW w:w="2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1,398,081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1,611,892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8,928,790</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5,846,325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80" w:type="dxa"/>
            <w:vAlign w:val="bottom"/>
          </w:tcPr>
          <w:p>
            <w:pPr>
              <w:spacing w:after="0" w:line="256" w:lineRule="exact"/>
              <w:rPr>
                <w:sz w:val="20"/>
                <w:szCs w:val="20"/>
                <w:color w:val="auto"/>
              </w:rPr>
            </w:pPr>
            <w:r>
              <w:rPr>
                <w:rFonts w:ascii="Arial" w:cs="Arial" w:eastAsia="Arial" w:hAnsi="Arial"/>
                <w:sz w:val="18"/>
                <w:szCs w:val="18"/>
                <w:color w:val="auto"/>
              </w:rPr>
              <w:t xml:space="preserve">Catamaran CLO 2014-1 Ltd. </w:t>
            </w:r>
            <w:r>
              <w:rPr>
                <w:rFonts w:ascii="Arial" w:cs="Arial" w:eastAsia="Arial" w:hAnsi="Arial"/>
                <w:sz w:val="29"/>
                <w:szCs w:val="29"/>
                <w:color w:val="auto"/>
                <w:vertAlign w:val="superscript"/>
              </w:rPr>
              <w:t>2</w:t>
            </w: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8,088,449</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4,198,032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1,428,797</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1,170,000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Catamaran CLO 2014-1 Ltd. </w:t>
            </w:r>
            <w:r>
              <w:rPr>
                <w:rFonts w:ascii="Arial" w:cs="Arial" w:eastAsia="Arial" w:hAnsi="Arial"/>
                <w:sz w:val="29"/>
                <w:szCs w:val="29"/>
                <w:color w:val="auto"/>
                <w:vertAlign w:val="superscript"/>
              </w:rPr>
              <w:t>2</w:t>
            </w:r>
          </w:p>
        </w:tc>
        <w:tc>
          <w:tcPr>
            <w:tcW w:w="2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Class E Notes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1,438,341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1,260,000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1,592,303</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1,634,647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80" w:type="dxa"/>
            <w:vAlign w:val="bottom"/>
          </w:tcPr>
          <w:p>
            <w:pPr>
              <w:spacing w:after="0" w:line="256" w:lineRule="exact"/>
              <w:rPr>
                <w:sz w:val="20"/>
                <w:szCs w:val="20"/>
                <w:color w:val="auto"/>
              </w:rPr>
            </w:pPr>
            <w:r>
              <w:rPr>
                <w:rFonts w:ascii="Arial" w:cs="Arial" w:eastAsia="Arial" w:hAnsi="Arial"/>
                <w:sz w:val="18"/>
                <w:szCs w:val="18"/>
                <w:color w:val="auto"/>
              </w:rPr>
              <w:t xml:space="preserve">Catamaran CLO 2014-2 Ltd. </w:t>
            </w:r>
            <w:r>
              <w:rPr>
                <w:rFonts w:ascii="Arial" w:cs="Arial" w:eastAsia="Arial" w:hAnsi="Arial"/>
                <w:sz w:val="29"/>
                <w:szCs w:val="29"/>
                <w:color w:val="auto"/>
                <w:vertAlign w:val="superscript"/>
              </w:rPr>
              <w:t>2</w:t>
            </w: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7,225,153</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4,404,621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8,024,168</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5,751,600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Catamaran CLO 2015-1 Ltd.</w:t>
            </w:r>
            <w:r>
              <w:rPr>
                <w:rFonts w:ascii="Arial" w:cs="Arial" w:eastAsia="Arial" w:hAnsi="Arial"/>
                <w:sz w:val="30"/>
                <w:szCs w:val="30"/>
                <w:color w:val="auto"/>
                <w:vertAlign w:val="superscript"/>
              </w:rPr>
              <w:t>2</w:t>
            </w:r>
          </w:p>
        </w:tc>
        <w:tc>
          <w:tcPr>
            <w:tcW w:w="2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4,640,665</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3,043,087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11,869,751</w:t>
            </w:r>
          </w:p>
        </w:tc>
        <w:tc>
          <w:tcPr>
            <w:tcW w:w="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8,789,651</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66,714,991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45,126,919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83,214,947</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55,872,382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percentage of class held.</w:t>
      </w:r>
    </w:p>
    <w:p>
      <w:pPr>
        <w:spacing w:after="0" w:line="23"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CLO Fund managed by an Asset Manager Affiliate.</w:t>
      </w:r>
    </w:p>
    <w:p>
      <w:pPr>
        <w:spacing w:after="0" w:line="9"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of September 30, 2016, this CLO Fund security was not providing a dividend distribution.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September 30, 2016, our Asset Manager Affiliates had approximately $2.6 billion of par value of assets under management on which they earn management fees, and were valued at approximately $43 million.</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In addition, during the nine months ended September 30, 2016, our Asset Manager Affiliates received incentive fees from two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and nine months ended September 30, 2016 and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managed by our Asset Manager Affiliates and select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2014-1, interest is earned at a fixed spread relative to the LIBOR index.</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We receive cash distributions from our investment in our Asset Manager Affiliates, which are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three and nine months ended September 30, 2016, the Asset Manager Affiliates received incentive fees from two funds and one fund, respectively.</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0" w:name="page71"/>
    <w:bookmarkEnd w:id="70"/>
    <w:p>
      <w:pPr>
        <w:ind w:firstLine="324"/>
        <w:spacing w:after="0" w:line="285" w:lineRule="auto"/>
        <w:rPr>
          <w:sz w:val="20"/>
          <w:szCs w:val="20"/>
          <w:color w:val="auto"/>
        </w:rPr>
      </w:pPr>
      <w:r>
        <w:rPr>
          <w:rFonts w:ascii="Arial" w:cs="Arial" w:eastAsia="Arial" w:hAnsi="Arial"/>
          <w:sz w:val="16"/>
          <w:szCs w:val="16"/>
          <w:color w:val="auto"/>
        </w:rPr>
        <w:t>The Asset Manager Affiliates are expected to pay future distributions to the Company based upon their after-tax free cash flow, which generally will be dependent upon the maintenance and growth in their assets under management and incentive fees. As a result of tax-basis goodwill amortization and certain other tax-related adjustments, portions of distributions received may be deemed return of capital. As amortizing funds which are paying incentive fees are redeemed, we expect incentive fees available for distribution to diminish. The fair value of our investment in our Asset Manager Affiliates was approximately $43 million at September 30, 2016, with an unrealized loss during the nine months ended September 30, 2016 of approximately $12.7 million. For the three months ended September 30, 2016 and 2015, we recognized dividend income of approximately $0 and $1.5 million from the Asset Manager Affiliates, respectively, while cash distributions received were $750,000 and $2.3 million for those periods, respectively. For the nine months ended September 30, 2016 and 2015, we recognized dividend income of approximately $1.4 million and $4.2 million from the Asset Manager Affiliates, respectively, while cash distributions received were approximately $2.7 million and $7.3 million for those periods, respectively. The difference between cash distributions received and the tax-basis earnings and profits is recorded as an adjustment to the cost basis of the Asset Manager Affiliates investments.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 assets under management by our Asset Manager Affiliates was $2.6 billion and $2.7 billion as of September 30, 2016 and December 31, 2015, respectively.</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Investment income for the three months ended September 30, 2016 and 2015 was approximately $9.0 million and $11.8 million, respectively. Of these amounts, approximately $5.2 million and $6.3 million was attributable to interest income on our Debt Securities Portfolio.</w:t>
      </w:r>
    </w:p>
    <w:p>
      <w:pPr>
        <w:spacing w:after="0" w:line="147"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Investment income for the nine months ended September 30, 2016 and 2015 was approximately $28.1 million and $35.3 million, respectively. Of these amounts, approximately $16.1 million and $18.4 million was attributable to interest income on our Debt Securities Portfolio.</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 average yield on our Debt Securities Portfolio was 7.1% and 7.4% as of September 30, 2016 and December 31, 2015, respectively.</w:t>
      </w:r>
    </w:p>
    <w:p>
      <w:pPr>
        <w:spacing w:after="0" w:line="23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For the three months ended September 30, 2016 and 2015, approximately $3.5 million and $3.9 million, respectively, of investment income was attributable to investments in CLO Fund Securities. For the nine months ended September 30, 2016 and 2015, approximately $10.1 million and $12.4 million, respectively, of investment income was attributable to investments in CLO Fund Securities. On a tax-basis, the Company recognized $3.4 million and $11.1 million of taxable distributable income on distributions from our CLO Fund Securities during the three and nine month periods ended September 30, 2016,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expected term of the borrowing.</w:t>
      </w:r>
    </w:p>
    <w:p>
      <w:pPr>
        <w:spacing w:after="0" w:line="181"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Total expenses for the three months ended September 30, 2016 and 2015 were approximately $4.5 million and $5.2 million, respectively. Interest expense and amortization on debt issuance costs for the periods, were approximately $2.1 million and $3.0 million, respectively, on average debt outstanding of $186 million and $227 million, respectively.</w:t>
      </w:r>
    </w:p>
    <w:p>
      <w:pPr>
        <w:spacing w:after="0" w:line="181"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For the three months ended September 30, 2016 and 2015, approximately $1.2 million and $892,000, respectively, of expenses were attributable to employee compensation, including salaries, bonuses, employee benefits, payroll taxes and stock-based compensation expense. For the three months ended September 30, 2016 and 2015, respectively, professional fees and insurance expenses totaled approximately $802,000 and $869,000. Administrative costs, which include occupancy expense, technology and other office expenses, totaled approximately $372,000 and $469,000 for the three months ended September 30, 2016 and 2015, respectively.</w:t>
      </w:r>
    </w:p>
    <w:p>
      <w:pPr>
        <w:spacing w:after="0" w:line="18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Total expenses for the nine months ended September 30, 2016 and 2015 were approximately $13.7 million and $16.4 million, respectively. Interest expense and amortization on debt issuance costs for the periods, were approximately $7.0 million and $9.0 million, respectively, on average debt outstanding of $193 million and $227 million, respectively.</w:t>
      </w:r>
    </w:p>
    <w:p>
      <w:pPr>
        <w:spacing w:after="0" w:line="18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For the nine months ended September 30, 2016 and 2015, approximately $3.2 million and $3.0 million, respectively, of expenses were attributable to employee compensation, including salaries, bonuses, employee benefits, payroll taxes and stock-based compensation expense. For the nine months ended September 30, 2016 and 2015, respectively, professional fees and insurance expenses totaled approximately $2.2 million and $3.0 million. Administrative costs, which include occupancy expense, technology and other office expenses, totaled approximately $1.3 million and $1.5 million for the nine months ended September 30, 2016 and 2015,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Income and Net Realized Gains (Losses)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Net investment income and net realized gains (losses) represents the net change in stockholder’s equity before net unrealized appreciation or depreciation on investments. For the three months ended September 30, 2016, net investment income and net realized gains were approximately $9.2 million, or $0.25 per share. For the three months ended September 30, 2015, net investment income and net realized losses were approximately $309,000 or $0.01 per share. For the nine months ended September 30, 2016, net investment income and net realized losses were approximately $8.3 million, or $0.22 per share. For the nine months ended September 30, 2015, net investment income and net realized losses were approximately $12.7 million or $0.35 per share. Net investment income represents the income earned on our investments less operating and interest expense before net realized gains or losses and unrealized appreciation or depreciation on investments. 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 For the three months ended September 30, 2016 and 2015, GAAP-basis net investment income was approximately $4.5 million or $0.12 per share, and $6.5 million or $0.18 per share, respectively, while estimated tax-basis distributable income was approximately $4.6 million or $0.12 per share and $7.8 million or $0.21 per share, respectively. For the nine months ended September 30, 2016 and 2015, GAAP-basis net investment income was approximately $14.4 million or $0.39 per share, and $18.9 million or $0.51 per share, respectively, while estimated tax-basis distributable income was approximately $14.9 million or $0.40 per share and $21.1 million or $0.57 per share, respectively.</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During the three months ended September 30, 2016, our total investments had net unrealized depreciation of approximately $6.4 million. During the three months ended September 30, 2015, our total investments had net unrealized depreciation of approximately $16.2 million. For the three months ended September 30, 2016, our Asset Manager Affiliates had net unrealized depreciation of approximately $1.1 million. For the three months ended September 30, 2015, our Asset Manager Affiliates had net unrealized depreciation of approximately $8.9 million. For the three months ended September 30, 2016, our portfolio of debt securities and equity securities had net unrealized depreciation of approximately $4.1 million, compared with net unrealized depreciation of $6.9 million during the third quarter of 2015. For the three months ended September 30, 2016, our CLO Fund Securities had net unrealized depreciation of approximately $1.1 million compared with net unrealized depreciation of $415,000 during the third quarter of 2015.</w:t>
      </w:r>
    </w:p>
    <w:p>
      <w:pPr>
        <w:spacing w:after="0" w:line="17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During the nine months ended September 30, 2016, our total investments had net unrealized depreciation of approximately $9.3 million. During the nine months ended September 30, 2015, our total investments had net unrealized depreciation of approximately $19.8 million. For the nine months ended September 30, 2016, our Asset Manager Affiliates had net unrealized depreciation of approximately $12.7 million. For the nine months ended September 30, 2015, our Asset Manager Affiliates had net unrealized depreciation of approximately $5.1 million. For the nine months ended September 30, 2016, our portfolio of debt securities and equity securities had net unrealized depreciation of approximately $2.4 million, compared with net unrealized depreciation of $8.5 million during the nine months ended September 30, 2015. For the nine months ended September 30, 2016, our CLO Fund Securities had net unrealized appreciation of approximately $5.8 million compared with net unrealized depreciation of $6.2 million during the nine months ended September 30, 2015.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increase in stockholders’ equity resulting from operations for the three months ended September 30, 2016 was $2.7 million, or $0.07 per share.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decrease in stockholders’ equity resulting from operations for the three months ended September 30, 2015 was $16.1 million, or $0.43 per share.</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decrease in stockholders’ equity resulting from operations for the nine months ended September 30, 2016 was $1.1 million, or $0.03 per share.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decrease in stockholders’ equity resulting from operations for the nine months ended September 30, 2015 was $7.1 million, or $0.19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73" w:name="page74"/>
    <w:bookmarkEnd w:id="73"/>
    <w:p>
      <w:pPr>
        <w:ind w:left="340"/>
        <w:spacing w:after="0"/>
        <w:rPr>
          <w:sz w:val="20"/>
          <w:szCs w:val="20"/>
          <w:color w:val="auto"/>
        </w:rPr>
      </w:pPr>
      <w:r>
        <w:rPr>
          <w:rFonts w:ascii="Arial" w:cs="Arial" w:eastAsia="Arial" w:hAnsi="Arial"/>
          <w:sz w:val="18"/>
          <w:szCs w:val="18"/>
          <w:color w:val="auto"/>
        </w:rPr>
        <w:t>As of September 30, 2016 and December 31, 2015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5"/>
          </w:tcPr>
          <w:p>
            <w:pPr>
              <w:ind w:left="240"/>
              <w:spacing w:after="0"/>
              <w:rPr>
                <w:sz w:val="20"/>
                <w:szCs w:val="20"/>
                <w:color w:val="auto"/>
              </w:rPr>
            </w:pPr>
            <w:r>
              <w:rPr>
                <w:rFonts w:ascii="Arial" w:cs="Arial" w:eastAsia="Arial" w:hAnsi="Arial"/>
                <w:sz w:val="18"/>
                <w:szCs w:val="18"/>
                <w:b w:val="1"/>
                <w:bCs w:val="1"/>
                <w:color w:val="auto"/>
              </w:rPr>
              <w:t>Investments at Fair Value</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80" w:type="dxa"/>
            <w:vAlign w:val="bottom"/>
          </w:tcPr>
          <w:p>
            <w:pPr>
              <w:spacing w:after="0"/>
              <w:rPr>
                <w:sz w:val="19"/>
                <w:szCs w:val="19"/>
                <w:color w:val="auto"/>
              </w:rPr>
            </w:pPr>
          </w:p>
        </w:tc>
        <w:tc>
          <w:tcPr>
            <w:tcW w:w="16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September 30, 2016</w:t>
            </w: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December 31, 2015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1,804,666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Money Market Accounts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15,379,713</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2,129,381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Loan</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200,021,049</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194,123,223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Junior Secured Loan</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38,432,562</w:t>
            </w: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37,591,900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Loan</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23,000,000</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First Lien Bond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1,035,000</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2,216,700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Bond</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4,615,569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Senior Secured Bond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1,400,625</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1,503,755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10,551,724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CLO Fund Securities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45,126,919</w:t>
            </w: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55,872,382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4,392,696</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Preferred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11,036,373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43,425,000</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57,381,000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374,018,230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409,570,495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September 30, 2016, we had approximately $181.4 million of par value of outstanding borrowings and our asset coverage ratio of total assets to total borrowings was 207%, compliant with the minimum asset coverage level of 200% generally required for a BDC by the 1940 Act. We may also borrow amounts of up to 5% of the value of our total assets for temporary purposes.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15, 2016, the Convertible Notes matured and were repaid in full.</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coverage test applicable to the Company as a BDC and a covenant that the Company agreed to in connection with the issuance of the 7.375% Notes Due 2019, the Company is limited in its ability to make distributions if its asset coverage, as defined in the 1940 Act, is below 200% at the time of the declaration of the distribution. At September 30, 2016, the Company was in compliance with all of its debt covenants. The indenture governing the 7.375% Notes Due 2019 contains certain restrictive covenants, including compliance with certain provisions of the 1940 Act relating to borrowing and dividends. During the second quarter of 2016, the Company repurchased approximately $2.4 million par value of the 7.375% notes due 2019 at a weighted average price of $25.23 per $25.00 note, resulting in a realized loss on extinguishment of $71,190. KCAP subsequently surrendered these notes to the Trustee for cancellation. During the third quarter of 2016, $5.0 million par value of the 7.375% notes due 2019 was redeemed by the Company, resulting in a realized loss on extinguishment of $88,015.</w:t>
      </w:r>
    </w:p>
    <w:p>
      <w:pPr>
        <w:spacing w:after="0" w:line="1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June 18, 2013, KCAP Senior Funding I, LLC, a specialty finance subsidiary of the Company, was capitalized through the issuance of $140 million of notes (the “KCAP Senior Funding I Notes”). The KCAP Senior Funding I Notes are backed by a diversified portfolio of bank loans. The Company invested in the most junior class of the notes, issued in the approximate amount of $35 million, representing the Company’s primary exposure to the performance of the assets acquired from the proceeds of the issuance of the KCAP Senior Funding I Notes. On December 8, 2014, the Company completed the sale of additional KCAP Senior Funding I Notes for $56 million. The issuance of additional notes was pro-rata across all existing classes of notes originally issued. KCAP purchased an additional $13.9 million in the most junior class of notes. As of September 30, 2016 and December 31, 2015, these junior notes eliminate in consolidation and the remaining notes with a par value of $147.4 million are reflected on our consolidated balance sheet, net of $2.4 million and $2.9 million of unamortized discount and $2.6 million and $3.1 million of debt offering costs, respectively. The indenture governing the KCAP Senior Funding I Notes contains an event of default that is triggered in the event that certain coverage tests are not met.</w:t>
      </w:r>
    </w:p>
    <w:p>
      <w:pPr>
        <w:spacing w:after="0" w:line="18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October 6, 2014, the Company priced a follow-on public offering of 3.0 million shares of its common stock at a price of $8.02 per share. The offering raised net proceeds were approximately $23.8 million, after deducting underwriting discounts and offering expenses.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4" w:name="page75"/>
    <w:bookmarkEnd w:id="74"/>
    <w:p>
      <w:pPr>
        <w:ind w:right="40" w:firstLine="324"/>
        <w:spacing w:after="0" w:line="291" w:lineRule="auto"/>
        <w:rPr>
          <w:sz w:val="20"/>
          <w:szCs w:val="20"/>
          <w:color w:val="auto"/>
        </w:rPr>
      </w:pPr>
      <w:r>
        <w:rPr>
          <w:rFonts w:ascii="Arial" w:cs="Arial" w:eastAsia="Arial" w:hAnsi="Arial"/>
          <w:sz w:val="16"/>
          <w:szCs w:val="16"/>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over the last year or so and we are limited in our ability to sell our common stock at a price below net asset value per share without stockholder approval (which we currently do not have), we have been and may continue to be limited in our ability to raise equity capital. From time to time, we may seek to retire, repurchase, or exchange debt securities in open market purchases or by other means dependent on market conditions, liquidity, contractual obligations, and other matters. In addition, we evaluate strategic opportunities available to us and/or the Asset Manager Affiliates, including mergers, divestures, spin-offs, joint ventures and other similar transactions from time to time.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70" w:lineRule="exact"/>
        <w:rPr>
          <w:sz w:val="20"/>
          <w:szCs w:val="20"/>
          <w:color w:val="auto"/>
        </w:rPr>
      </w:pPr>
    </w:p>
    <w:p>
      <w:pPr>
        <w:ind w:left="920" w:hanging="331"/>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25" w:lineRule="exact"/>
        <w:rPr>
          <w:rFonts w:ascii="Arial" w:cs="Arial" w:eastAsia="Arial" w:hAnsi="Arial"/>
          <w:sz w:val="18"/>
          <w:szCs w:val="18"/>
          <w:color w:val="auto"/>
        </w:rPr>
      </w:pPr>
    </w:p>
    <w:p>
      <w:pPr>
        <w:ind w:left="920" w:right="480" w:hanging="331"/>
        <w:spacing w:after="0" w:line="277"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our distributable taxable income and the after-tax free cash flow from our Asset Manager Affiliates.</w:t>
      </w:r>
    </w:p>
    <w:p>
      <w:pPr>
        <w:spacing w:after="0" w:line="17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will be prohibited by the 1940 Act and the indenture governing our 7.375% Notes from making distributions on our common stock if our asset coverage, as defined in the 1940 Act, falls below 200%. In any such event, we would be prohibited from making distributions required in order to maintain our status as a RIC.</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Declaration</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Record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Distribution</w:t>
            </w:r>
          </w:p>
        </w:tc>
        <w:tc>
          <w:tcPr>
            <w:tcW w:w="240" w:type="dxa"/>
            <w:vAlign w:val="bottom"/>
          </w:tcPr>
          <w:p>
            <w:pPr>
              <w:spacing w:after="0"/>
              <w:rPr>
                <w:sz w:val="20"/>
                <w:szCs w:val="20"/>
                <w:color w:val="auto"/>
              </w:rPr>
            </w:pPr>
          </w:p>
        </w:tc>
        <w:tc>
          <w:tcPr>
            <w:tcW w:w="1500" w:type="dxa"/>
            <w:vAlign w:val="bottom"/>
            <w:gridSpan w:val="2"/>
          </w:tcPr>
          <w:p>
            <w:pPr>
              <w:ind w:left="460"/>
              <w:spacing w:after="0"/>
              <w:rPr>
                <w:sz w:val="20"/>
                <w:szCs w:val="20"/>
                <w:color w:val="auto"/>
              </w:rPr>
            </w:pPr>
            <w:r>
              <w:rPr>
                <w:rFonts w:ascii="Arial" w:cs="Arial" w:eastAsia="Arial" w:hAnsi="Arial"/>
                <w:sz w:val="18"/>
                <w:szCs w:val="18"/>
                <w:b w:val="1"/>
                <w:bCs w:val="1"/>
                <w:color w:val="auto"/>
              </w:rPr>
              <w:t>Date</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Date</w:t>
            </w:r>
          </w:p>
        </w:tc>
        <w:tc>
          <w:tcPr>
            <w:tcW w:w="200" w:type="dxa"/>
            <w:vAlign w:val="bottom"/>
          </w:tcPr>
          <w:p>
            <w:pPr>
              <w:spacing w:after="0"/>
              <w:rPr>
                <w:sz w:val="20"/>
                <w:szCs w:val="20"/>
                <w:color w:val="auto"/>
              </w:rPr>
            </w:pPr>
          </w:p>
        </w:tc>
        <w:tc>
          <w:tcPr>
            <w:tcW w:w="1360" w:type="dxa"/>
            <w:vAlign w:val="bottom"/>
            <w:gridSpan w:val="2"/>
          </w:tcPr>
          <w:p>
            <w:pPr>
              <w:ind w:left="28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9/20/2016</w:t>
            </w:r>
          </w:p>
        </w:tc>
        <w:tc>
          <w:tcPr>
            <w:tcW w:w="1240" w:type="dxa"/>
            <w:vAlign w:val="bottom"/>
          </w:tcPr>
          <w:p>
            <w:pPr>
              <w:jc w:val="right"/>
              <w:spacing w:after="0"/>
              <w:rPr>
                <w:sz w:val="20"/>
                <w:szCs w:val="20"/>
                <w:color w:val="auto"/>
              </w:rPr>
            </w:pPr>
            <w:r>
              <w:rPr>
                <w:rFonts w:ascii="Arial" w:cs="Arial" w:eastAsia="Arial" w:hAnsi="Arial"/>
                <w:sz w:val="18"/>
                <w:szCs w:val="18"/>
                <w:color w:val="auto"/>
              </w:rPr>
              <w:t>10/14/2016</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6/21/2016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7/7/2016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740" w:type="dxa"/>
            <w:vAlign w:val="bottom"/>
            <w:tcBorders>
              <w:bottom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3/18/2016</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4/7/2016</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4/28/2016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Fourth quarter</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0.15</w:t>
            </w:r>
          </w:p>
        </w:tc>
        <w:tc>
          <w:tcPr>
            <w:tcW w:w="1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7"/>
                <w:szCs w:val="17"/>
                <w:color w:val="auto"/>
              </w:rPr>
              <w:t>12/16/2015</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1/6/2016</w:t>
            </w:r>
          </w:p>
        </w:tc>
        <w:tc>
          <w:tcPr>
            <w:tcW w:w="200" w:type="dxa"/>
            <w:vAlign w:val="bottom"/>
            <w:vMerge w:val="restart"/>
            <w:shd w:val="clear" w:color="auto" w:fill="CCEEFF"/>
          </w:tcPr>
          <w:p>
            <w:pPr>
              <w:jc w:val="right"/>
              <w:ind w:right="92"/>
              <w:spacing w:after="0"/>
              <w:rPr>
                <w:sz w:val="20"/>
                <w:szCs w:val="20"/>
                <w:color w:val="auto"/>
              </w:rPr>
            </w:pPr>
            <w:r>
              <w:rPr>
                <w:rFonts w:ascii="Arial" w:cs="Arial" w:eastAsia="Arial" w:hAnsi="Arial"/>
                <w:sz w:val="10"/>
                <w:szCs w:val="10"/>
                <w:color w:val="auto"/>
                <w:w w:val="71"/>
              </w:rPr>
              <w:t>1</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1/28/2016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vMerge w:val="continue"/>
            <w:shd w:val="clear" w:color="auto" w:fill="CCEEFF"/>
          </w:tcPr>
          <w:p>
            <w:pPr>
              <w:spacing w:after="0"/>
              <w:rPr>
                <w:sz w:val="4"/>
                <w:szCs w:val="4"/>
                <w:color w:val="auto"/>
              </w:rPr>
            </w:pPr>
          </w:p>
        </w:tc>
        <w:tc>
          <w:tcPr>
            <w:tcW w:w="1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0.21</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9/22/2015</w:t>
            </w:r>
          </w:p>
        </w:tc>
        <w:tc>
          <w:tcPr>
            <w:tcW w:w="1240" w:type="dxa"/>
            <w:vAlign w:val="bottom"/>
          </w:tcPr>
          <w:p>
            <w:pPr>
              <w:jc w:val="right"/>
              <w:spacing w:after="0"/>
              <w:rPr>
                <w:sz w:val="20"/>
                <w:szCs w:val="20"/>
                <w:color w:val="auto"/>
              </w:rPr>
            </w:pPr>
            <w:r>
              <w:rPr>
                <w:rFonts w:ascii="Arial" w:cs="Arial" w:eastAsia="Arial" w:hAnsi="Arial"/>
                <w:sz w:val="18"/>
                <w:szCs w:val="18"/>
                <w:color w:val="auto"/>
              </w:rPr>
              <w:t>10/14/2015</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6/23/2015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7/6/2015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740" w:type="dxa"/>
            <w:vAlign w:val="bottom"/>
            <w:tcBorders>
              <w:bottom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3/24/2015</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4/6/2015</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2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12/17/2014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12/29/2014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0.25</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9/19/2014</w:t>
            </w:r>
          </w:p>
        </w:tc>
        <w:tc>
          <w:tcPr>
            <w:tcW w:w="1240" w:type="dxa"/>
            <w:vAlign w:val="bottom"/>
          </w:tcPr>
          <w:p>
            <w:pPr>
              <w:jc w:val="right"/>
              <w:spacing w:after="0"/>
              <w:rPr>
                <w:sz w:val="20"/>
                <w:szCs w:val="20"/>
                <w:color w:val="auto"/>
              </w:rPr>
            </w:pPr>
            <w:r>
              <w:rPr>
                <w:rFonts w:ascii="Arial" w:cs="Arial" w:eastAsia="Arial" w:hAnsi="Arial"/>
                <w:sz w:val="18"/>
                <w:szCs w:val="18"/>
                <w:color w:val="auto"/>
              </w:rPr>
              <w:t>10/14/2014</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10/29/2014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6/20/2014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7/3/2014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740" w:type="dxa"/>
            <w:vAlign w:val="bottom"/>
            <w:tcBorders>
              <w:bottom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3/21/2014</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4/4/2014</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4/25/2014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declared in 2014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Since the record date of this distribution is in 2016, it is a 2016 tax event.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are a party to financial instruments with off-balance sheet risk in the normal course of business in order to meet the needs of the Company’s investment objectives.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September 30, 2016 and December 31, 2015, the Company had approximately $600,000 and $360,000 of commitments to make such investments,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September 30,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Contractual</w:t>
            </w: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0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4"/>
          </w:tcPr>
          <w:p>
            <w:pPr>
              <w:ind w:left="20"/>
              <w:spacing w:after="0" w:line="191" w:lineRule="exact"/>
              <w:rPr>
                <w:sz w:val="20"/>
                <w:szCs w:val="20"/>
                <w:color w:val="auto"/>
              </w:rPr>
            </w:pPr>
            <w:r>
              <w:rPr>
                <w:rFonts w:ascii="Arial" w:cs="Arial" w:eastAsia="Arial" w:hAnsi="Arial"/>
                <w:sz w:val="18"/>
                <w:szCs w:val="18"/>
                <w:b w:val="1"/>
                <w:bCs w:val="1"/>
                <w:color w:val="auto"/>
              </w:rPr>
              <w:t>Less than one</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More than 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Obligations</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1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1"/>
              </w:rPr>
              <w:t>year</w:t>
            </w: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1 - 3 years</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3 - 5 years</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years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$ 181,350,350</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$ 34,000,350</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147,350,000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Pursuant to the AICPA Guide,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6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76" w:name="page77"/>
    <w:bookmarkEnd w:id="76"/>
    <w:p>
      <w:pPr>
        <w:ind w:firstLine="32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8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900" w:right="360" w:hanging="325"/>
        <w:spacing w:after="0" w:line="31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6" w:lineRule="exact"/>
        <w:rPr>
          <w:rFonts w:ascii="Arial" w:cs="Arial" w:eastAsia="Arial" w:hAnsi="Arial"/>
          <w:sz w:val="16"/>
          <w:szCs w:val="16"/>
          <w:color w:val="auto"/>
        </w:rPr>
      </w:pPr>
    </w:p>
    <w:p>
      <w:pPr>
        <w:ind w:left="900" w:right="60" w:hanging="325"/>
        <w:spacing w:after="0" w:line="297"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58" w:lineRule="exact"/>
        <w:rPr>
          <w:rFonts w:ascii="Arial" w:cs="Arial" w:eastAsia="Arial" w:hAnsi="Arial"/>
          <w:sz w:val="16"/>
          <w:szCs w:val="16"/>
          <w:color w:val="auto"/>
        </w:rPr>
      </w:pPr>
    </w:p>
    <w:p>
      <w:pPr>
        <w:ind w:left="900" w:right="40" w:hanging="325"/>
        <w:spacing w:after="0" w:line="255"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8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The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82"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7" w:name="page78"/>
    <w:bookmarkEnd w:id="77"/>
    <w:p>
      <w:pPr>
        <w:ind w:right="40" w:firstLine="32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7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may consider other methods of valuation to determine the fair value of investments as appropriate in conformity with GAAP.</w:t>
      </w:r>
    </w:p>
    <w:p>
      <w:pPr>
        <w:spacing w:after="0" w:line="23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Interest income, including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September 30, 2016 and December 31, 2015, there was one issuer representing less than 1% of our total investments at fair value on non-accrual status.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22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225"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2014-1, interest is earned at a fixed spread relative to the LIBOR index.</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9" w:name="page80"/>
    <w:bookmarkEnd w:id="79"/>
    <w:p>
      <w:pPr>
        <w:ind w:left="22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distributable taxable income and after-tax free cash flow from our Asset Manager Affiliates.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the most recent completed calendar year.</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Declaration</w:t>
            </w:r>
          </w:p>
        </w:tc>
        <w:tc>
          <w:tcPr>
            <w:tcW w:w="1760" w:type="dxa"/>
            <w:vAlign w:val="bottom"/>
          </w:tcPr>
          <w:p>
            <w:pPr>
              <w:jc w:val="right"/>
              <w:ind w:right="510"/>
              <w:spacing w:after="0"/>
              <w:rPr>
                <w:sz w:val="20"/>
                <w:szCs w:val="20"/>
                <w:color w:val="auto"/>
              </w:rPr>
            </w:pPr>
            <w:r>
              <w:rPr>
                <w:rFonts w:ascii="Arial" w:cs="Arial" w:eastAsia="Arial" w:hAnsi="Arial"/>
                <w:sz w:val="18"/>
                <w:szCs w:val="18"/>
                <w:b w:val="1"/>
                <w:bCs w:val="1"/>
                <w:color w:val="auto"/>
              </w:rPr>
              <w:t>Record</w:t>
            </w:r>
          </w:p>
        </w:tc>
        <w:tc>
          <w:tcPr>
            <w:tcW w:w="2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Distribution</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Date</w:t>
            </w: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Date</w:t>
            </w:r>
          </w:p>
        </w:tc>
        <w:tc>
          <w:tcPr>
            <w:tcW w:w="200" w:type="dxa"/>
            <w:vAlign w:val="bottom"/>
          </w:tcPr>
          <w:p>
            <w:pPr>
              <w:spacing w:after="0"/>
              <w:rPr>
                <w:sz w:val="20"/>
                <w:szCs w:val="20"/>
                <w:color w:val="auto"/>
              </w:rPr>
            </w:pPr>
          </w:p>
        </w:tc>
        <w:tc>
          <w:tcPr>
            <w:tcW w:w="1680" w:type="dxa"/>
            <w:vAlign w:val="bottom"/>
            <w:gridSpan w:val="2"/>
          </w:tcPr>
          <w:p>
            <w:pPr>
              <w:ind w:left="48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4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0.15</w:t>
            </w:r>
          </w:p>
        </w:tc>
        <w:tc>
          <w:tcPr>
            <w:tcW w:w="2020" w:type="dxa"/>
            <w:vAlign w:val="bottom"/>
            <w:gridSpan w:val="3"/>
          </w:tcPr>
          <w:p>
            <w:pPr>
              <w:jc w:val="right"/>
              <w:ind w:right="120"/>
              <w:spacing w:after="0"/>
              <w:rPr>
                <w:sz w:val="20"/>
                <w:szCs w:val="20"/>
                <w:color w:val="auto"/>
              </w:rPr>
            </w:pPr>
            <w:r>
              <w:rPr>
                <w:rFonts w:ascii="Arial" w:cs="Arial" w:eastAsia="Arial" w:hAnsi="Arial"/>
                <w:sz w:val="18"/>
                <w:szCs w:val="18"/>
                <w:color w:val="auto"/>
              </w:rPr>
              <w:t>9/20/2016</w:t>
            </w:r>
          </w:p>
        </w:tc>
        <w:tc>
          <w:tcPr>
            <w:tcW w:w="1760" w:type="dxa"/>
            <w:vAlign w:val="bottom"/>
          </w:tcPr>
          <w:p>
            <w:pPr>
              <w:jc w:val="right"/>
              <w:spacing w:after="0"/>
              <w:rPr>
                <w:sz w:val="20"/>
                <w:szCs w:val="20"/>
                <w:color w:val="auto"/>
              </w:rPr>
            </w:pPr>
            <w:r>
              <w:rPr>
                <w:rFonts w:ascii="Arial" w:cs="Arial" w:eastAsia="Arial" w:hAnsi="Arial"/>
                <w:sz w:val="18"/>
                <w:szCs w:val="18"/>
                <w:color w:val="auto"/>
              </w:rPr>
              <w:t>10/14/2016</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10/27/2016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44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0.15</w:t>
            </w:r>
          </w:p>
        </w:tc>
        <w:tc>
          <w:tcPr>
            <w:tcW w:w="2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6/21/2016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7/7/2016</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First quarter</w:t>
            </w:r>
          </w:p>
        </w:tc>
        <w:tc>
          <w:tcPr>
            <w:tcW w:w="1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0.15</w:t>
            </w:r>
          </w:p>
        </w:tc>
        <w:tc>
          <w:tcPr>
            <w:tcW w:w="202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3/18/2016</w:t>
            </w: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4/7/2016</w:t>
            </w:r>
          </w:p>
        </w:tc>
        <w:tc>
          <w:tcPr>
            <w:tcW w:w="2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4/28/2016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2016</w:t>
            </w:r>
          </w:p>
        </w:tc>
        <w:tc>
          <w:tcPr>
            <w:tcW w:w="144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0.45</w:t>
            </w:r>
          </w:p>
        </w:tc>
        <w:tc>
          <w:tcPr>
            <w:tcW w:w="22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2015:</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rPr>
              <w:t>Fourth quarter</w:t>
            </w:r>
          </w:p>
        </w:tc>
        <w:tc>
          <w:tcPr>
            <w:tcW w:w="1440" w:type="dxa"/>
            <w:vAlign w:val="bottom"/>
            <w:shd w:val="clear" w:color="auto" w:fill="CCEEFF"/>
          </w:tcPr>
          <w:p>
            <w:pPr>
              <w:jc w:val="right"/>
              <w:ind w:right="1251"/>
              <w:spacing w:after="0" w:line="149" w:lineRule="exact"/>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0.15</w:t>
            </w:r>
          </w:p>
        </w:tc>
        <w:tc>
          <w:tcPr>
            <w:tcW w:w="20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7"/>
                <w:szCs w:val="17"/>
                <w:color w:val="auto"/>
              </w:rPr>
              <w:t>12/16/2015</w:t>
            </w:r>
          </w:p>
        </w:tc>
        <w:tc>
          <w:tcPr>
            <w:tcW w:w="176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1/6/2016</w:t>
            </w: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1</w:t>
            </w:r>
          </w:p>
        </w:tc>
        <w:tc>
          <w:tcPr>
            <w:tcW w:w="166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1/28/2016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2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76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vMerge w:val="continue"/>
            <w:shd w:val="clear" w:color="auto" w:fill="CCEEFF"/>
          </w:tcPr>
          <w:p>
            <w:pPr>
              <w:spacing w:after="0"/>
              <w:rPr>
                <w:sz w:val="4"/>
                <w:szCs w:val="4"/>
                <w:color w:val="auto"/>
              </w:rPr>
            </w:pPr>
          </w:p>
        </w:tc>
        <w:tc>
          <w:tcPr>
            <w:tcW w:w="1660" w:type="dxa"/>
            <w:vAlign w:val="bottom"/>
            <w:tcBorders>
              <w:bottom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4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0.21</w:t>
            </w:r>
          </w:p>
        </w:tc>
        <w:tc>
          <w:tcPr>
            <w:tcW w:w="2020" w:type="dxa"/>
            <w:vAlign w:val="bottom"/>
            <w:gridSpan w:val="3"/>
          </w:tcPr>
          <w:p>
            <w:pPr>
              <w:jc w:val="right"/>
              <w:ind w:right="120"/>
              <w:spacing w:after="0"/>
              <w:rPr>
                <w:sz w:val="20"/>
                <w:szCs w:val="20"/>
                <w:color w:val="auto"/>
              </w:rPr>
            </w:pPr>
            <w:r>
              <w:rPr>
                <w:rFonts w:ascii="Arial" w:cs="Arial" w:eastAsia="Arial" w:hAnsi="Arial"/>
                <w:sz w:val="18"/>
                <w:szCs w:val="18"/>
                <w:color w:val="auto"/>
              </w:rPr>
              <w:t>9/22/2015</w:t>
            </w:r>
          </w:p>
        </w:tc>
        <w:tc>
          <w:tcPr>
            <w:tcW w:w="1760" w:type="dxa"/>
            <w:vAlign w:val="bottom"/>
          </w:tcPr>
          <w:p>
            <w:pPr>
              <w:jc w:val="right"/>
              <w:spacing w:after="0"/>
              <w:rPr>
                <w:sz w:val="20"/>
                <w:szCs w:val="20"/>
                <w:color w:val="auto"/>
              </w:rPr>
            </w:pPr>
            <w:r>
              <w:rPr>
                <w:rFonts w:ascii="Arial" w:cs="Arial" w:eastAsia="Arial" w:hAnsi="Arial"/>
                <w:sz w:val="18"/>
                <w:szCs w:val="18"/>
                <w:color w:val="auto"/>
              </w:rPr>
              <w:t>10/14/2015</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10/27/2015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0.21</w:t>
            </w:r>
          </w:p>
        </w:tc>
        <w:tc>
          <w:tcPr>
            <w:tcW w:w="2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6/23/2015</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7/6/2015</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First quarter</w:t>
            </w:r>
          </w:p>
        </w:tc>
        <w:tc>
          <w:tcPr>
            <w:tcW w:w="1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0.21</w:t>
            </w:r>
          </w:p>
        </w:tc>
        <w:tc>
          <w:tcPr>
            <w:tcW w:w="202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3/24/2015</w:t>
            </w: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4/6/2015</w:t>
            </w:r>
          </w:p>
        </w:tc>
        <w:tc>
          <w:tcPr>
            <w:tcW w:w="2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4/27/2015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2015</w:t>
            </w:r>
          </w:p>
        </w:tc>
        <w:tc>
          <w:tcPr>
            <w:tcW w:w="144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0.78</w:t>
            </w:r>
          </w:p>
        </w:tc>
        <w:tc>
          <w:tcPr>
            <w:tcW w:w="22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2014:</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144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0.25</w:t>
            </w:r>
          </w:p>
        </w:tc>
        <w:tc>
          <w:tcPr>
            <w:tcW w:w="2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12/17/2014</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12/29/2014</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4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0.25</w:t>
            </w:r>
          </w:p>
        </w:tc>
        <w:tc>
          <w:tcPr>
            <w:tcW w:w="2020" w:type="dxa"/>
            <w:vAlign w:val="bottom"/>
            <w:gridSpan w:val="3"/>
          </w:tcPr>
          <w:p>
            <w:pPr>
              <w:jc w:val="right"/>
              <w:ind w:right="120"/>
              <w:spacing w:after="0"/>
              <w:rPr>
                <w:sz w:val="20"/>
                <w:szCs w:val="20"/>
                <w:color w:val="auto"/>
              </w:rPr>
            </w:pPr>
            <w:r>
              <w:rPr>
                <w:rFonts w:ascii="Arial" w:cs="Arial" w:eastAsia="Arial" w:hAnsi="Arial"/>
                <w:sz w:val="18"/>
                <w:szCs w:val="18"/>
                <w:color w:val="auto"/>
              </w:rPr>
              <w:t>9/19/2014</w:t>
            </w:r>
          </w:p>
        </w:tc>
        <w:tc>
          <w:tcPr>
            <w:tcW w:w="1760" w:type="dxa"/>
            <w:vAlign w:val="bottom"/>
          </w:tcPr>
          <w:p>
            <w:pPr>
              <w:jc w:val="right"/>
              <w:spacing w:after="0"/>
              <w:rPr>
                <w:sz w:val="20"/>
                <w:szCs w:val="20"/>
                <w:color w:val="auto"/>
              </w:rPr>
            </w:pPr>
            <w:r>
              <w:rPr>
                <w:rFonts w:ascii="Arial" w:cs="Arial" w:eastAsia="Arial" w:hAnsi="Arial"/>
                <w:sz w:val="18"/>
                <w:szCs w:val="18"/>
                <w:color w:val="auto"/>
              </w:rPr>
              <w:t>10/14/2014</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0.25</w:t>
            </w:r>
          </w:p>
        </w:tc>
        <w:tc>
          <w:tcPr>
            <w:tcW w:w="2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6/20/2014</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7/3/2014</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First quarter</w:t>
            </w:r>
          </w:p>
        </w:tc>
        <w:tc>
          <w:tcPr>
            <w:tcW w:w="1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0.25</w:t>
            </w:r>
          </w:p>
        </w:tc>
        <w:tc>
          <w:tcPr>
            <w:tcW w:w="202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3/21/2014</w:t>
            </w: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4/4/2014</w:t>
            </w:r>
          </w:p>
        </w:tc>
        <w:tc>
          <w:tcPr>
            <w:tcW w:w="2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4/25/2014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declared in 2014</w:t>
            </w:r>
          </w:p>
        </w:tc>
        <w:tc>
          <w:tcPr>
            <w:tcW w:w="144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1.00</w:t>
            </w: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30"/>
          <w:szCs w:val="30"/>
          <w:color w:val="auto"/>
          <w:vertAlign w:val="superscript"/>
        </w:rPr>
      </w:pPr>
      <w:r>
        <w:rPr>
          <w:rFonts w:ascii="Arial" w:cs="Arial" w:eastAsia="Arial" w:hAnsi="Arial"/>
          <w:sz w:val="18"/>
          <w:szCs w:val="18"/>
          <w:color w:val="auto"/>
        </w:rPr>
        <w:t>Since the record date of this distribution is in 2016, it is a 2016 tax event.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depicts the composition of shareholder distributions on a per share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88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90"/>
              </w:rPr>
              <w:t>Three Months Ended September 30,</w:t>
            </w:r>
          </w:p>
        </w:tc>
        <w:tc>
          <w:tcPr>
            <w:tcW w:w="120" w:type="dxa"/>
            <w:vAlign w:val="bottom"/>
          </w:tcPr>
          <w:p>
            <w:pPr>
              <w:spacing w:after="0"/>
              <w:rPr>
                <w:sz w:val="20"/>
                <w:szCs w:val="20"/>
                <w:color w:val="auto"/>
              </w:rPr>
            </w:pP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50"/>
        </w:trPr>
        <w:tc>
          <w:tcPr>
            <w:tcW w:w="562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line="251"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9"/>
                <w:szCs w:val="29"/>
                <w:b w:val="1"/>
                <w:bCs w:val="1"/>
                <w:color w:val="auto"/>
                <w:vertAlign w:val="superscript"/>
              </w:rPr>
              <w:t>1</w:t>
            </w:r>
          </w:p>
        </w:tc>
        <w:tc>
          <w:tcPr>
            <w:tcW w:w="4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30"/>
              <w:spacing w:after="0" w:line="251" w:lineRule="exact"/>
              <w:rPr>
                <w:sz w:val="20"/>
                <w:szCs w:val="20"/>
                <w:color w:val="auto"/>
              </w:rPr>
            </w:pPr>
            <w:r>
              <w:rPr>
                <w:rFonts w:ascii="Arial" w:cs="Arial" w:eastAsia="Arial" w:hAnsi="Arial"/>
                <w:sz w:val="18"/>
                <w:szCs w:val="18"/>
                <w:b w:val="1"/>
                <w:bCs w:val="1"/>
                <w:color w:val="auto"/>
              </w:rPr>
              <w:t>2015</w:t>
            </w:r>
            <w:r>
              <w:rPr>
                <w:rFonts w:ascii="Arial" w:cs="Arial" w:eastAsia="Arial" w:hAnsi="Arial"/>
                <w:sz w:val="29"/>
                <w:szCs w:val="29"/>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30"/>
              <w:spacing w:after="0" w:line="251"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9"/>
                <w:szCs w:val="29"/>
                <w:b w:val="1"/>
                <w:bCs w:val="1"/>
                <w:color w:val="auto"/>
                <w:vertAlign w:val="superscript"/>
              </w:rPr>
              <w:t>1</w:t>
            </w:r>
          </w:p>
        </w:tc>
        <w:tc>
          <w:tcPr>
            <w:tcW w:w="20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30"/>
              <w:spacing w:after="0" w:line="251" w:lineRule="exact"/>
              <w:rPr>
                <w:sz w:val="20"/>
                <w:szCs w:val="20"/>
                <w:color w:val="auto"/>
              </w:rPr>
            </w:pPr>
            <w:r>
              <w:rPr>
                <w:rFonts w:ascii="Arial" w:cs="Arial" w:eastAsia="Arial" w:hAnsi="Arial"/>
                <w:sz w:val="18"/>
                <w:szCs w:val="18"/>
                <w:b w:val="1"/>
                <w:bCs w:val="1"/>
                <w:color w:val="auto"/>
              </w:rPr>
              <w:t>2015</w:t>
            </w:r>
            <w:r>
              <w:rPr>
                <w:rFonts w:ascii="Arial" w:cs="Arial" w:eastAsia="Arial" w:hAnsi="Arial"/>
                <w:sz w:val="29"/>
                <w:szCs w:val="29"/>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r>
      <w:tr>
        <w:trPr>
          <w:trHeight w:val="23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80" w:type="dxa"/>
            <w:vAlign w:val="bottom"/>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0"/>
                <w:szCs w:val="20"/>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Tax Accounting Difference on CLO Equity Investments</w:t>
            </w:r>
          </w:p>
        </w:tc>
        <w:tc>
          <w:tcPr>
            <w:tcW w:w="88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2"/>
                <w:szCs w:val="22"/>
                <w:color w:val="auto"/>
              </w:rPr>
            </w:pPr>
          </w:p>
        </w:tc>
      </w:tr>
      <w:tr>
        <w:trPr>
          <w:trHeight w:val="27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tax accounting differences</w:t>
            </w:r>
          </w:p>
        </w:tc>
        <w:tc>
          <w:tcPr>
            <w:tcW w:w="8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r>
      <w:tr>
        <w:trPr>
          <w:trHeight w:val="250"/>
        </w:trPr>
        <w:tc>
          <w:tcPr>
            <w:tcW w:w="5620" w:type="dxa"/>
            <w:vAlign w:val="bottom"/>
          </w:tcPr>
          <w:p>
            <w:pPr>
              <w:spacing w:after="0"/>
              <w:rPr>
                <w:sz w:val="20"/>
                <w:szCs w:val="20"/>
                <w:color w:val="auto"/>
              </w:rPr>
            </w:pPr>
            <w:r>
              <w:rPr>
                <w:rFonts w:ascii="Arial" w:cs="Arial" w:eastAsia="Arial" w:hAnsi="Arial"/>
                <w:sz w:val="18"/>
                <w:szCs w:val="18"/>
                <w:color w:val="auto"/>
              </w:rPr>
              <w:t>Taxable distributable income</w:t>
            </w:r>
          </w:p>
        </w:tc>
        <w:tc>
          <w:tcPr>
            <w:tcW w:w="8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5"/>
              </w:rPr>
              <w:t>Cash distributed to the Company by Asset Manager Affiliates in excess of</w:t>
            </w: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5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their taxable earnings</w:t>
            </w:r>
          </w:p>
        </w:tc>
        <w:tc>
          <w:tcPr>
            <w:tcW w:w="8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2"/>
                <w:szCs w:val="22"/>
                <w:color w:val="auto"/>
              </w:rPr>
            </w:pPr>
          </w:p>
        </w:tc>
      </w:tr>
      <w:tr>
        <w:trPr>
          <w:trHeight w:val="237"/>
        </w:trPr>
        <w:tc>
          <w:tcPr>
            <w:tcW w:w="5620" w:type="dxa"/>
            <w:vAlign w:val="bottom"/>
          </w:tcPr>
          <w:p>
            <w:pPr>
              <w:spacing w:after="0"/>
              <w:rPr>
                <w:sz w:val="20"/>
                <w:szCs w:val="20"/>
                <w:color w:val="auto"/>
              </w:rPr>
            </w:pPr>
            <w:r>
              <w:rPr>
                <w:rFonts w:ascii="Arial" w:cs="Arial" w:eastAsia="Arial" w:hAnsi="Arial"/>
                <w:sz w:val="18"/>
                <w:szCs w:val="18"/>
                <w:color w:val="auto"/>
              </w:rPr>
              <w:t>Available for distribution²</w:t>
            </w:r>
          </w:p>
        </w:tc>
        <w:tc>
          <w:tcPr>
            <w:tcW w:w="88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0.43</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r>
      <w:tr>
        <w:trPr>
          <w:trHeight w:val="27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Distributed</w:t>
            </w:r>
          </w:p>
        </w:tc>
        <w:tc>
          <w:tcPr>
            <w:tcW w:w="8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23"/>
                <w:szCs w:val="23"/>
                <w:color w:val="auto"/>
              </w:rPr>
            </w:pPr>
          </w:p>
        </w:tc>
      </w:tr>
      <w:tr>
        <w:trPr>
          <w:trHeight w:val="264"/>
        </w:trPr>
        <w:tc>
          <w:tcPr>
            <w:tcW w:w="5620" w:type="dxa"/>
            <w:vAlign w:val="bottom"/>
          </w:tcPr>
          <w:p>
            <w:pPr>
              <w:spacing w:after="0"/>
              <w:rPr>
                <w:sz w:val="20"/>
                <w:szCs w:val="20"/>
                <w:color w:val="auto"/>
              </w:rPr>
            </w:pPr>
            <w:r>
              <w:rPr>
                <w:rFonts w:ascii="Arial" w:cs="Arial" w:eastAsia="Arial" w:hAnsi="Arial"/>
                <w:sz w:val="18"/>
                <w:szCs w:val="18"/>
                <w:color w:val="auto"/>
              </w:rPr>
              <w:t>Difference</w:t>
            </w:r>
          </w:p>
        </w:tc>
        <w:tc>
          <w:tcPr>
            <w:tcW w:w="880" w:type="dxa"/>
            <w:vAlign w:val="bottom"/>
          </w:tcPr>
          <w:p>
            <w:pPr>
              <w:jc w:val="right"/>
              <w:ind w:right="718"/>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(0.01)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2"/>
                <w:szCs w:val="22"/>
                <w:color w:val="auto"/>
              </w:rPr>
            </w:pPr>
          </w:p>
        </w:tc>
      </w:tr>
      <w:tr>
        <w:trPr>
          <w:trHeight w:val="20"/>
        </w:trPr>
        <w:tc>
          <w:tcPr>
            <w:tcW w:w="5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Table may not foot due to rounding.</w:t>
      </w:r>
    </w:p>
    <w:p>
      <w:pPr>
        <w:spacing w:after="0" w:line="23" w:lineRule="exact"/>
        <w:rPr>
          <w:sz w:val="20"/>
          <w:szCs w:val="20"/>
          <w:color w:val="auto"/>
        </w:rPr>
      </w:pPr>
    </w:p>
    <w:p>
      <w:pPr>
        <w:jc w:val="both"/>
        <w:ind w:left="340" w:hanging="332"/>
        <w:spacing w:after="0" w:line="290"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"Available for distribution" financial measure is a non-GAAP financial measure that is calculated by including the cash distributed to the Company by the Asset Manager Affiliates in excess of their taxable earnings to the Company's taxable distributable income, which is the most directly comparable GAAP financial measure. In order to reconcile the "Available for distribution" financial measure to taxable distributable income per share in accordance with GAAP, the $0.02 and $0.03 per share of cash distributed to the Company by the Asset Manager Affiliates in excess of their taxable earnings is subtracted from the "Available for distribution" financial measure for the three and nine months ended September, 30, 2016, respectively. The Company's management believes that the presentation of the non-GAAP "Available for distribution" financial measure provides useful information to investors.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27" w:gutter="0" w:footer="0" w:header="0"/>
        </w:sectPr>
      </w:pPr>
    </w:p>
    <w:bookmarkStart w:id="80" w:name="page81"/>
    <w:bookmarkEnd w:id="80"/>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 to be fluctuations in interest rates.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jc w:val="both"/>
        <w:ind w:right="140" w:firstLine="324"/>
        <w:spacing w:after="0" w:line="302"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September 30, 2016, approximately 97.5% of our debt securities portfolio were either fixed rate or floating rate with a spread to an interest rate index such as LIBOR or the prime rate. Most of these floating rate loans contain LIBOR floors ranging between 0.75% and 3.00%. We generally expect that future portfolio investments will predominately be floating rate investments. As of September 30, 2016, we had $181.4 million of borrowings outstanding at a current weighted average rate of 3.76%.</w:t>
      </w:r>
    </w:p>
    <w:p>
      <w:pPr>
        <w:spacing w:after="0" w:line="15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7.375% Notes Due 2019 would remain the same at 7.375%, given that this debt is at a fixed rate. The Notes issued by KCAP Senior Funding are floating rate based upon a LIBOR index plus a spread, which serves as a floor should LIBOR decrease to zero. Accordingly, our interest costs associated with this debt will fluctuate with changes in LIBOR.</w:t>
      </w:r>
    </w:p>
    <w:p>
      <w:pPr>
        <w:spacing w:after="0" w:line="18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September 30, 2016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6400" w:type="dxa"/>
            <w:vAlign w:val="bottom"/>
            <w:gridSpan w:val="11"/>
          </w:tcPr>
          <w:p>
            <w:pPr>
              <w:ind w:left="1520"/>
              <w:spacing w:after="0"/>
              <w:rPr>
                <w:sz w:val="20"/>
                <w:szCs w:val="20"/>
                <w:color w:val="auto"/>
              </w:rPr>
            </w:pPr>
            <w:r>
              <w:rPr>
                <w:rFonts w:ascii="Arial" w:cs="Arial" w:eastAsia="Arial" w:hAnsi="Arial"/>
                <w:sz w:val="18"/>
                <w:szCs w:val="18"/>
                <w:color w:val="auto"/>
                <w:w w:val="90"/>
              </w:rPr>
              <w:t>Impact on net investment income from a change in interest rates at:</w:t>
            </w:r>
          </w:p>
        </w:tc>
      </w:tr>
      <w:tr>
        <w:trPr>
          <w:trHeight w:val="223"/>
        </w:trPr>
        <w:tc>
          <w:tcPr>
            <w:tcW w:w="33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r>
      <w:tr>
        <w:trPr>
          <w:trHeight w:val="210"/>
        </w:trPr>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Increase in interest rate</w:t>
            </w: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426,287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1,213,067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1,999,847</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Decrease in interest rate</w:t>
            </w:r>
          </w:p>
        </w:tc>
        <w:tc>
          <w:tcPr>
            <w:tcW w:w="23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956,164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956,164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956,164</w:t>
            </w:r>
          </w:p>
        </w:tc>
      </w:tr>
    </w:tbl>
    <w:p>
      <w:pPr>
        <w:spacing w:after="0" w:line="20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As shown above, net investment income assuming a 1% increase in interest rates would increase by approximately $426,000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$1.2 million. Since LIBOR underlying certain investments, as well as certain of our borrowings, is currently low, it is unlikely that the underlying rate will decrease by 1% or 2% or even 3%. If the underlying rate decreased to 0%, it would result in approximately an $956,000 increase in net investment income.</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September 30, 2016.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September 30, 2016 that have materially affected, or are reasonably likely to materially affect, our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2015.</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September 30, 2016, we issued a total of 24,181 shares of common stock under our dividend reinvestment plan (“DRIP”). This issuance was not subject to the registration requirements of the Securities Act of 1933. For the three months ended September 30, 2016, the aggregate value of the shares of our common stock issued under our DRIP was approximately $101,000.</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3" w:name="page84"/>
    <w:bookmarkEnd w:id="83"/>
    <w:p>
      <w:pPr>
        <w:ind w:left="54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7600" w:type="dxa"/>
            <w:vAlign w:val="bottom"/>
            <w:gridSpan w:val="2"/>
          </w:tcPr>
          <w:p>
            <w:pPr>
              <w:ind w:left="2020"/>
              <w:spacing w:after="0"/>
              <w:rPr>
                <w:sz w:val="20"/>
                <w:szCs w:val="20"/>
                <w:color w:val="auto"/>
              </w:rPr>
            </w:pPr>
            <w:r>
              <w:rPr>
                <w:rFonts w:ascii="Arial" w:cs="Arial" w:eastAsia="Arial" w:hAnsi="Arial"/>
                <w:sz w:val="18"/>
                <w:szCs w:val="18"/>
                <w:color w:val="auto"/>
              </w:rPr>
              <w:t>KCAP FINANCIAL, INC.</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 November 2, 2016</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 Dayl W. Pearson</w:t>
            </w:r>
          </w:p>
        </w:tc>
      </w:tr>
      <w:tr>
        <w:trPr>
          <w:trHeight w:val="182"/>
        </w:trPr>
        <w:tc>
          <w:tcPr>
            <w:tcW w:w="38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020" w:type="dxa"/>
            <w:vAlign w:val="bottom"/>
          </w:tcPr>
          <w:p>
            <w:pPr>
              <w:jc w:val="center"/>
              <w:ind w:right="370"/>
              <w:spacing w:after="0" w:line="182" w:lineRule="exact"/>
              <w:rPr>
                <w:sz w:val="20"/>
                <w:szCs w:val="20"/>
                <w:color w:val="auto"/>
              </w:rPr>
            </w:pPr>
            <w:r>
              <w:rPr>
                <w:rFonts w:ascii="Arial" w:cs="Arial" w:eastAsia="Arial" w:hAnsi="Arial"/>
                <w:sz w:val="18"/>
                <w:szCs w:val="18"/>
                <w:color w:val="auto"/>
                <w:w w:val="88"/>
              </w:rPr>
              <w:t>Dayl W. Pearson</w:t>
            </w:r>
          </w:p>
        </w:tc>
      </w:tr>
      <w:tr>
        <w:trPr>
          <w:trHeight w:val="216"/>
        </w:trPr>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20" w:type="dxa"/>
            <w:vAlign w:val="bottom"/>
          </w:tcPr>
          <w:p>
            <w:pPr>
              <w:jc w:val="center"/>
              <w:ind w:right="370"/>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20" w:type="dxa"/>
            <w:vAlign w:val="bottom"/>
          </w:tcPr>
          <w:p>
            <w:pPr>
              <w:jc w:val="center"/>
              <w:ind w:right="39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 November 2, 2016</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Pr>
          <w:p>
            <w:pPr>
              <w:ind w:left="980"/>
              <w:spacing w:after="0"/>
              <w:rPr>
                <w:sz w:val="20"/>
                <w:szCs w:val="20"/>
                <w:color w:val="auto"/>
              </w:rPr>
            </w:pPr>
            <w:r>
              <w:rPr>
                <w:rFonts w:ascii="Arial" w:cs="Arial" w:eastAsia="Arial" w:hAnsi="Arial"/>
                <w:sz w:val="18"/>
                <w:szCs w:val="18"/>
                <w:color w:val="auto"/>
              </w:rPr>
              <w:t>/s/ Edward U. Gilpin</w:t>
            </w:r>
          </w:p>
        </w:tc>
      </w:tr>
    </w:tbl>
    <w:p>
      <w:pPr>
        <w:jc w:val="center"/>
        <w:ind w:left="594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24"/>
                <w:szCs w:val="24"/>
                <w:color w:val="auto"/>
              </w:rPr>
            </w:pPr>
          </w:p>
        </w:tc>
      </w:t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11"/>
        </w:trPr>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Purchase and Sale Agreement, dated February 29, 2012, by and among Kohlberg Capital Corporation (the “Company”), Commodore</w:t>
            </w:r>
          </w:p>
        </w:tc>
      </w:tr>
      <w:tr>
        <w:trPr>
          <w:trHeight w:val="220"/>
        </w:trPr>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Holdings, L.L.C., Trimaran Advisors, L.L.C., HBK Caravelle, L.L.C., Trimaran Fund Management, L.L.C., Jay R. Bloom, and Dean C.</w:t>
            </w:r>
          </w:p>
        </w:tc>
      </w:tr>
      <w:tr>
        <w:trPr>
          <w:trHeight w:val="390"/>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Kehler.</w:t>
            </w:r>
            <w:r>
              <w:rPr>
                <w:rFonts w:ascii="Arial" w:cs="Arial" w:eastAsia="Arial" w:hAnsi="Arial"/>
                <w:sz w:val="30"/>
                <w:szCs w:val="30"/>
                <w:color w:val="auto"/>
                <w:vertAlign w:val="superscript"/>
              </w:rPr>
              <w:t>(1)</w:t>
            </w:r>
          </w:p>
        </w:tc>
      </w:tr>
      <w:tr>
        <w:trPr>
          <w:trHeight w:val="473"/>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Certificate of Incorporation of the Company.</w:t>
            </w:r>
            <w:r>
              <w:rPr>
                <w:rFonts w:ascii="Arial" w:cs="Arial" w:eastAsia="Arial" w:hAnsi="Arial"/>
                <w:sz w:val="30"/>
                <w:szCs w:val="30"/>
                <w:color w:val="auto"/>
                <w:vertAlign w:val="superscript"/>
              </w:rPr>
              <w:t>(2)</w:t>
            </w:r>
          </w:p>
        </w:tc>
      </w:tr>
      <w:tr>
        <w:trPr>
          <w:trHeight w:val="473"/>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Bylaws of the Company, as amended and restated effective February 29, 2012.</w:t>
            </w:r>
            <w:r>
              <w:rPr>
                <w:rFonts w:ascii="Arial" w:cs="Arial" w:eastAsia="Arial" w:hAnsi="Arial"/>
                <w:sz w:val="30"/>
                <w:szCs w:val="30"/>
                <w:color w:val="auto"/>
                <w:vertAlign w:val="superscript"/>
              </w:rPr>
              <w:t>(3)</w:t>
            </w:r>
          </w:p>
        </w:tc>
      </w:tr>
      <w:tr>
        <w:trPr>
          <w:trHeight w:val="473"/>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Dividend Reinvestment Plan.</w:t>
            </w:r>
            <w:r>
              <w:rPr>
                <w:rFonts w:ascii="Arial" w:cs="Arial" w:eastAsia="Arial" w:hAnsi="Arial"/>
                <w:sz w:val="30"/>
                <w:szCs w:val="30"/>
                <w:color w:val="auto"/>
                <w:vertAlign w:val="superscript"/>
              </w:rPr>
              <w:t>(4)</w:t>
            </w:r>
          </w:p>
        </w:tc>
      </w:tr>
      <w:tr>
        <w:trPr>
          <w:trHeight w:val="473"/>
        </w:trPr>
        <w:tc>
          <w:tcPr>
            <w:tcW w:w="1380" w:type="dxa"/>
            <w:vAlign w:val="bottom"/>
            <w:gridSpan w:val="2"/>
          </w:tcPr>
          <w:p>
            <w:pPr>
              <w:spacing w:after="0"/>
              <w:rPr>
                <w:sz w:val="20"/>
                <w:szCs w:val="20"/>
                <w:color w:val="auto"/>
              </w:rPr>
            </w:pPr>
            <w:r>
              <w:rPr>
                <w:rFonts w:ascii="Arial" w:cs="Arial" w:eastAsia="Arial" w:hAnsi="Arial"/>
                <w:sz w:val="18"/>
                <w:szCs w:val="18"/>
                <w:color w:val="auto"/>
              </w:rPr>
              <w:t>4.2(a)</w:t>
            </w:r>
          </w:p>
        </w:tc>
        <w:tc>
          <w:tcPr>
            <w:tcW w:w="10040" w:type="dxa"/>
            <w:vAlign w:val="bottom"/>
          </w:tcPr>
          <w:p>
            <w:pPr>
              <w:spacing w:after="0"/>
              <w:rPr>
                <w:sz w:val="20"/>
                <w:szCs w:val="20"/>
                <w:color w:val="auto"/>
              </w:rPr>
            </w:pPr>
            <w:r>
              <w:rPr>
                <w:rFonts w:ascii="Arial" w:cs="Arial" w:eastAsia="Arial" w:hAnsi="Arial"/>
                <w:sz w:val="18"/>
                <w:szCs w:val="18"/>
                <w:color w:val="auto"/>
                <w:w w:val="94"/>
              </w:rPr>
              <w:t>Form of Base Indenture between the Company and U.S. Bank National Association relating to the 7.375% Senior Notes Due 2019</w:t>
            </w:r>
            <w:r>
              <w:rPr>
                <w:rFonts w:ascii="Arial" w:cs="Arial" w:eastAsia="Arial" w:hAnsi="Arial"/>
                <w:sz w:val="30"/>
                <w:szCs w:val="30"/>
                <w:color w:val="auto"/>
                <w:w w:val="94"/>
                <w:vertAlign w:val="superscript"/>
              </w:rPr>
              <w:t>(5)</w:t>
            </w:r>
          </w:p>
        </w:tc>
      </w:tr>
      <w:tr>
        <w:trPr>
          <w:trHeight w:val="299"/>
        </w:trPr>
        <w:tc>
          <w:tcPr>
            <w:tcW w:w="1380" w:type="dxa"/>
            <w:vAlign w:val="bottom"/>
            <w:gridSpan w:val="2"/>
          </w:tcPr>
          <w:p>
            <w:pPr>
              <w:spacing w:after="0"/>
              <w:rPr>
                <w:sz w:val="20"/>
                <w:szCs w:val="20"/>
                <w:color w:val="auto"/>
              </w:rPr>
            </w:pPr>
            <w:r>
              <w:rPr>
                <w:rFonts w:ascii="Arial" w:cs="Arial" w:eastAsia="Arial" w:hAnsi="Arial"/>
                <w:sz w:val="18"/>
                <w:szCs w:val="18"/>
                <w:color w:val="auto"/>
              </w:rPr>
              <w:t>4.2(b)</w:t>
            </w:r>
          </w:p>
        </w:tc>
        <w:tc>
          <w:tcPr>
            <w:tcW w:w="10040" w:type="dxa"/>
            <w:vAlign w:val="bottom"/>
          </w:tcPr>
          <w:p>
            <w:pPr>
              <w:spacing w:after="0"/>
              <w:rPr>
                <w:sz w:val="20"/>
                <w:szCs w:val="20"/>
                <w:color w:val="auto"/>
              </w:rPr>
            </w:pPr>
            <w:r>
              <w:rPr>
                <w:rFonts w:ascii="Arial" w:cs="Arial" w:eastAsia="Arial" w:hAnsi="Arial"/>
                <w:sz w:val="18"/>
                <w:szCs w:val="18"/>
                <w:color w:val="auto"/>
                <w:w w:val="91"/>
              </w:rPr>
              <w:t>Form of First Supplemental Indenture between the Company and U.S. Bank National Association relating to the 7.375% Senior Notes Due</w:t>
            </w:r>
          </w:p>
        </w:tc>
      </w:tr>
      <w:tr>
        <w:trPr>
          <w:trHeight w:val="390"/>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2019</w:t>
            </w:r>
            <w:r>
              <w:rPr>
                <w:rFonts w:ascii="Arial" w:cs="Arial" w:eastAsia="Arial" w:hAnsi="Arial"/>
                <w:sz w:val="30"/>
                <w:szCs w:val="30"/>
                <w:color w:val="auto"/>
                <w:vertAlign w:val="superscript"/>
              </w:rPr>
              <w:t>(5)</w:t>
            </w:r>
          </w:p>
        </w:tc>
      </w:tr>
      <w:tr>
        <w:trPr>
          <w:trHeight w:val="473"/>
        </w:trPr>
        <w:tc>
          <w:tcPr>
            <w:tcW w:w="128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Note relating to the 7.375% Senior Notes Due 2019 (included as part of Exhibit 4.2)</w:t>
            </w:r>
            <w:r>
              <w:rPr>
                <w:rFonts w:ascii="Arial" w:cs="Arial" w:eastAsia="Arial" w:hAnsi="Arial"/>
                <w:sz w:val="30"/>
                <w:szCs w:val="30"/>
                <w:color w:val="auto"/>
                <w:vertAlign w:val="superscript"/>
              </w:rPr>
              <w:t>(5)</w:t>
            </w:r>
          </w:p>
        </w:tc>
      </w:tr>
      <w:tr>
        <w:trPr>
          <w:trHeight w:val="299"/>
        </w:trPr>
        <w:tc>
          <w:tcPr>
            <w:tcW w:w="128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Indenture dated as of March 16, 2011, by and between the Company and U.S. Bank National Association, as trustee relating to the 8.75%</w:t>
            </w:r>
          </w:p>
        </w:tc>
      </w:tr>
      <w:tr>
        <w:trPr>
          <w:trHeight w:val="390"/>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Convertible Senior Notes Due 2016.</w:t>
            </w:r>
            <w:r>
              <w:rPr>
                <w:rFonts w:ascii="Arial" w:cs="Arial" w:eastAsia="Arial" w:hAnsi="Arial"/>
                <w:sz w:val="30"/>
                <w:szCs w:val="30"/>
                <w:color w:val="auto"/>
                <w:vertAlign w:val="superscript"/>
              </w:rPr>
              <w:t>(6)</w:t>
            </w:r>
          </w:p>
        </w:tc>
      </w:tr>
      <w:tr>
        <w:trPr>
          <w:trHeight w:val="473"/>
        </w:trPr>
        <w:tc>
          <w:tcPr>
            <w:tcW w:w="1280" w:type="dxa"/>
            <w:vAlign w:val="bottom"/>
          </w:tcPr>
          <w:p>
            <w:pP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8.75% Convertible Senior Notes Due 2016 (included as part of Exhibit 4.4).</w:t>
            </w:r>
            <w:r>
              <w:rPr>
                <w:rFonts w:ascii="Arial" w:cs="Arial" w:eastAsia="Arial" w:hAnsi="Arial"/>
                <w:sz w:val="30"/>
                <w:szCs w:val="30"/>
                <w:color w:val="auto"/>
                <w:vertAlign w:val="superscript"/>
              </w:rPr>
              <w:t>(6)</w:t>
            </w:r>
          </w:p>
        </w:tc>
      </w:tr>
      <w:tr>
        <w:trPr>
          <w:trHeight w:val="309"/>
        </w:trPr>
        <w:tc>
          <w:tcPr>
            <w:tcW w:w="1280" w:type="dxa"/>
            <w:vAlign w:val="bottom"/>
          </w:tcPr>
          <w:p>
            <w:pPr>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Computation of Per Share Earnings (included in the notes to the unaudited financial statements contained in this report).</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Chief Executive Officer Pursuant to Rule 13a-14(a) under the Securities Exchange Act of 1934, as adopted pursuant to</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Chief Financial Officer Pursuant to Rule 13a-14(a) under the Securities Exchange Act of 1934, as adopted pursuant to</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18 U. S. C. 1350, as adopted pursuant to Section 906 of the Sarbanes-Oxley Act of</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2002. **</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Chief Financial Officer Pursuant to 18 U. S. C. 1350, as adopted pursuant to Section 906 of the Sarbanes-Oxley Act of</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2002.**</w:t>
            </w:r>
          </w:p>
        </w:tc>
      </w:tr>
    </w:tbl>
    <w:p>
      <w:pPr>
        <w:spacing w:after="0" w:line="202" w:lineRule="exact"/>
        <w:rPr>
          <w:sz w:val="20"/>
          <w:szCs w:val="20"/>
          <w:color w:val="auto"/>
        </w:rPr>
      </w:pPr>
    </w:p>
    <w:p>
      <w:pPr>
        <w:ind w:left="1380" w:hanging="1372"/>
        <w:spacing w:after="0"/>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Exhibit 2.1 of the Current Report on Form 8-K, as filed on March 1, 2012 (File No. 814-00735).</w:t>
      </w:r>
    </w:p>
    <w:p>
      <w:pPr>
        <w:spacing w:after="0" w:line="225" w:lineRule="exact"/>
        <w:rPr>
          <w:rFonts w:ascii="Arial" w:cs="Arial" w:eastAsia="Arial" w:hAnsi="Arial"/>
          <w:sz w:val="18"/>
          <w:szCs w:val="18"/>
          <w:color w:val="auto"/>
        </w:rPr>
      </w:pPr>
    </w:p>
    <w:p>
      <w:pPr>
        <w:ind w:left="1380" w:right="220" w:hanging="1372"/>
        <w:spacing w:after="0" w:line="277" w:lineRule="auto"/>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1 on Form N-2, as filed on October 6, 2006 (File No. 333-136714).</w:t>
      </w:r>
    </w:p>
    <w:p>
      <w:pPr>
        <w:spacing w:after="0" w:line="170" w:lineRule="exact"/>
        <w:rPr>
          <w:rFonts w:ascii="Arial" w:cs="Arial" w:eastAsia="Arial" w:hAnsi="Arial"/>
          <w:sz w:val="18"/>
          <w:szCs w:val="18"/>
          <w:color w:val="auto"/>
        </w:rPr>
      </w:pPr>
    </w:p>
    <w:p>
      <w:pPr>
        <w:ind w:left="1380" w:hanging="1372"/>
        <w:spacing w:after="0"/>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Exhibit 3.1 of the Current Report on Form 8-K, as filed on March 1, 2012 (File No. 814-00735).</w:t>
      </w:r>
    </w:p>
    <w:p>
      <w:pPr>
        <w:spacing w:after="0" w:line="225" w:lineRule="exact"/>
        <w:rPr>
          <w:rFonts w:ascii="Arial" w:cs="Arial" w:eastAsia="Arial" w:hAnsi="Arial"/>
          <w:sz w:val="18"/>
          <w:szCs w:val="18"/>
          <w:color w:val="auto"/>
        </w:rPr>
      </w:pPr>
    </w:p>
    <w:p>
      <w:pPr>
        <w:ind w:left="1380" w:right="260" w:hanging="1372"/>
        <w:spacing w:after="0" w:line="277" w:lineRule="auto"/>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2 on Form N-2, as filed on November 20, 2006 (File No. 333-136714).</w:t>
      </w:r>
    </w:p>
    <w:p>
      <w:pPr>
        <w:spacing w:after="0" w:line="170" w:lineRule="exact"/>
        <w:rPr>
          <w:rFonts w:ascii="Arial" w:cs="Arial" w:eastAsia="Arial" w:hAnsi="Arial"/>
          <w:sz w:val="18"/>
          <w:szCs w:val="18"/>
          <w:color w:val="auto"/>
        </w:rPr>
      </w:pPr>
    </w:p>
    <w:p>
      <w:pPr>
        <w:ind w:left="1380" w:right="580" w:hanging="1372"/>
        <w:spacing w:after="0" w:line="277" w:lineRule="auto"/>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exhibit included in the Registration Statement in Form N-2, as filed on October 3, 2012 (File No. 333-183032).</w:t>
      </w:r>
    </w:p>
    <w:p>
      <w:pPr>
        <w:spacing w:after="0" w:line="170" w:lineRule="exact"/>
        <w:rPr>
          <w:rFonts w:ascii="Arial" w:cs="Arial" w:eastAsia="Arial" w:hAnsi="Arial"/>
          <w:sz w:val="18"/>
          <w:szCs w:val="18"/>
          <w:color w:val="auto"/>
        </w:rPr>
      </w:pPr>
    </w:p>
    <w:p>
      <w:pPr>
        <w:ind w:left="1380" w:hanging="1372"/>
        <w:spacing w:after="0"/>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Exhibit 4.1 of the Current Report on Form 8-K, as filed on March 16, 2011 (File No. 814-00735).</w:t>
      </w:r>
    </w:p>
    <w:p>
      <w:pPr>
        <w:spacing w:after="0" w:line="225" w:lineRule="exact"/>
        <w:rPr>
          <w:sz w:val="20"/>
          <w:szCs w:val="20"/>
          <w:color w:val="auto"/>
        </w:rPr>
      </w:pPr>
    </w:p>
    <w:p>
      <w:pPr>
        <w:ind w:left="1380" w:hanging="1372"/>
        <w:spacing w:after="0"/>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2016 of KCAP Financial, Inc. (the “registrant”);</w:t>
      </w:r>
    </w:p>
    <w:p>
      <w:pPr>
        <w:spacing w:after="0" w:line="236" w:lineRule="exact"/>
        <w:rPr>
          <w:rFonts w:ascii="Arial" w:cs="Arial" w:eastAsia="Arial" w:hAnsi="Arial"/>
          <w:sz w:val="17"/>
          <w:szCs w:val="17"/>
          <w:color w:val="auto"/>
        </w:rPr>
      </w:pPr>
    </w:p>
    <w:p>
      <w:pPr>
        <w:ind w:right="280" w:firstLine="422"/>
        <w:spacing w:after="0" w:line="342" w:lineRule="auto"/>
        <w:tabs>
          <w:tab w:leader="none" w:pos="594"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820" w:val="left"/>
          <w:tab w:leader="none" w:pos="8100" w:val="left"/>
        </w:tabs>
        <w:rPr>
          <w:sz w:val="20"/>
          <w:szCs w:val="20"/>
          <w:color w:val="auto"/>
        </w:rPr>
      </w:pPr>
      <w:r>
        <w:rPr>
          <w:rFonts w:ascii="Arial" w:cs="Arial" w:eastAsia="Arial" w:hAnsi="Arial"/>
          <w:sz w:val="18"/>
          <w:szCs w:val="18"/>
          <w:color w:val="auto"/>
        </w:rPr>
        <w:t>Date: November 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2016 of KCAP Financial, Inc. (the “registrant”);</w:t>
      </w:r>
    </w:p>
    <w:p>
      <w:pPr>
        <w:spacing w:after="0" w:line="236" w:lineRule="exact"/>
        <w:rPr>
          <w:rFonts w:ascii="Arial" w:cs="Arial" w:eastAsia="Arial" w:hAnsi="Arial"/>
          <w:sz w:val="17"/>
          <w:szCs w:val="17"/>
          <w:color w:val="auto"/>
        </w:rPr>
      </w:pPr>
    </w:p>
    <w:p>
      <w:pPr>
        <w:ind w:right="280" w:firstLine="422"/>
        <w:spacing w:after="0" w:line="342" w:lineRule="auto"/>
        <w:tabs>
          <w:tab w:leader="none" w:pos="594"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800" w:val="left"/>
          <w:tab w:leader="none" w:pos="8040" w:val="left"/>
        </w:tabs>
        <w:rPr>
          <w:sz w:val="20"/>
          <w:szCs w:val="20"/>
          <w:color w:val="auto"/>
        </w:rPr>
      </w:pPr>
      <w:r>
        <w:rPr>
          <w:rFonts w:ascii="Arial" w:cs="Arial" w:eastAsia="Arial" w:hAnsi="Arial"/>
          <w:sz w:val="18"/>
          <w:szCs w:val="18"/>
          <w:color w:val="auto"/>
        </w:rPr>
        <w:t>Date: November 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September 30, 2016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800" w:val="left"/>
          <w:tab w:leader="none" w:pos="8040" w:val="left"/>
        </w:tabs>
        <w:rPr>
          <w:sz w:val="20"/>
          <w:szCs w:val="20"/>
          <w:color w:val="auto"/>
        </w:rPr>
      </w:pPr>
      <w:r>
        <w:rPr>
          <w:rFonts w:ascii="Arial" w:cs="Arial" w:eastAsia="Arial" w:hAnsi="Arial"/>
          <w:sz w:val="18"/>
          <w:szCs w:val="18"/>
          <w:color w:val="auto"/>
        </w:rPr>
        <w:t>Date: November 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646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4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4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accompanying Quarterly Report of KCAP Financial, Inc. (the “Company”) on Form 10-Q for the quarter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2016 (the “Report”), I, Edward U. Gilpin, Chief Financial Officer of the Company, certify, pursuant to 18 U.S.C. §1350, as adopted pursuant to §906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that:</w:t>
      </w:r>
    </w:p>
    <w:p>
      <w:pPr>
        <w:spacing w:after="0" w:line="211" w:lineRule="exact"/>
        <w:rPr>
          <w:sz w:val="20"/>
          <w:szCs w:val="20"/>
          <w:color w:val="auto"/>
        </w:rPr>
      </w:pPr>
    </w:p>
    <w:p>
      <w:pPr>
        <w:ind w:left="680" w:hanging="258"/>
        <w:spacing w:after="0"/>
        <w:tabs>
          <w:tab w:leader="none" w:pos="6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800" w:val="left"/>
          <w:tab w:leader="none" w:pos="8040" w:val="left"/>
        </w:tabs>
        <w:rPr>
          <w:sz w:val="20"/>
          <w:szCs w:val="20"/>
          <w:color w:val="auto"/>
        </w:rPr>
      </w:pPr>
      <w:r>
        <w:rPr>
          <w:rFonts w:ascii="Arial" w:cs="Arial" w:eastAsia="Arial" w:hAnsi="Arial"/>
          <w:sz w:val="18"/>
          <w:szCs w:val="18"/>
          <w:color w:val="auto"/>
        </w:rPr>
        <w:t>Date: November 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1"/>
      <w:numFmt w:val="bullet"/>
      <w:start w:val="1"/>
    </w:lvl>
  </w:abstractNum>
  <w:abstractNum w:abstractNumId="3">
    <w:nsid w:val="77465F01"/>
    <w:multiLevelType w:val="hybridMultilevel"/>
    <w:lvl w:ilvl="0">
      <w:lvlJc w:val="left"/>
      <w:lvlText w:val="2"/>
      <w:numFmt w:val="bullet"/>
      <w:start w:val="1"/>
    </w:lvl>
  </w:abstractNum>
  <w:abstractNum w:abstractNumId="4">
    <w:nsid w:val="7724C67E"/>
    <w:multiLevelType w:val="hybridMultilevel"/>
    <w:lvl w:ilvl="0">
      <w:lvlJc w:val="left"/>
      <w:lvlText w:val="3"/>
      <w:numFmt w:val="bullet"/>
      <w:start w:val="1"/>
    </w:lvl>
  </w:abstractNum>
  <w:abstractNum w:abstractNumId="5">
    <w:nsid w:val="5C482A97"/>
    <w:multiLevelType w:val="hybridMultilevel"/>
    <w:lvl w:ilvl="0">
      <w:lvlJc w:val="left"/>
      <w:lvlText w:val="4"/>
      <w:numFmt w:val="bullet"/>
      <w:start w:val="1"/>
    </w:lvl>
  </w:abstractNum>
  <w:abstractNum w:abstractNumId="6">
    <w:nsid w:val="2463B9EA"/>
    <w:multiLevelType w:val="hybridMultilevel"/>
    <w:lvl w:ilvl="0">
      <w:lvlJc w:val="left"/>
      <w:lvlText w:val="5"/>
      <w:numFmt w:val="bullet"/>
      <w:start w:val="1"/>
    </w:lvl>
  </w:abstractNum>
  <w:abstractNum w:abstractNumId="7">
    <w:nsid w:val="5E884ADC"/>
    <w:multiLevelType w:val="hybridMultilevel"/>
    <w:lvl w:ilvl="0">
      <w:lvlJc w:val="left"/>
      <w:lvlText w:val="6"/>
      <w:numFmt w:val="bullet"/>
      <w:start w:val="1"/>
    </w:lvl>
  </w:abstractNum>
  <w:abstractNum w:abstractNumId="8">
    <w:nsid w:val="51EAD36B"/>
    <w:multiLevelType w:val="hybridMultilevel"/>
    <w:lvl w:ilvl="0">
      <w:lvlJc w:val="left"/>
      <w:lvlText w:val="7"/>
      <w:numFmt w:val="bullet"/>
      <w:start w:val="1"/>
    </w:lvl>
  </w:abstractNum>
  <w:abstractNum w:abstractNumId="9">
    <w:nsid w:val="2D517796"/>
    <w:multiLevelType w:val="hybridMultilevel"/>
    <w:lvl w:ilvl="0">
      <w:lvlJc w:val="left"/>
      <w:lvlText w:val="8"/>
      <w:numFmt w:val="bullet"/>
      <w:start w:val="1"/>
    </w:lvl>
  </w:abstractNum>
  <w:abstractNum w:abstractNumId="10">
    <w:nsid w:val="580BD78F"/>
    <w:multiLevelType w:val="hybridMultilevel"/>
    <w:lvl w:ilvl="0">
      <w:lvlJc w:val="left"/>
      <w:lvlText w:val="9"/>
      <w:numFmt w:val="bullet"/>
      <w:start w:val="1"/>
    </w:lvl>
  </w:abstractNum>
  <w:abstractNum w:abstractNumId="11">
    <w:nsid w:val="153EA438"/>
    <w:multiLevelType w:val="hybridMultilevel"/>
    <w:lvl w:ilvl="0">
      <w:lvlJc w:val="left"/>
      <w:lvlText w:val="%1"/>
      <w:numFmt w:val="decimal"/>
      <w:start w:val="10"/>
    </w:lvl>
  </w:abstractNum>
  <w:abstractNum w:abstractNumId="12">
    <w:nsid w:val="3855585C"/>
    <w:multiLevelType w:val="hybridMultilevel"/>
    <w:lvl w:ilvl="0">
      <w:lvlJc w:val="left"/>
      <w:lvlText w:val="%1"/>
      <w:numFmt w:val="upperLetter"/>
      <w:start w:val="54"/>
    </w:lvl>
  </w:abstractNum>
  <w:abstractNum w:abstractNumId="13">
    <w:nsid w:val="70A64E2A"/>
    <w:multiLevelType w:val="hybridMultilevel"/>
    <w:lvl w:ilvl="0">
      <w:lvlJc w:val="left"/>
      <w:lvlText w:val="1"/>
      <w:numFmt w:val="bullet"/>
      <w:start w:val="1"/>
    </w:lvl>
  </w:abstractNum>
  <w:abstractNum w:abstractNumId="14">
    <w:nsid w:val="6A2342EC"/>
    <w:multiLevelType w:val="hybridMultilevel"/>
    <w:lvl w:ilvl="0">
      <w:lvlJc w:val="left"/>
      <w:lvlText w:val="2"/>
      <w:numFmt w:val="bullet"/>
      <w:start w:val="1"/>
    </w:lvl>
  </w:abstractNum>
  <w:abstractNum w:abstractNumId="15">
    <w:nsid w:val="2A487CB0"/>
    <w:multiLevelType w:val="hybridMultilevel"/>
    <w:lvl w:ilvl="0">
      <w:lvlJc w:val="left"/>
      <w:lvlText w:val="3"/>
      <w:numFmt w:val="bullet"/>
      <w:start w:val="1"/>
    </w:lvl>
  </w:abstractNum>
  <w:abstractNum w:abstractNumId="16">
    <w:nsid w:val="1D4ED43B"/>
    <w:multiLevelType w:val="hybridMultilevel"/>
    <w:lvl w:ilvl="0">
      <w:lvlJc w:val="left"/>
      <w:lvlText w:val="4"/>
      <w:numFmt w:val="bullet"/>
      <w:start w:val="1"/>
    </w:lvl>
  </w:abstractNum>
  <w:abstractNum w:abstractNumId="17">
    <w:nsid w:val="725A06FB"/>
    <w:multiLevelType w:val="hybridMultilevel"/>
    <w:lvl w:ilvl="0">
      <w:lvlJc w:val="left"/>
      <w:lvlText w:val="5"/>
      <w:numFmt w:val="bullet"/>
      <w:start w:val="1"/>
    </w:lvl>
  </w:abstractNum>
  <w:abstractNum w:abstractNumId="18">
    <w:nsid w:val="2CD89A32"/>
    <w:multiLevelType w:val="hybridMultilevel"/>
    <w:lvl w:ilvl="0">
      <w:lvlJc w:val="left"/>
      <w:lvlText w:val="6"/>
      <w:numFmt w:val="bullet"/>
      <w:start w:val="1"/>
    </w:lvl>
  </w:abstractNum>
  <w:abstractNum w:abstractNumId="19">
    <w:nsid w:val="57E4CCAF"/>
    <w:multiLevelType w:val="hybridMultilevel"/>
    <w:lvl w:ilvl="0">
      <w:lvlJc w:val="left"/>
      <w:lvlText w:val="7"/>
      <w:numFmt w:val="bullet"/>
      <w:start w:val="1"/>
    </w:lvl>
  </w:abstractNum>
  <w:abstractNum w:abstractNumId="20">
    <w:nsid w:val="7A6D8D3C"/>
    <w:multiLevelType w:val="hybridMultilevel"/>
    <w:lvl w:ilvl="0">
      <w:lvlJc w:val="left"/>
      <w:lvlText w:val="8"/>
      <w:numFmt w:val="bullet"/>
      <w:start w:val="1"/>
    </w:lvl>
  </w:abstractNum>
  <w:abstractNum w:abstractNumId="21">
    <w:nsid w:val="4B588F54"/>
    <w:multiLevelType w:val="hybridMultilevel"/>
    <w:lvl w:ilvl="0">
      <w:lvlJc w:val="left"/>
      <w:lvlText w:val="9"/>
      <w:numFmt w:val="bullet"/>
      <w:start w:val="1"/>
    </w:lvl>
  </w:abstractNum>
  <w:abstractNum w:abstractNumId="22">
    <w:nsid w:val="542289EC"/>
    <w:multiLevelType w:val="hybridMultilevel"/>
    <w:lvl w:ilvl="0">
      <w:lvlJc w:val="left"/>
      <w:lvlText w:val="%1"/>
      <w:numFmt w:val="decimal"/>
      <w:start w:val="10"/>
    </w:lvl>
  </w:abstractNum>
  <w:abstractNum w:abstractNumId="23">
    <w:nsid w:val="6DE91B18"/>
    <w:multiLevelType w:val="hybridMultilevel"/>
    <w:lvl w:ilvl="0">
      <w:lvlJc w:val="left"/>
      <w:lvlText w:val="1"/>
      <w:numFmt w:val="bullet"/>
      <w:start w:val="1"/>
    </w:lvl>
  </w:abstractNum>
  <w:abstractNum w:abstractNumId="24">
    <w:nsid w:val="38437FDB"/>
    <w:multiLevelType w:val="hybridMultilevel"/>
    <w:lvl w:ilvl="0">
      <w:lvlJc w:val="left"/>
      <w:lvlText w:val="2"/>
      <w:numFmt w:val="bullet"/>
      <w:start w:val="1"/>
    </w:lvl>
  </w:abstractNum>
  <w:abstractNum w:abstractNumId="25">
    <w:nsid w:val="7644A45C"/>
    <w:multiLevelType w:val="hybridMultilevel"/>
    <w:lvl w:ilvl="0">
      <w:lvlJc w:val="left"/>
      <w:lvlText w:val="3"/>
      <w:numFmt w:val="bullet"/>
      <w:start w:val="1"/>
    </w:lvl>
  </w:abstractNum>
  <w:abstractNum w:abstractNumId="26">
    <w:nsid w:val="32FFF902"/>
    <w:multiLevelType w:val="hybridMultilevel"/>
    <w:lvl w:ilvl="0">
      <w:lvlJc w:val="left"/>
      <w:lvlText w:val="4"/>
      <w:numFmt w:val="bullet"/>
      <w:start w:val="1"/>
    </w:lvl>
  </w:abstractNum>
  <w:abstractNum w:abstractNumId="27">
    <w:nsid w:val="684A481A"/>
    <w:multiLevelType w:val="hybridMultilevel"/>
    <w:lvl w:ilvl="0">
      <w:lvlJc w:val="left"/>
      <w:lvlText w:val="5"/>
      <w:numFmt w:val="bullet"/>
      <w:start w:val="1"/>
    </w:lvl>
  </w:abstractNum>
  <w:abstractNum w:abstractNumId="28">
    <w:nsid w:val="579478FE"/>
    <w:multiLevelType w:val="hybridMultilevel"/>
    <w:lvl w:ilvl="0">
      <w:lvlJc w:val="left"/>
      <w:lvlText w:val="6"/>
      <w:numFmt w:val="bullet"/>
      <w:start w:val="1"/>
    </w:lvl>
  </w:abstractNum>
  <w:abstractNum w:abstractNumId="29">
    <w:nsid w:val="749ABB43"/>
    <w:multiLevelType w:val="hybridMultilevel"/>
    <w:lvl w:ilvl="0">
      <w:lvlJc w:val="left"/>
      <w:lvlText w:val="%1."/>
      <w:numFmt w:val="decimal"/>
      <w:start w:val="2"/>
    </w:lvl>
  </w:abstractNum>
  <w:abstractNum w:abstractNumId="30">
    <w:nsid w:val="3DC240FB"/>
    <w:multiLevelType w:val="hybridMultilevel"/>
    <w:lvl w:ilvl="0">
      <w:lvlJc w:val="left"/>
      <w:lvlText w:val="¹"/>
      <w:numFmt w:val="bullet"/>
      <w:start w:val="1"/>
    </w:lvl>
  </w:abstractNum>
  <w:abstractNum w:abstractNumId="31">
    <w:nsid w:val="1BA026FA"/>
    <w:multiLevelType w:val="hybridMultilevel"/>
    <w:lvl w:ilvl="0">
      <w:lvlJc w:val="left"/>
      <w:lvlText w:val="²"/>
      <w:numFmt w:val="bullet"/>
      <w:start w:val="1"/>
    </w:lvl>
  </w:abstractNum>
  <w:abstractNum w:abstractNumId="32">
    <w:nsid w:val="79A1DEAA"/>
    <w:multiLevelType w:val="hybridMultilevel"/>
    <w:lvl w:ilvl="0">
      <w:lvlJc w:val="left"/>
      <w:lvlText w:val="³"/>
      <w:numFmt w:val="bullet"/>
      <w:start w:val="1"/>
    </w:lvl>
  </w:abstractNum>
  <w:abstractNum w:abstractNumId="33">
    <w:nsid w:val="75C6C33A"/>
    <w:multiLevelType w:val="hybridMultilevel"/>
    <w:lvl w:ilvl="0">
      <w:lvlJc w:val="left"/>
      <w:lvlText w:val="1"/>
      <w:numFmt w:val="bullet"/>
      <w:start w:val="1"/>
    </w:lvl>
  </w:abstractNum>
  <w:abstractNum w:abstractNumId="34">
    <w:nsid w:val="12E685FB"/>
    <w:multiLevelType w:val="hybridMultilevel"/>
    <w:lvl w:ilvl="0">
      <w:lvlJc w:val="left"/>
      <w:lvlText w:val="2"/>
      <w:numFmt w:val="bullet"/>
      <w:start w:val="1"/>
    </w:lvl>
  </w:abstractNum>
  <w:abstractNum w:abstractNumId="35">
    <w:nsid w:val="70C6A529"/>
    <w:multiLevelType w:val="hybridMultilevel"/>
    <w:lvl w:ilvl="0">
      <w:lvlJc w:val="left"/>
      <w:lvlText w:val="¹"/>
      <w:numFmt w:val="bullet"/>
      <w:start w:val="1"/>
    </w:lvl>
  </w:abstractNum>
  <w:abstractNum w:abstractNumId="36">
    <w:nsid w:val="520EEDD1"/>
    <w:multiLevelType w:val="hybridMultilevel"/>
    <w:lvl w:ilvl="0">
      <w:lvlJc w:val="left"/>
      <w:lvlText w:val="¹"/>
      <w:numFmt w:val="bullet"/>
      <w:start w:val="1"/>
    </w:lvl>
  </w:abstractNum>
  <w:abstractNum w:abstractNumId="37">
    <w:nsid w:val="374A3FE6"/>
    <w:multiLevelType w:val="hybridMultilevel"/>
    <w:lvl w:ilvl="0">
      <w:lvlJc w:val="left"/>
      <w:lvlText w:val="¹"/>
      <w:numFmt w:val="bullet"/>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bullet"/>
      <w:start w:val="1"/>
    </w:lvl>
  </w:abstractNum>
  <w:abstractNum w:abstractNumId="40">
    <w:nsid w:val="649BB77C"/>
    <w:multiLevelType w:val="hybridMultilevel"/>
    <w:lvl w:ilvl="0">
      <w:lvlJc w:val="left"/>
      <w:lvlText w:val="(%1)"/>
      <w:numFmt w:val="lowerRoman"/>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¹"/>
      <w:numFmt w:val="bullet"/>
      <w:start w:val="1"/>
    </w:lvl>
  </w:abstractNum>
  <w:abstractNum w:abstractNumId="43">
    <w:nsid w:val="1CF10FD8"/>
    <w:multiLevelType w:val="hybridMultilevel"/>
    <w:lvl w:ilvl="0">
      <w:lvlJc w:val="left"/>
      <w:lvlText w:val="²"/>
      <w:numFmt w:val="bullet"/>
      <w:start w:val="1"/>
    </w:lvl>
  </w:abstractNum>
  <w:abstractNum w:abstractNumId="44">
    <w:nsid w:val="180115BE"/>
    <w:multiLevelType w:val="hybridMultilevel"/>
    <w:lvl w:ilvl="0">
      <w:lvlJc w:val="left"/>
      <w:lvlText w:val="³"/>
      <w:numFmt w:val="bullet"/>
      <w:start w:val="1"/>
    </w:lvl>
  </w:abstractNum>
  <w:abstractNum w:abstractNumId="45">
    <w:nsid w:val="235BA861"/>
    <w:multiLevelType w:val="hybridMultilevel"/>
    <w:lvl w:ilvl="0">
      <w:lvlJc w:val="left"/>
      <w:lvlText w:val="¹"/>
      <w:numFmt w:val="bullet"/>
      <w:start w:val="1"/>
    </w:lvl>
  </w:abstractNum>
  <w:abstractNum w:abstractNumId="46">
    <w:nsid w:val="47398C89"/>
    <w:multiLevelType w:val="hybridMultilevel"/>
    <w:lvl w:ilvl="0">
      <w:lvlJc w:val="left"/>
      <w:lvlText w:val="1"/>
      <w:numFmt w:val="bullet"/>
      <w:start w:val="1"/>
    </w:lvl>
  </w:abstractNum>
  <w:abstractNum w:abstractNumId="47">
    <w:nsid w:val="354FE9F9"/>
    <w:multiLevelType w:val="hybridMultilevel"/>
    <w:lvl w:ilvl="0">
      <w:lvlJc w:val="left"/>
      <w:lvlText w:val="2"/>
      <w:numFmt w:val="bullet"/>
      <w:start w:val="1"/>
    </w:lvl>
  </w:abstractNum>
  <w:abstractNum w:abstractNumId="48">
    <w:nsid w:val="15B5AF5C"/>
    <w:multiLevelType w:val="hybridMultilevel"/>
    <w:lvl w:ilvl="0">
      <w:lvlJc w:val="left"/>
      <w:lvlText w:val="3"/>
      <w:numFmt w:val="bullet"/>
      <w:start w:val="1"/>
    </w:lvl>
  </w:abstractNum>
  <w:abstractNum w:abstractNumId="49">
    <w:nsid w:val="741226BB"/>
    <w:multiLevelType w:val="hybridMultilevel"/>
    <w:lvl w:ilvl="0">
      <w:lvlJc w:val="left"/>
      <w:lvlText w:val="¹"/>
      <w:numFmt w:val="bullet"/>
      <w:start w:val="1"/>
    </w:lvl>
  </w:abstractNum>
  <w:abstractNum w:abstractNumId="50">
    <w:nsid w:val="D34B6A8"/>
    <w:multiLevelType w:val="hybridMultilevel"/>
    <w:lvl w:ilvl="0">
      <w:lvlJc w:val="left"/>
      <w:lvlText w:val="²"/>
      <w:numFmt w:val="bullet"/>
      <w:start w:val="1"/>
    </w:lvl>
  </w:abstractNum>
  <w:abstractNum w:abstractNumId="51">
    <w:nsid w:val="10233C99"/>
    <w:multiLevelType w:val="hybridMultilevel"/>
    <w:lvl w:ilvl="0">
      <w:lvlJc w:val="left"/>
      <w:lvlText w:val="³"/>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¹"/>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1"/>
      <w:numFmt w:val="bullet"/>
      <w:start w:val="1"/>
    </w:lvl>
  </w:abstractNum>
  <w:abstractNum w:abstractNumId="56">
    <w:nsid w:val="579BE4F1"/>
    <w:multiLevelType w:val="hybridMultilevel"/>
    <w:lvl w:ilvl="0">
      <w:lvlJc w:val="left"/>
      <w:lvlText w:val="¹"/>
      <w:numFmt w:val="bullet"/>
      <w:start w:val="1"/>
    </w:lvl>
  </w:abstractNum>
  <w:abstractNum w:abstractNumId="57">
    <w:nsid w:val="310C50B3"/>
    <w:multiLevelType w:val="hybridMultilevel"/>
    <w:lvl w:ilvl="0">
      <w:lvlJc w:val="left"/>
      <w:lvlText w:val="²"/>
      <w:numFmt w:val="bullet"/>
      <w:start w:val="1"/>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decimal"/>
      <w:start w:val="5"/>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1."/>
      <w:numFmt w:val="decimal"/>
      <w:start w:val="5"/>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2019-12-29T10:24:24Z</dcterms:created>
  <dcterms:modified xsi:type="dcterms:W3CDTF">2019-12-29T10:24:24Z</dcterms:modified>
</cp:coreProperties>
</file>