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6"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69"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ectPr>
          <w:pgSz w:w="11900" w:h="16838" w:orient="portrait"/>
          <w:cols w:equalWidth="0" w:num="1">
            <w:col w:w="11240"/>
          </w:cols>
          <w:pgMar w:left="320" w:top="1316" w:right="339" w:bottom="1440" w:gutter="0" w:footer="0" w:header="0"/>
        </w:sectPr>
      </w:pP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ind w:left="4660"/>
        <w:spacing w:after="0"/>
        <w:rPr>
          <w:sz w:val="20"/>
          <w:szCs w:val="20"/>
          <w:color w:val="auto"/>
        </w:rPr>
      </w:pPr>
      <w:r>
        <w:rPr>
          <w:rFonts w:ascii="Times New Roman" w:cs="Times New Roman" w:eastAsia="Times New Roman" w:hAnsi="Times New Roman"/>
          <w:sz w:val="14"/>
          <w:szCs w:val="14"/>
          <w:b w:val="1"/>
          <w:bCs w:val="1"/>
          <w:color w:val="auto"/>
        </w:rPr>
        <w:t>Commission File No. 814-00735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148" w:lineRule="exact"/>
        <w:rPr>
          <w:sz w:val="24"/>
          <w:szCs w:val="24"/>
          <w:color w:val="auto"/>
        </w:rPr>
      </w:pPr>
    </w:p>
    <w:p>
      <w:pPr>
        <w:sectPr>
          <w:pgSz w:w="11900" w:h="16838" w:orient="portrait"/>
          <w:cols w:equalWidth="0" w:num="2">
            <w:col w:w="6600" w:space="80"/>
            <w:col w:w="4560"/>
          </w:cols>
          <w:pgMar w:left="320" w:top="131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43"/>
          <w:szCs w:val="43"/>
          <w:b w:val="1"/>
          <w:bCs w:val="1"/>
          <w:color w:val="auto"/>
        </w:rPr>
        <w:t>Portman Ridge Finance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tbl>
      <w:tblPr>
        <w:tblLayout w:type="fixed"/>
        <w:tblInd w:w="1840" w:type="dxa"/>
        <w:tblCellMar>
          <w:top w:w="0" w:type="dxa"/>
          <w:left w:w="0" w:type="dxa"/>
          <w:bottom w:w="0" w:type="dxa"/>
          <w:right w:w="0" w:type="dxa"/>
        </w:tblCellMar>
      </w:tblPr>
      <w:tr>
        <w:trPr>
          <w:trHeight w:val="190"/>
        </w:trPr>
        <w:tc>
          <w:tcPr>
            <w:tcW w:w="3900" w:type="dxa"/>
            <w:vAlign w:val="bottom"/>
          </w:tcPr>
          <w:p>
            <w:pPr>
              <w:jc w:val="center"/>
              <w:ind w:right="19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40" w:type="dxa"/>
            <w:vAlign w:val="bottom"/>
          </w:tcPr>
          <w:p>
            <w:pPr>
              <w:jc w:val="center"/>
              <w:ind w:left="1928"/>
              <w:spacing w:after="0"/>
              <w:rPr>
                <w:sz w:val="20"/>
                <w:szCs w:val="20"/>
                <w:color w:val="auto"/>
              </w:rPr>
            </w:pPr>
            <w:r>
              <w:rPr>
                <w:rFonts w:ascii="Times New Roman" w:cs="Times New Roman" w:eastAsia="Times New Roman" w:hAnsi="Times New Roman"/>
                <w:sz w:val="14"/>
                <w:szCs w:val="14"/>
                <w:b w:val="1"/>
                <w:bCs w:val="1"/>
                <w:color w:val="auto"/>
              </w:rPr>
              <w:t>20-5951150</w:t>
            </w:r>
          </w:p>
        </w:tc>
      </w:tr>
      <w:tr>
        <w:trPr>
          <w:trHeight w:val="174"/>
        </w:trPr>
        <w:tc>
          <w:tcPr>
            <w:tcW w:w="3900" w:type="dxa"/>
            <w:vAlign w:val="bottom"/>
          </w:tcPr>
          <w:p>
            <w:pPr>
              <w:jc w:val="center"/>
              <w:ind w:right="192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40" w:type="dxa"/>
            <w:vAlign w:val="bottom"/>
          </w:tcPr>
          <w:p>
            <w:pPr>
              <w:jc w:val="center"/>
              <w:ind w:left="192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2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40" w:type="dxa"/>
            <w:vAlign w:val="bottom"/>
          </w:tcPr>
          <w:p>
            <w:pPr>
              <w:jc w:val="center"/>
              <w:ind w:left="194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Madison Avenue, 3rd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891-2880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382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40" w:type="dxa"/>
            <w:vAlign w:val="bottom"/>
          </w:tcPr>
          <w:p>
            <w:pPr>
              <w:spacing w:after="0"/>
              <w:rPr>
                <w:sz w:val="18"/>
                <w:szCs w:val="18"/>
                <w:color w:val="auto"/>
              </w:rPr>
            </w:pPr>
          </w:p>
        </w:tc>
      </w:tr>
      <w:tr>
        <w:trPr>
          <w:trHeight w:val="229"/>
        </w:trPr>
        <w:tc>
          <w:tcPr>
            <w:tcW w:w="368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4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3680" w:type="dxa"/>
            <w:vAlign w:val="bottom"/>
            <w:tcBorders>
              <w:top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PTMN</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tcPr>
          <w:p>
            <w:pPr>
              <w:jc w:val="center"/>
              <w:ind w:right="639"/>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02" w:lineRule="exact"/>
        <w:rPr>
          <w:sz w:val="24"/>
          <w:szCs w:val="24"/>
          <w:color w:val="auto"/>
        </w:rPr>
      </w:pPr>
    </w:p>
    <w:p>
      <w:pPr>
        <w:ind w:right="260" w:firstLine="37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40"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380" w:firstLine="37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3"/>
                <w:szCs w:val="23"/>
                <w:color w:val="auto"/>
              </w:rPr>
            </w:pPr>
          </w:p>
        </w:tc>
        <w:tc>
          <w:tcPr>
            <w:tcW w:w="500" w:type="dxa"/>
            <w:vAlign w:val="bottom"/>
          </w:tcPr>
          <w:p>
            <w:pPr>
              <w:spacing w:after="0"/>
              <w:rPr>
                <w:sz w:val="23"/>
                <w:szCs w:val="23"/>
                <w:color w:val="auto"/>
              </w:rPr>
            </w:pPr>
          </w:p>
        </w:tc>
      </w:tr>
    </w:tbl>
    <w:p>
      <w:pPr>
        <w:spacing w:after="0" w:line="47" w:lineRule="exact"/>
        <w:rPr>
          <w:sz w:val="24"/>
          <w:szCs w:val="24"/>
          <w:color w:val="auto"/>
        </w:rPr>
      </w:pPr>
    </w:p>
    <w:p>
      <w:pPr>
        <w:ind w:right="200"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ind w:left="3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4"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The number of outstanding shares of common stock of the registrant as of August 2, 2024 was 9,244,024.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1503680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2142490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3"/>
        </w:trPr>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5880" w:type="dxa"/>
            <w:vAlign w:val="bottom"/>
            <w:gridSpan w:val="12"/>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0000FF"/>
              </w:rPr>
              <w:t>Part I. Financial Information</w:t>
            </w:r>
          </w:p>
        </w:tc>
        <w:tc>
          <w:tcPr>
            <w:tcW w:w="720" w:type="dxa"/>
            <w:vAlign w:val="bottom"/>
            <w:shd w:val="clear" w:color="auto" w:fill="CCEEFF"/>
          </w:tcPr>
          <w:p>
            <w:pPr>
              <w:spacing w:after="0"/>
              <w:rPr>
                <w:sz w:val="19"/>
                <w:szCs w:val="19"/>
                <w:color w:val="auto"/>
              </w:rPr>
            </w:pPr>
          </w:p>
        </w:tc>
      </w:tr>
      <w:tr>
        <w:trPr>
          <w:trHeight w:val="243"/>
        </w:trPr>
        <w:tc>
          <w:tcPr>
            <w:tcW w:w="8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1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3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r>
      <w:tr>
        <w:trPr>
          <w:trHeight w:val="156"/>
        </w:trPr>
        <w:tc>
          <w:tcPr>
            <w:tcW w:w="8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9640" w:type="dxa"/>
            <w:vAlign w:val="bottom"/>
            <w:gridSpan w:val="16"/>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0000FF"/>
              </w:rPr>
              <w:t>Financial Statements</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r>
      <w:tr>
        <w:trPr>
          <w:trHeight w:val="243"/>
        </w:trPr>
        <w:tc>
          <w:tcPr>
            <w:tcW w:w="8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0" w:type="dxa"/>
            <w:vAlign w:val="bottom"/>
            <w:tcBorders>
              <w:top w:val="single" w:sz="8" w:color="0000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3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r>
      <w:tr>
        <w:trPr>
          <w:trHeight w:val="156"/>
        </w:trPr>
        <w:tc>
          <w:tcPr>
            <w:tcW w:w="880" w:type="dxa"/>
            <w:vAlign w:val="bottom"/>
            <w:shd w:val="clear" w:color="auto" w:fill="CCEEFF"/>
          </w:tcPr>
          <w:p>
            <w:pPr>
              <w:spacing w:after="0"/>
              <w:rPr>
                <w:sz w:val="13"/>
                <w:szCs w:val="13"/>
                <w:color w:val="auto"/>
              </w:rPr>
            </w:pPr>
          </w:p>
        </w:tc>
        <w:tc>
          <w:tcPr>
            <w:tcW w:w="9640" w:type="dxa"/>
            <w:vAlign w:val="bottom"/>
            <w:gridSpan w:val="16"/>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0000FF"/>
              </w:rPr>
              <w:t>Consolidated Balance Sheets as of June 30, 2024 (unaudited) and December 31, 2023</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r>
      <w:tr>
        <w:trPr>
          <w:trHeight w:val="243"/>
        </w:trPr>
        <w:tc>
          <w:tcPr>
            <w:tcW w:w="8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140" w:type="dxa"/>
            <w:vAlign w:val="bottom"/>
            <w:tcBorders>
              <w:top w:val="single" w:sz="8" w:color="0000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3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r>
      <w:tr>
        <w:trPr>
          <w:trHeight w:val="156"/>
        </w:trPr>
        <w:tc>
          <w:tcPr>
            <w:tcW w:w="880" w:type="dxa"/>
            <w:vAlign w:val="bottom"/>
            <w:shd w:val="clear" w:color="auto" w:fill="CCEEFF"/>
          </w:tcPr>
          <w:p>
            <w:pPr>
              <w:spacing w:after="0"/>
              <w:rPr>
                <w:sz w:val="13"/>
                <w:szCs w:val="13"/>
                <w:color w:val="auto"/>
              </w:rPr>
            </w:pPr>
          </w:p>
        </w:tc>
        <w:tc>
          <w:tcPr>
            <w:tcW w:w="9640" w:type="dxa"/>
            <w:vAlign w:val="bottom"/>
            <w:gridSpan w:val="16"/>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0000FF"/>
              </w:rPr>
              <w:t>Consolidated Statements of Operations for the three and six months ended June 30, 2024 and 2023 (unaudited)</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r>
      <w:tr>
        <w:trPr>
          <w:trHeight w:val="243"/>
        </w:trPr>
        <w:tc>
          <w:tcPr>
            <w:tcW w:w="8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1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3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r>
      <w:tr>
        <w:trPr>
          <w:trHeight w:val="156"/>
        </w:trPr>
        <w:tc>
          <w:tcPr>
            <w:tcW w:w="880" w:type="dxa"/>
            <w:vAlign w:val="bottom"/>
            <w:shd w:val="clear" w:color="auto" w:fill="CCEEFF"/>
          </w:tcPr>
          <w:p>
            <w:pPr>
              <w:spacing w:after="0"/>
              <w:rPr>
                <w:sz w:val="13"/>
                <w:szCs w:val="13"/>
                <w:color w:val="auto"/>
              </w:rPr>
            </w:pPr>
          </w:p>
        </w:tc>
        <w:tc>
          <w:tcPr>
            <w:tcW w:w="9640" w:type="dxa"/>
            <w:vAlign w:val="bottom"/>
            <w:gridSpan w:val="16"/>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0000FF"/>
              </w:rPr>
              <w:t>Consolidated Statements of Changes in Net Assets for the three and six months ended June 30, 2024 and 2023 (unaudited)</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r>
      <w:tr>
        <w:trPr>
          <w:trHeight w:val="243"/>
        </w:trPr>
        <w:tc>
          <w:tcPr>
            <w:tcW w:w="8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1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23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r>
      <w:tr>
        <w:trPr>
          <w:trHeight w:val="155"/>
        </w:trPr>
        <w:tc>
          <w:tcPr>
            <w:tcW w:w="880" w:type="dxa"/>
            <w:vAlign w:val="bottom"/>
            <w:shd w:val="clear" w:color="auto" w:fill="CCEEFF"/>
          </w:tcPr>
          <w:p>
            <w:pPr>
              <w:spacing w:after="0"/>
              <w:rPr>
                <w:sz w:val="13"/>
                <w:szCs w:val="13"/>
                <w:color w:val="auto"/>
              </w:rPr>
            </w:pPr>
          </w:p>
        </w:tc>
        <w:tc>
          <w:tcPr>
            <w:tcW w:w="9640" w:type="dxa"/>
            <w:vAlign w:val="bottom"/>
            <w:gridSpan w:val="16"/>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0000FF"/>
              </w:rPr>
              <w:t>Consolidated Statements of Cash Flows for the six months ended June 30, 2024 and 2023 (unaudited)</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r>
      <w:tr>
        <w:trPr>
          <w:trHeight w:val="243"/>
        </w:trPr>
        <w:tc>
          <w:tcPr>
            <w:tcW w:w="8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1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3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r>
      <w:tr>
        <w:trPr>
          <w:trHeight w:val="155"/>
        </w:trPr>
        <w:tc>
          <w:tcPr>
            <w:tcW w:w="880" w:type="dxa"/>
            <w:vAlign w:val="bottom"/>
            <w:shd w:val="clear" w:color="auto" w:fill="CCEEFF"/>
          </w:tcPr>
          <w:p>
            <w:pPr>
              <w:spacing w:after="0"/>
              <w:rPr>
                <w:sz w:val="13"/>
                <w:szCs w:val="13"/>
                <w:color w:val="auto"/>
              </w:rPr>
            </w:pPr>
          </w:p>
        </w:tc>
        <w:tc>
          <w:tcPr>
            <w:tcW w:w="9640" w:type="dxa"/>
            <w:vAlign w:val="bottom"/>
            <w:gridSpan w:val="16"/>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0000FF"/>
              </w:rPr>
              <w:t>Consolidated Schedules of Investments as of June 30, 2024 (unaudited) and December 31, 2023</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r>
      <w:tr>
        <w:trPr>
          <w:trHeight w:val="243"/>
        </w:trPr>
        <w:tc>
          <w:tcPr>
            <w:tcW w:w="8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1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3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r>
      <w:tr>
        <w:trPr>
          <w:trHeight w:val="156"/>
        </w:trPr>
        <w:tc>
          <w:tcPr>
            <w:tcW w:w="880" w:type="dxa"/>
            <w:vAlign w:val="bottom"/>
            <w:shd w:val="clear" w:color="auto" w:fill="CCEEFF"/>
          </w:tcPr>
          <w:p>
            <w:pPr>
              <w:spacing w:after="0"/>
              <w:rPr>
                <w:sz w:val="13"/>
                <w:szCs w:val="13"/>
                <w:color w:val="auto"/>
              </w:rPr>
            </w:pPr>
          </w:p>
        </w:tc>
        <w:tc>
          <w:tcPr>
            <w:tcW w:w="9640" w:type="dxa"/>
            <w:vAlign w:val="bottom"/>
            <w:gridSpan w:val="16"/>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0000FF"/>
              </w:rPr>
              <w:t>Consolidated Financial Highlights for the six months ended June 30, 2024 and 2023 (unaudited)</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r>
      <w:tr>
        <w:trPr>
          <w:trHeight w:val="243"/>
        </w:trPr>
        <w:tc>
          <w:tcPr>
            <w:tcW w:w="8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1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3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r>
      <w:tr>
        <w:trPr>
          <w:trHeight w:val="156"/>
        </w:trPr>
        <w:tc>
          <w:tcPr>
            <w:tcW w:w="880" w:type="dxa"/>
            <w:vAlign w:val="bottom"/>
            <w:shd w:val="clear" w:color="auto" w:fill="CCEEFF"/>
          </w:tcPr>
          <w:p>
            <w:pPr>
              <w:spacing w:after="0"/>
              <w:rPr>
                <w:sz w:val="13"/>
                <w:szCs w:val="13"/>
                <w:color w:val="auto"/>
              </w:rPr>
            </w:pPr>
          </w:p>
        </w:tc>
        <w:tc>
          <w:tcPr>
            <w:tcW w:w="9640" w:type="dxa"/>
            <w:vAlign w:val="bottom"/>
            <w:gridSpan w:val="16"/>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0000FF"/>
              </w:rPr>
              <w:t>Notes to Consolidated Financial Statements as of and for the period ended June 30, 2024 (unaudited)</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r>
      <w:tr>
        <w:trPr>
          <w:trHeight w:val="243"/>
        </w:trPr>
        <w:tc>
          <w:tcPr>
            <w:tcW w:w="8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1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3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r>
      <w:tr>
        <w:trPr>
          <w:trHeight w:val="156"/>
        </w:trPr>
        <w:tc>
          <w:tcPr>
            <w:tcW w:w="8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Item 2.</w:t>
            </w:r>
          </w:p>
        </w:tc>
        <w:tc>
          <w:tcPr>
            <w:tcW w:w="9640" w:type="dxa"/>
            <w:vAlign w:val="bottom"/>
            <w:gridSpan w:val="16"/>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r>
      <w:tr>
        <w:trPr>
          <w:trHeight w:val="243"/>
        </w:trPr>
        <w:tc>
          <w:tcPr>
            <w:tcW w:w="8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1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3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r>
      <w:tr>
        <w:trPr>
          <w:trHeight w:val="156"/>
        </w:trPr>
        <w:tc>
          <w:tcPr>
            <w:tcW w:w="8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Item 3.</w:t>
            </w:r>
          </w:p>
        </w:tc>
        <w:tc>
          <w:tcPr>
            <w:tcW w:w="9640" w:type="dxa"/>
            <w:vAlign w:val="bottom"/>
            <w:gridSpan w:val="16"/>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r>
      <w:tr>
        <w:trPr>
          <w:trHeight w:val="243"/>
        </w:trPr>
        <w:tc>
          <w:tcPr>
            <w:tcW w:w="8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3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r>
      <w:tr>
        <w:trPr>
          <w:trHeight w:val="155"/>
        </w:trPr>
        <w:tc>
          <w:tcPr>
            <w:tcW w:w="8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Item 4.</w:t>
            </w:r>
          </w:p>
        </w:tc>
        <w:tc>
          <w:tcPr>
            <w:tcW w:w="9640" w:type="dxa"/>
            <w:vAlign w:val="bottom"/>
            <w:gridSpan w:val="16"/>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r>
      <w:tr>
        <w:trPr>
          <w:trHeight w:val="243"/>
        </w:trPr>
        <w:tc>
          <w:tcPr>
            <w:tcW w:w="8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1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3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r>
      <w:tr>
        <w:trPr>
          <w:trHeight w:val="148"/>
        </w:trPr>
        <w:tc>
          <w:tcPr>
            <w:tcW w:w="8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Item 5.</w:t>
            </w:r>
          </w:p>
        </w:tc>
        <w:tc>
          <w:tcPr>
            <w:tcW w:w="9640" w:type="dxa"/>
            <w:vAlign w:val="bottom"/>
            <w:gridSpan w:val="16"/>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0000FF"/>
              </w:rPr>
              <w:t>Controls and Procedures</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r>
      <w:tr>
        <w:trPr>
          <w:trHeight w:val="27"/>
        </w:trPr>
        <w:tc>
          <w:tcPr>
            <w:tcW w:w="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jc w:val="right"/>
              <w:ind w:right="4580"/>
              <w:spacing w:after="0"/>
              <w:rPr>
                <w:sz w:val="20"/>
                <w:szCs w:val="20"/>
                <w:color w:val="auto"/>
              </w:rPr>
            </w:pPr>
            <w:r>
              <w:rPr>
                <w:rFonts w:ascii="Times New Roman" w:cs="Times New Roman" w:eastAsia="Times New Roman" w:hAnsi="Times New Roman"/>
                <w:sz w:val="14"/>
                <w:szCs w:val="14"/>
                <w:b w:val="1"/>
                <w:bCs w:val="1"/>
                <w:color w:val="0000FF"/>
              </w:rPr>
              <w:t>Part II. Other Information</w:t>
            </w:r>
          </w:p>
        </w:tc>
      </w:tr>
      <w:tr>
        <w:trPr>
          <w:trHeight w:val="243"/>
        </w:trPr>
        <w:tc>
          <w:tcPr>
            <w:tcW w:w="18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6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660" w:type="dxa"/>
            <w:vAlign w:val="bottom"/>
            <w:tcBorders>
              <w:top w:val="single" w:sz="8" w:color="0000FF"/>
            </w:tcBorders>
          </w:tcPr>
          <w:p>
            <w:pPr>
              <w:spacing w:after="0"/>
              <w:rPr>
                <w:sz w:val="21"/>
                <w:szCs w:val="21"/>
                <w:color w:val="auto"/>
              </w:rPr>
            </w:pPr>
          </w:p>
        </w:tc>
        <w:tc>
          <w:tcPr>
            <w:tcW w:w="4580" w:type="dxa"/>
            <w:vAlign w:val="bottom"/>
            <w:tcBorders>
              <w:top w:val="single" w:sz="8" w:color="CCEEFF"/>
            </w:tcBorders>
          </w:tcPr>
          <w:p>
            <w:pPr>
              <w:spacing w:after="0"/>
              <w:rPr>
                <w:sz w:val="21"/>
                <w:szCs w:val="21"/>
                <w:color w:val="auto"/>
              </w:rPr>
            </w:pPr>
          </w:p>
        </w:tc>
      </w:tr>
      <w:tr>
        <w:trPr>
          <w:trHeight w:val="155"/>
        </w:trPr>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4200" w:type="dxa"/>
            <w:vAlign w:val="bottom"/>
            <w:gridSpan w:val="9"/>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62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w:t>
            </w:r>
          </w:p>
        </w:tc>
      </w:tr>
      <w:tr>
        <w:trPr>
          <w:trHeight w:val="243"/>
        </w:trPr>
        <w:tc>
          <w:tcPr>
            <w:tcW w:w="18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6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4580" w:type="dxa"/>
            <w:vAlign w:val="bottom"/>
            <w:tcBorders>
              <w:top w:val="single" w:sz="8" w:color="CCEEFF"/>
            </w:tcBorders>
          </w:tcPr>
          <w:p>
            <w:pPr>
              <w:spacing w:after="0"/>
              <w:rPr>
                <w:sz w:val="21"/>
                <w:szCs w:val="21"/>
                <w:color w:val="auto"/>
              </w:rPr>
            </w:pPr>
          </w:p>
        </w:tc>
      </w:tr>
      <w:tr>
        <w:trPr>
          <w:trHeight w:val="210"/>
        </w:trPr>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Item 1A.</w:t>
            </w:r>
          </w:p>
        </w:tc>
        <w:tc>
          <w:tcPr>
            <w:tcW w:w="4200" w:type="dxa"/>
            <w:vAlign w:val="bottom"/>
            <w:gridSpan w:val="9"/>
            <w:shd w:val="clear" w:color="auto" w:fill="CCEEFF"/>
          </w:tcPr>
          <w:p>
            <w:pPr>
              <w:ind w:left="360"/>
              <w:spacing w:after="0"/>
              <w:rPr>
                <w:sz w:val="20"/>
                <w:szCs w:val="20"/>
                <w:color w:val="auto"/>
              </w:rPr>
            </w:pPr>
            <w:r>
              <w:rPr>
                <w:rFonts w:ascii="Times New Roman" w:cs="Times New Roman" w:eastAsia="Times New Roman" w:hAnsi="Times New Roman"/>
                <w:sz w:val="14"/>
                <w:szCs w:val="14"/>
                <w:color w:val="0000FF"/>
              </w:rPr>
              <w:t>Risk Factors</w:t>
            </w:r>
          </w:p>
        </w:tc>
        <w:tc>
          <w:tcPr>
            <w:tcW w:w="6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w:t>
            </w:r>
          </w:p>
        </w:tc>
      </w:tr>
      <w:tr>
        <w:trPr>
          <w:trHeight w:val="243"/>
        </w:trPr>
        <w:tc>
          <w:tcPr>
            <w:tcW w:w="18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6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4580" w:type="dxa"/>
            <w:vAlign w:val="bottom"/>
            <w:tcBorders>
              <w:top w:val="single" w:sz="8" w:color="CCEEFF"/>
            </w:tcBorders>
          </w:tcPr>
          <w:p>
            <w:pPr>
              <w:spacing w:after="0"/>
              <w:rPr>
                <w:sz w:val="21"/>
                <w:szCs w:val="21"/>
                <w:color w:val="auto"/>
              </w:rPr>
            </w:pPr>
          </w:p>
        </w:tc>
      </w:tr>
      <w:tr>
        <w:trPr>
          <w:trHeight w:val="156"/>
        </w:trPr>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Item 2.</w:t>
            </w:r>
          </w:p>
        </w:tc>
        <w:tc>
          <w:tcPr>
            <w:tcW w:w="4200" w:type="dxa"/>
            <w:vAlign w:val="bottom"/>
            <w:gridSpan w:val="9"/>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62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w:t>
            </w:r>
          </w:p>
        </w:tc>
      </w:tr>
      <w:tr>
        <w:trPr>
          <w:trHeight w:val="243"/>
        </w:trPr>
        <w:tc>
          <w:tcPr>
            <w:tcW w:w="18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1620" w:type="dxa"/>
            <w:vAlign w:val="bottom"/>
            <w:tcBorders>
              <w:top w:val="single" w:sz="8" w:color="0000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4580" w:type="dxa"/>
            <w:vAlign w:val="bottom"/>
            <w:tcBorders>
              <w:top w:val="single" w:sz="8" w:color="CCEEFF"/>
            </w:tcBorders>
          </w:tcPr>
          <w:p>
            <w:pPr>
              <w:spacing w:after="0"/>
              <w:rPr>
                <w:sz w:val="21"/>
                <w:szCs w:val="21"/>
                <w:color w:val="auto"/>
              </w:rPr>
            </w:pPr>
          </w:p>
        </w:tc>
      </w:tr>
      <w:tr>
        <w:trPr>
          <w:trHeight w:val="155"/>
        </w:trPr>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Item 3.</w:t>
            </w:r>
          </w:p>
        </w:tc>
        <w:tc>
          <w:tcPr>
            <w:tcW w:w="4200" w:type="dxa"/>
            <w:vAlign w:val="bottom"/>
            <w:gridSpan w:val="9"/>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62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w:t>
            </w:r>
          </w:p>
        </w:tc>
      </w:tr>
      <w:tr>
        <w:trPr>
          <w:trHeight w:val="243"/>
        </w:trPr>
        <w:tc>
          <w:tcPr>
            <w:tcW w:w="18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16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4580" w:type="dxa"/>
            <w:vAlign w:val="bottom"/>
            <w:tcBorders>
              <w:top w:val="single" w:sz="8" w:color="CCEEFF"/>
            </w:tcBorders>
          </w:tcPr>
          <w:p>
            <w:pPr>
              <w:spacing w:after="0"/>
              <w:rPr>
                <w:sz w:val="21"/>
                <w:szCs w:val="21"/>
                <w:color w:val="auto"/>
              </w:rPr>
            </w:pPr>
          </w:p>
        </w:tc>
      </w:tr>
      <w:tr>
        <w:trPr>
          <w:trHeight w:val="155"/>
        </w:trPr>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Item 4.</w:t>
            </w:r>
          </w:p>
        </w:tc>
        <w:tc>
          <w:tcPr>
            <w:tcW w:w="4200" w:type="dxa"/>
            <w:vAlign w:val="bottom"/>
            <w:gridSpan w:val="9"/>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0000FF"/>
              </w:rPr>
              <w:t>Mine Safety Disclosures</w:t>
            </w:r>
          </w:p>
        </w:tc>
        <w:tc>
          <w:tcPr>
            <w:tcW w:w="62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w:t>
            </w:r>
          </w:p>
        </w:tc>
      </w:tr>
      <w:tr>
        <w:trPr>
          <w:trHeight w:val="243"/>
        </w:trPr>
        <w:tc>
          <w:tcPr>
            <w:tcW w:w="18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6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4580" w:type="dxa"/>
            <w:vAlign w:val="bottom"/>
            <w:tcBorders>
              <w:top w:val="single" w:sz="8" w:color="CCEEFF"/>
            </w:tcBorders>
          </w:tcPr>
          <w:p>
            <w:pPr>
              <w:spacing w:after="0"/>
              <w:rPr>
                <w:sz w:val="21"/>
                <w:szCs w:val="21"/>
                <w:color w:val="auto"/>
              </w:rPr>
            </w:pPr>
          </w:p>
        </w:tc>
      </w:tr>
      <w:tr>
        <w:trPr>
          <w:trHeight w:val="156"/>
        </w:trPr>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Item 5.</w:t>
            </w:r>
          </w:p>
        </w:tc>
        <w:tc>
          <w:tcPr>
            <w:tcW w:w="4200" w:type="dxa"/>
            <w:vAlign w:val="bottom"/>
            <w:gridSpan w:val="9"/>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0000FF"/>
              </w:rPr>
              <w:t>Other Information</w:t>
            </w:r>
          </w:p>
        </w:tc>
        <w:tc>
          <w:tcPr>
            <w:tcW w:w="62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w:t>
            </w:r>
          </w:p>
        </w:tc>
      </w:tr>
      <w:tr>
        <w:trPr>
          <w:trHeight w:val="243"/>
        </w:trPr>
        <w:tc>
          <w:tcPr>
            <w:tcW w:w="18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6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4580" w:type="dxa"/>
            <w:vAlign w:val="bottom"/>
            <w:tcBorders>
              <w:top w:val="single" w:sz="8" w:color="CCEEFF"/>
            </w:tcBorders>
          </w:tcPr>
          <w:p>
            <w:pPr>
              <w:spacing w:after="0"/>
              <w:rPr>
                <w:sz w:val="21"/>
                <w:szCs w:val="21"/>
                <w:color w:val="auto"/>
              </w:rPr>
            </w:pPr>
          </w:p>
        </w:tc>
      </w:tr>
      <w:tr>
        <w:trPr>
          <w:trHeight w:val="155"/>
        </w:trPr>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Item 6.</w:t>
            </w:r>
          </w:p>
        </w:tc>
        <w:tc>
          <w:tcPr>
            <w:tcW w:w="4200" w:type="dxa"/>
            <w:vAlign w:val="bottom"/>
            <w:gridSpan w:val="9"/>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0000FF"/>
              </w:rPr>
              <w:t>Exhibits</w:t>
            </w:r>
          </w:p>
        </w:tc>
        <w:tc>
          <w:tcPr>
            <w:tcW w:w="62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w:t>
            </w:r>
          </w:p>
        </w:tc>
      </w:tr>
      <w:tr>
        <w:trPr>
          <w:trHeight w:val="243"/>
        </w:trPr>
        <w:tc>
          <w:tcPr>
            <w:tcW w:w="18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6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4580" w:type="dxa"/>
            <w:vAlign w:val="bottom"/>
            <w:tcBorders>
              <w:top w:val="single" w:sz="8" w:color="CCEEFF"/>
            </w:tcBorders>
          </w:tcPr>
          <w:p>
            <w:pPr>
              <w:spacing w:after="0"/>
              <w:rPr>
                <w:sz w:val="21"/>
                <w:szCs w:val="21"/>
                <w:color w:val="auto"/>
              </w:rPr>
            </w:pPr>
          </w:p>
        </w:tc>
      </w:tr>
      <w:tr>
        <w:trPr>
          <w:trHeight w:val="155"/>
        </w:trPr>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0000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Signatures</w:t>
            </w:r>
          </w:p>
        </w:tc>
        <w:tc>
          <w:tcPr>
            <w:tcW w:w="3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624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64</w:t>
            </w:r>
          </w:p>
        </w:tc>
      </w:tr>
      <w:tr>
        <w:trPr>
          <w:trHeight w:val="632"/>
        </w:trPr>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jc w:val="right"/>
              <w:ind w:right="928"/>
              <w:spacing w:after="0"/>
              <w:rPr>
                <w:sz w:val="20"/>
                <w:szCs w:val="20"/>
                <w:color w:val="auto"/>
              </w:rPr>
            </w:pPr>
            <w:r>
              <w:rPr>
                <w:rFonts w:ascii="Times New Roman" w:cs="Times New Roman" w:eastAsia="Times New Roman" w:hAnsi="Times New Roman"/>
                <w:sz w:val="13"/>
                <w:szCs w:val="13"/>
                <w:color w:val="auto"/>
              </w:rPr>
              <w:t>2</w:t>
            </w:r>
          </w:p>
        </w:tc>
        <w:tc>
          <w:tcPr>
            <w:tcW w:w="4580" w:type="dxa"/>
            <w:vAlign w:val="bottom"/>
          </w:tcPr>
          <w:p>
            <w:pPr>
              <w:spacing w:after="0"/>
              <w:rPr>
                <w:sz w:val="24"/>
                <w:szCs w:val="24"/>
                <w:color w:val="auto"/>
              </w:rPr>
            </w:pPr>
          </w:p>
        </w:tc>
      </w:tr>
      <w:tr>
        <w:trPr>
          <w:trHeight w:val="752"/>
        </w:trPr>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NOTE ABOUT REFERENCES TO PORTMAN RIDGE FINANCE CORPORATION</w:t>
      </w:r>
    </w:p>
    <w:p>
      <w:pPr>
        <w:spacing w:after="0" w:line="98"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4"/>
          <w:szCs w:val="14"/>
          <w:color w:val="auto"/>
        </w:rPr>
        <w:t>In this Quarterly Report on Form 10-Q, the “Company”, “Portman Ridge”, “we”, “us” and “our” refer to Portman Ridge Finance Corporation and its wholly-owned subsidiaries, unless the context otherwise requires.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ABOUT FORWARD-LOOKING STATEMENTS</w:t>
      </w:r>
    </w:p>
    <w:p>
      <w:pPr>
        <w:spacing w:after="0" w:line="98" w:lineRule="exact"/>
        <w:rPr>
          <w:sz w:val="20"/>
          <w:szCs w:val="20"/>
          <w:color w:val="auto"/>
        </w:rPr>
      </w:pPr>
    </w:p>
    <w:p>
      <w:pPr>
        <w:ind w:right="20" w:firstLine="374"/>
        <w:spacing w:after="0" w:line="226" w:lineRule="auto"/>
        <w:rPr>
          <w:sz w:val="20"/>
          <w:szCs w:val="20"/>
          <w:color w:val="auto"/>
        </w:rPr>
      </w:pPr>
      <w:r>
        <w:rPr>
          <w:rFonts w:ascii="Times New Roman" w:cs="Times New Roman" w:eastAsia="Times New Roman" w:hAnsi="Times New Roman"/>
          <w:sz w:val="14"/>
          <w:szCs w:val="14"/>
          <w:color w:val="auto"/>
        </w:rPr>
        <w:t>The information contained in this item should be read in conjunction with our consolidated financial statements and notes thereto appearing elsewhere in this Quarterly Report and in conjunction with the financial statements and notes thereto in the Company’s Form 10-K for the year ended December 31, 2023,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Portman Ridge Finance Corporation,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“outlook,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existing and prospective portfolio companies;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return or impact of current and future investments;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other relationships with third parties;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condition and ability of our existing and prospective portfolio companies to achieve their objectives;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w:t>
      </w:r>
    </w:p>
    <w:p>
      <w:pPr>
        <w:spacing w:after="0" w:line="95" w:lineRule="exact"/>
        <w:rPr>
          <w:rFonts w:ascii="Times New Roman" w:cs="Times New Roman" w:eastAsia="Times New Roman" w:hAnsi="Times New Roman"/>
          <w:sz w:val="14"/>
          <w:szCs w:val="14"/>
          <w:color w:val="auto"/>
        </w:rPr>
      </w:pPr>
    </w:p>
    <w:p>
      <w:pPr>
        <w:ind w:left="760" w:right="300" w:hanging="378"/>
        <w:spacing w:after="0" w:line="261"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as a business development company (“BDC”) under the Investment Company Act of 1940 and a regulated investment company under Subchapter M of the Internal Revenue Code of 1986, including the impact of changes in laws or regulations governing our operations or the operations of our portfolio companies;</w:t>
      </w:r>
    </w:p>
    <w:p>
      <w:pPr>
        <w:spacing w:after="0" w:line="54"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available liquidity, cash resources and working capital;</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portfolio companies;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Sierra Crest Investment Management LLC (the “Adviser”) to locate suitable investments for us to monitor and administer our investments;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Adviser to attract and retain highly talented professionals;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and potential conflicts of interest with the Adviser and its affiliates;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legal, tax, and regulatory changes on us and our portfolio companies;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interest rates on our business;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portfolio companies, particularly those having no liquid trading market;</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recover unrealized losses;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and our ability to access additional capital;</w:t>
      </w:r>
    </w:p>
    <w:p>
      <w:pPr>
        <w:spacing w:after="0" w:line="95" w:lineRule="exact"/>
        <w:rPr>
          <w:rFonts w:ascii="Times New Roman" w:cs="Times New Roman" w:eastAsia="Times New Roman" w:hAnsi="Times New Roman"/>
          <w:sz w:val="14"/>
          <w:szCs w:val="14"/>
          <w:color w:val="auto"/>
        </w:rPr>
      </w:pPr>
    </w:p>
    <w:p>
      <w:pPr>
        <w:ind w:left="760" w:right="20" w:hanging="378"/>
        <w:spacing w:after="0" w:line="261"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economic downturn could have a material adverse effect on our portfolio companies’ results of operations and financial condition, which could lead to a loss on some or all of our investments in such portfolio companies and have a material adverse effect on our results of operations and financial condition; and</w:t>
      </w:r>
    </w:p>
    <w:p>
      <w:pPr>
        <w:spacing w:after="0" w:line="54"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form and amount of any dividend distributions.</w:t>
      </w:r>
    </w:p>
    <w:p>
      <w:pPr>
        <w:spacing w:after="0" w:line="96" w:lineRule="exact"/>
        <w:rPr>
          <w:sz w:val="20"/>
          <w:szCs w:val="20"/>
          <w:color w:val="auto"/>
        </w:rPr>
      </w:pPr>
    </w:p>
    <w:p>
      <w:pPr>
        <w:ind w:firstLine="374"/>
        <w:spacing w:after="0" w:line="236" w:lineRule="auto"/>
        <w:rPr>
          <w:sz w:val="20"/>
          <w:szCs w:val="20"/>
          <w:color w:val="auto"/>
        </w:rPr>
      </w:pPr>
      <w:r>
        <w:rPr>
          <w:rFonts w:ascii="Times New Roman" w:cs="Times New Roman" w:eastAsia="Times New Roman" w:hAnsi="Times New Roman"/>
          <w:sz w:val="14"/>
          <w:szCs w:val="14"/>
          <w:color w:val="auto"/>
        </w:rPr>
        <w:t>For a more detailed discussion of factors that could cause our actual results to differ from forward-looking statements contained in this Quarterly Report, please see the discussion in Part II, “Item 1A. Risk Factors” of this Quarterly Report, and in Part I, “Item 1A. Risk Factors” in our Annual Report on Form 10-K for the fiscal year ended December 31, 2023.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7"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7"/>
        </w:trPr>
        <w:tc>
          <w:tcPr>
            <w:tcW w:w="7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Non-controlled/non-affiliated investments (amortized cost: 2024 - $409,486; 2023 - $426,630)</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370,359</w:t>
            </w:r>
          </w:p>
        </w:tc>
        <w:tc>
          <w:tcPr>
            <w:tcW w:w="1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398,325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 (amortized cost: 2024 - $62,769; 2023 - $55,611)</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60,464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 (cost: 2024 - $50,428; 2023 - $58,041)</w:t>
            </w:r>
          </w:p>
        </w:tc>
        <w:tc>
          <w:tcPr>
            <w:tcW w:w="1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13,547</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14,318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Investments at Fair Value (cost: 2024 - $522,683; 2023 - $540,282)</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444,370</w:t>
            </w:r>
          </w:p>
        </w:tc>
        <w:tc>
          <w:tcPr>
            <w:tcW w:w="14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467,865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9,813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for unsettled trades</w:t>
            </w:r>
          </w:p>
        </w:tc>
        <w:tc>
          <w:tcPr>
            <w:tcW w:w="18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Due from affiliates</w:t>
            </w: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488,811</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549,239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94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2018-2 Secured Notes (net of discount of: 2024 - $414; 2023 - $712)</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84,656</w:t>
            </w:r>
          </w:p>
        </w:tc>
        <w:tc>
          <w:tcPr>
            <w:tcW w:w="1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124,971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4.875% Notes Due 2026 (net of discount of: 2024 - $974; 2023 - $1,225; net of deferred financing costs of: 2024 - $430; 2023 - $561)</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106,596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Great Lakes Portman Ridge Funding LLC Revolving Credit Facility (net of deferred financing costs of: 2024 - $609; 2023 - $775)</w:t>
            </w: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91,391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91,225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for unsettled trades</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Due to affiliates</w:t>
            </w: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and incentive fees payable</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292,382</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335,721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8)</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par value $0.01 per share, 20,000,000 common shares authorized; 9,951,485 issued, and 9,260,495 outstanding at June</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tcPr>
          <w:p>
            <w:pPr>
              <w:spacing w:after="0"/>
              <w:rPr>
                <w:sz w:val="12"/>
                <w:szCs w:val="12"/>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 2024, and 9,943,385 issued, and 9,383,132 outstanding at December 31, 2023</w:t>
            </w:r>
          </w:p>
        </w:tc>
        <w:tc>
          <w:tcPr>
            <w:tcW w:w="1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in excess of par value</w:t>
            </w: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715,488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717,835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distributable (loss) earnings</w:t>
            </w:r>
          </w:p>
        </w:tc>
        <w:tc>
          <w:tcPr>
            <w:tcW w:w="18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(519,152 )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(504,411 )</w:t>
            </w:r>
          </w:p>
        </w:tc>
        <w:tc>
          <w:tcPr>
            <w:tcW w:w="0" w:type="dxa"/>
            <w:vAlign w:val="bottom"/>
          </w:tcPr>
          <w:p>
            <w:pPr>
              <w:spacing w:after="0"/>
              <w:rPr>
                <w:sz w:val="1"/>
                <w:szCs w:val="1"/>
                <w:color w:val="auto"/>
              </w:rPr>
            </w:pPr>
          </w:p>
        </w:tc>
      </w:tr>
      <w:tr>
        <w:trPr>
          <w:trHeight w:val="169"/>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196,429</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213,518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488,811</w:t>
            </w:r>
          </w:p>
        </w:tc>
        <w:tc>
          <w:tcPr>
            <w:tcW w:w="14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549,239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Asset Value Per Common Share</w:t>
            </w:r>
          </w:p>
        </w:tc>
        <w:tc>
          <w:tcPr>
            <w:tcW w:w="180" w:type="dxa"/>
            <w:vAlign w:val="bottom"/>
            <w:tcBorders>
              <w:bottom w:val="single" w:sz="8" w:color="auto"/>
            </w:tcBorders>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21.21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22.76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-3110865</wp:posOffset>
            </wp:positionV>
            <wp:extent cx="77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-2202815</wp:posOffset>
            </wp:positionV>
            <wp:extent cx="77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-2185035</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-2202815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-281940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 to unaudited consolidated financial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00" w:type="dxa"/>
            <w:vAlign w:val="bottom"/>
          </w:tcPr>
          <w:p>
            <w:pPr>
              <w:spacing w:after="0"/>
              <w:rPr>
                <w:sz w:val="16"/>
                <w:szCs w:val="16"/>
                <w:color w:val="auto"/>
              </w:rPr>
            </w:pPr>
          </w:p>
        </w:tc>
        <w:tc>
          <w:tcPr>
            <w:tcW w:w="2520" w:type="dxa"/>
            <w:vAlign w:val="bottom"/>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22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r>
      <w:tr>
        <w:trPr>
          <w:trHeight w:val="169"/>
        </w:trPr>
        <w:tc>
          <w:tcPr>
            <w:tcW w:w="5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r>
      <w:tr>
        <w:trPr>
          <w:trHeight w:val="176"/>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5"/>
        </w:trPr>
        <w:tc>
          <w:tcPr>
            <w:tcW w:w="5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Non-controlled/non-affiliated 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11,913</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14,786</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24,534</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29,632</w:t>
            </w:r>
          </w:p>
        </w:tc>
        <w:tc>
          <w:tcPr>
            <w:tcW w:w="260" w:type="dxa"/>
            <w:vAlign w:val="bottom"/>
            <w:shd w:val="clear" w:color="auto" w:fill="CFF0FC"/>
          </w:tcPr>
          <w:p>
            <w:pPr>
              <w:spacing w:after="0"/>
              <w:rPr>
                <w:sz w:val="15"/>
                <w:szCs w:val="15"/>
                <w:color w:val="auto"/>
              </w:rPr>
            </w:pPr>
          </w:p>
        </w:tc>
      </w:tr>
      <w:tr>
        <w:trPr>
          <w:trHeight w:val="176"/>
        </w:trPr>
        <w:tc>
          <w:tcPr>
            <w:tcW w:w="5660" w:type="dxa"/>
            <w:vAlign w:val="bottom"/>
            <w:tcBorders>
              <w:bottom w:val="single" w:sz="8" w:color="CFF0FC"/>
            </w:tcBorders>
            <w:gridSpan w:val="2"/>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3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3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260" w:type="dxa"/>
            <w:vAlign w:val="bottom"/>
            <w:tcBorders>
              <w:bottom w:val="single" w:sz="8" w:color="CFF0FC"/>
            </w:tcBorders>
          </w:tcPr>
          <w:p>
            <w:pPr>
              <w:spacing w:after="0"/>
              <w:rPr>
                <w:sz w:val="15"/>
                <w:szCs w:val="15"/>
                <w:color w:val="auto"/>
              </w:rPr>
            </w:pPr>
          </w:p>
        </w:tc>
      </w:tr>
      <w:tr>
        <w:trPr>
          <w:trHeight w:val="169"/>
        </w:trPr>
        <w:tc>
          <w:tcPr>
            <w:tcW w:w="56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interest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12,225</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15,412</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24,941</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31,107</w:t>
            </w:r>
          </w:p>
        </w:tc>
        <w:tc>
          <w:tcPr>
            <w:tcW w:w="260" w:type="dxa"/>
            <w:vAlign w:val="bottom"/>
            <w:shd w:val="clear" w:color="auto" w:fill="CFF0FC"/>
          </w:tcPr>
          <w:p>
            <w:pPr>
              <w:spacing w:after="0"/>
              <w:rPr>
                <w:sz w:val="14"/>
                <w:szCs w:val="14"/>
                <w:color w:val="auto"/>
              </w:rPr>
            </w:pPr>
          </w:p>
        </w:tc>
      </w:tr>
      <w:tr>
        <w:trPr>
          <w:trHeight w:val="175"/>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Payment-in-kind income:</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5660" w:type="dxa"/>
            <w:vAlign w:val="bottom"/>
            <w:gridSpan w:val="2"/>
            <w:shd w:val="clear" w:color="auto" w:fill="CFF0FC"/>
          </w:tcPr>
          <w:p>
            <w:pPr>
              <w:ind w:left="200"/>
              <w:spacing w:after="0" w:line="175" w:lineRule="exact"/>
              <w:rPr>
                <w:sz w:val="20"/>
                <w:szCs w:val="20"/>
                <w:color w:val="auto"/>
              </w:rPr>
            </w:pPr>
            <w:r>
              <w:rPr>
                <w:rFonts w:ascii="Times New Roman" w:cs="Times New Roman" w:eastAsia="Times New Roman" w:hAnsi="Times New Roman"/>
                <w:sz w:val="14"/>
                <w:szCs w:val="14"/>
                <w:color w:val="auto"/>
              </w:rPr>
              <w:t>Non-controlled/non-affiliated investments</w:t>
            </w:r>
            <w:r>
              <w:rPr>
                <w:rFonts w:ascii="Times New Roman" w:cs="Times New Roman" w:eastAsia="Times New Roman" w:hAnsi="Times New Roman"/>
                <w:sz w:val="19"/>
                <w:szCs w:val="19"/>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2,386</w:t>
            </w:r>
          </w:p>
        </w:tc>
        <w:tc>
          <w:tcPr>
            <w:tcW w:w="260" w:type="dxa"/>
            <w:vAlign w:val="bottom"/>
            <w:shd w:val="clear" w:color="auto" w:fill="CFF0FC"/>
          </w:tcPr>
          <w:p>
            <w:pPr>
              <w:spacing w:after="0"/>
              <w:rPr>
                <w:sz w:val="15"/>
                <w:szCs w:val="15"/>
                <w:color w:val="auto"/>
              </w:rPr>
            </w:pPr>
          </w:p>
        </w:tc>
      </w:tr>
      <w:tr>
        <w:trPr>
          <w:trHeight w:val="176"/>
        </w:trPr>
        <w:tc>
          <w:tcPr>
            <w:tcW w:w="5660" w:type="dxa"/>
            <w:vAlign w:val="bottom"/>
            <w:tcBorders>
              <w:bottom w:val="single" w:sz="8" w:color="CFF0FC"/>
            </w:tcBorders>
            <w:gridSpan w:val="2"/>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3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3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60" w:type="dxa"/>
            <w:vAlign w:val="bottom"/>
            <w:tcBorders>
              <w:bottom w:val="single" w:sz="8" w:color="CFF0FC"/>
            </w:tcBorders>
          </w:tcPr>
          <w:p>
            <w:pPr>
              <w:spacing w:after="0"/>
              <w:rPr>
                <w:sz w:val="15"/>
                <w:szCs w:val="15"/>
                <w:color w:val="auto"/>
              </w:rPr>
            </w:pPr>
          </w:p>
        </w:tc>
      </w:tr>
      <w:tr>
        <w:trPr>
          <w:trHeight w:val="169"/>
        </w:trPr>
        <w:tc>
          <w:tcPr>
            <w:tcW w:w="56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payment-in-kind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4,207</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260" w:type="dxa"/>
            <w:vAlign w:val="bottom"/>
            <w:shd w:val="clear" w:color="auto" w:fill="CFF0FC"/>
          </w:tcPr>
          <w:p>
            <w:pPr>
              <w:spacing w:after="0"/>
              <w:rPr>
                <w:sz w:val="14"/>
                <w:szCs w:val="14"/>
                <w:color w:val="auto"/>
              </w:rPr>
            </w:pPr>
          </w:p>
        </w:tc>
      </w:tr>
      <w:tr>
        <w:trPr>
          <w:trHeight w:val="176"/>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5"/>
        </w:trPr>
        <w:tc>
          <w:tcPr>
            <w:tcW w:w="5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3,248</w:t>
            </w:r>
          </w:p>
        </w:tc>
        <w:tc>
          <w:tcPr>
            <w:tcW w:w="260" w:type="dxa"/>
            <w:vAlign w:val="bottom"/>
            <w:shd w:val="clear" w:color="auto" w:fill="CFF0FC"/>
          </w:tcPr>
          <w:p>
            <w:pPr>
              <w:spacing w:after="0"/>
              <w:rPr>
                <w:sz w:val="15"/>
                <w:szCs w:val="15"/>
                <w:color w:val="auto"/>
              </w:rPr>
            </w:pPr>
          </w:p>
        </w:tc>
      </w:tr>
      <w:tr>
        <w:trPr>
          <w:trHeight w:val="176"/>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w:t>
            </w:r>
          </w:p>
        </w:tc>
        <w:tc>
          <w:tcPr>
            <w:tcW w:w="120" w:type="dxa"/>
            <w:vAlign w:val="bottom"/>
          </w:tcPr>
          <w:p>
            <w:pPr>
              <w:spacing w:after="0"/>
              <w:rPr>
                <w:sz w:val="15"/>
                <w:szCs w:val="15"/>
                <w:color w:val="auto"/>
              </w:rPr>
            </w:pPr>
          </w:p>
        </w:tc>
        <w:tc>
          <w:tcPr>
            <w:tcW w:w="15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260" w:type="dxa"/>
            <w:vAlign w:val="bottom"/>
          </w:tcPr>
          <w:p>
            <w:pPr>
              <w:spacing w:after="0"/>
              <w:rPr>
                <w:sz w:val="15"/>
                <w:szCs w:val="15"/>
                <w:color w:val="auto"/>
              </w:rPr>
            </w:pPr>
          </w:p>
        </w:tc>
      </w:tr>
      <w:tr>
        <w:trPr>
          <w:trHeight w:val="169"/>
        </w:trPr>
        <w:tc>
          <w:tcPr>
            <w:tcW w:w="56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dividend income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3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3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3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4,788</w:t>
            </w:r>
          </w:p>
        </w:tc>
        <w:tc>
          <w:tcPr>
            <w:tcW w:w="260" w:type="dxa"/>
            <w:vAlign w:val="bottom"/>
            <w:shd w:val="clear" w:color="auto" w:fill="CFF0FC"/>
          </w:tcPr>
          <w:p>
            <w:pPr>
              <w:spacing w:after="0"/>
              <w:rPr>
                <w:sz w:val="14"/>
                <w:szCs w:val="14"/>
                <w:color w:val="auto"/>
              </w:rPr>
            </w:pPr>
          </w:p>
        </w:tc>
      </w:tr>
      <w:tr>
        <w:trPr>
          <w:trHeight w:val="175"/>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Fees and other income</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5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Non-controlled/non-affiliated 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260" w:type="dxa"/>
            <w:vAlign w:val="bottom"/>
            <w:shd w:val="clear" w:color="auto" w:fill="CFF0FC"/>
          </w:tcPr>
          <w:p>
            <w:pPr>
              <w:spacing w:after="0"/>
              <w:rPr>
                <w:sz w:val="15"/>
                <w:szCs w:val="15"/>
                <w:color w:val="auto"/>
              </w:rPr>
            </w:pPr>
          </w:p>
        </w:tc>
      </w:tr>
      <w:tr>
        <w:trPr>
          <w:trHeight w:val="176"/>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120" w:type="dxa"/>
            <w:vAlign w:val="bottom"/>
          </w:tcPr>
          <w:p>
            <w:pPr>
              <w:spacing w:after="0"/>
              <w:rPr>
                <w:sz w:val="15"/>
                <w:szCs w:val="15"/>
                <w:color w:val="auto"/>
              </w:rPr>
            </w:pPr>
          </w:p>
        </w:tc>
        <w:tc>
          <w:tcPr>
            <w:tcW w:w="15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tcPr>
          <w:p>
            <w:pPr>
              <w:spacing w:after="0"/>
              <w:rPr>
                <w:sz w:val="15"/>
                <w:szCs w:val="15"/>
                <w:color w:val="auto"/>
              </w:rPr>
            </w:pPr>
          </w:p>
        </w:tc>
      </w:tr>
      <w:tr>
        <w:trPr>
          <w:trHeight w:val="169"/>
        </w:trPr>
        <w:tc>
          <w:tcPr>
            <w:tcW w:w="566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fees and other income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3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3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3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260" w:type="dxa"/>
            <w:vAlign w:val="bottom"/>
            <w:tcBorders>
              <w:bottom w:val="single" w:sz="8" w:color="CFF0FC"/>
            </w:tcBorders>
            <w:shd w:val="clear" w:color="auto" w:fill="CFF0FC"/>
          </w:tcPr>
          <w:p>
            <w:pPr>
              <w:spacing w:after="0"/>
              <w:rPr>
                <w:sz w:val="14"/>
                <w:szCs w:val="14"/>
                <w:color w:val="auto"/>
              </w:rPr>
            </w:pPr>
          </w:p>
        </w:tc>
      </w:tr>
      <w:tr>
        <w:trPr>
          <w:trHeight w:val="169"/>
        </w:trPr>
        <w:tc>
          <w:tcPr>
            <w:tcW w:w="5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Total investment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16,337</w:t>
            </w:r>
          </w:p>
        </w:tc>
        <w:tc>
          <w:tcPr>
            <w:tcW w:w="32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19,626</w:t>
            </w:r>
          </w:p>
        </w:tc>
        <w:tc>
          <w:tcPr>
            <w:tcW w:w="3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32,863</w:t>
            </w:r>
          </w:p>
        </w:tc>
        <w:tc>
          <w:tcPr>
            <w:tcW w:w="30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39,953</w:t>
            </w:r>
          </w:p>
        </w:tc>
        <w:tc>
          <w:tcPr>
            <w:tcW w:w="260" w:type="dxa"/>
            <w:vAlign w:val="bottom"/>
          </w:tcPr>
          <w:p>
            <w:pPr>
              <w:spacing w:after="0"/>
              <w:rPr>
                <w:sz w:val="14"/>
                <w:szCs w:val="14"/>
                <w:color w:val="auto"/>
              </w:rPr>
            </w:pPr>
          </w:p>
        </w:tc>
      </w:tr>
      <w:tr>
        <w:trPr>
          <w:trHeight w:val="169"/>
        </w:trPr>
        <w:tc>
          <w:tcPr>
            <w:tcW w:w="5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r>
      <w:tr>
        <w:trPr>
          <w:trHeight w:val="176"/>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Management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3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3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w:t>
            </w:r>
          </w:p>
        </w:tc>
        <w:tc>
          <w:tcPr>
            <w:tcW w:w="3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w:t>
            </w:r>
          </w:p>
        </w:tc>
        <w:tc>
          <w:tcPr>
            <w:tcW w:w="260" w:type="dxa"/>
            <w:vAlign w:val="bottom"/>
          </w:tcPr>
          <w:p>
            <w:pPr>
              <w:spacing w:after="0"/>
              <w:rPr>
                <w:sz w:val="15"/>
                <w:szCs w:val="15"/>
                <w:color w:val="auto"/>
              </w:rPr>
            </w:pPr>
          </w:p>
        </w:tc>
      </w:tr>
      <w:tr>
        <w:trPr>
          <w:trHeight w:val="175"/>
        </w:trPr>
        <w:tc>
          <w:tcPr>
            <w:tcW w:w="5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Performance-based incentive fees</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3,488</w:t>
            </w:r>
          </w:p>
        </w:tc>
        <w:tc>
          <w:tcPr>
            <w:tcW w:w="260" w:type="dxa"/>
            <w:vAlign w:val="bottom"/>
            <w:shd w:val="clear" w:color="auto" w:fill="CFF0FC"/>
          </w:tcPr>
          <w:p>
            <w:pPr>
              <w:spacing w:after="0"/>
              <w:rPr>
                <w:sz w:val="15"/>
                <w:szCs w:val="15"/>
                <w:color w:val="auto"/>
              </w:rPr>
            </w:pPr>
          </w:p>
        </w:tc>
      </w:tr>
      <w:tr>
        <w:trPr>
          <w:trHeight w:val="176"/>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Interest and amortization of debt issuance costs</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12,704</w:t>
            </w:r>
          </w:p>
        </w:tc>
        <w:tc>
          <w:tcPr>
            <w:tcW w:w="260" w:type="dxa"/>
            <w:vAlign w:val="bottom"/>
          </w:tcPr>
          <w:p>
            <w:pPr>
              <w:spacing w:after="0"/>
              <w:rPr>
                <w:sz w:val="15"/>
                <w:szCs w:val="15"/>
                <w:color w:val="auto"/>
              </w:rPr>
            </w:pPr>
          </w:p>
        </w:tc>
      </w:tr>
      <w:tr>
        <w:trPr>
          <w:trHeight w:val="175"/>
        </w:trPr>
        <w:tc>
          <w:tcPr>
            <w:tcW w:w="5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Professional fees</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260" w:type="dxa"/>
            <w:vAlign w:val="bottom"/>
            <w:shd w:val="clear" w:color="auto" w:fill="CFF0FC"/>
          </w:tcPr>
          <w:p>
            <w:pPr>
              <w:spacing w:after="0"/>
              <w:rPr>
                <w:sz w:val="15"/>
                <w:szCs w:val="15"/>
                <w:color w:val="auto"/>
              </w:rPr>
            </w:pPr>
          </w:p>
        </w:tc>
      </w:tr>
      <w:tr>
        <w:trPr>
          <w:trHeight w:val="176"/>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260" w:type="dxa"/>
            <w:vAlign w:val="bottom"/>
          </w:tcPr>
          <w:p>
            <w:pPr>
              <w:spacing w:after="0"/>
              <w:rPr>
                <w:sz w:val="15"/>
                <w:szCs w:val="15"/>
                <w:color w:val="auto"/>
              </w:rPr>
            </w:pPr>
          </w:p>
        </w:tc>
      </w:tr>
      <w:tr>
        <w:trPr>
          <w:trHeight w:val="175"/>
        </w:trPr>
        <w:tc>
          <w:tcPr>
            <w:tcW w:w="56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1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3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3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260" w:type="dxa"/>
            <w:vAlign w:val="bottom"/>
            <w:tcBorders>
              <w:bottom w:val="single" w:sz="8" w:color="CFF0FC"/>
            </w:tcBorders>
            <w:shd w:val="clear" w:color="auto" w:fill="CFF0FC"/>
          </w:tcPr>
          <w:p>
            <w:pPr>
              <w:spacing w:after="0"/>
              <w:rPr>
                <w:sz w:val="15"/>
                <w:szCs w:val="15"/>
                <w:color w:val="auto"/>
              </w:rPr>
            </w:pPr>
          </w:p>
        </w:tc>
      </w:tr>
      <w:tr>
        <w:trPr>
          <w:trHeight w:val="169"/>
        </w:trPr>
        <w:tc>
          <w:tcPr>
            <w:tcW w:w="5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Total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9,860</w:t>
            </w:r>
          </w:p>
        </w:tc>
        <w:tc>
          <w:tcPr>
            <w:tcW w:w="32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11,711</w:t>
            </w:r>
          </w:p>
        </w:tc>
        <w:tc>
          <w:tcPr>
            <w:tcW w:w="3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20,161</w:t>
            </w:r>
          </w:p>
        </w:tc>
        <w:tc>
          <w:tcPr>
            <w:tcW w:w="30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23,509</w:t>
            </w:r>
          </w:p>
        </w:tc>
        <w:tc>
          <w:tcPr>
            <w:tcW w:w="260" w:type="dxa"/>
            <w:vAlign w:val="bottom"/>
          </w:tcPr>
          <w:p>
            <w:pPr>
              <w:spacing w:after="0"/>
              <w:rPr>
                <w:sz w:val="14"/>
                <w:szCs w:val="14"/>
                <w:color w:val="auto"/>
              </w:rPr>
            </w:pPr>
          </w:p>
        </w:tc>
      </w:tr>
      <w:tr>
        <w:trPr>
          <w:trHeight w:val="169"/>
        </w:trPr>
        <w:tc>
          <w:tcPr>
            <w:tcW w:w="56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6,477</w:t>
            </w:r>
          </w:p>
        </w:tc>
        <w:tc>
          <w:tcPr>
            <w:tcW w:w="3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7,915</w:t>
            </w:r>
          </w:p>
        </w:tc>
        <w:tc>
          <w:tcPr>
            <w:tcW w:w="3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12,702</w:t>
            </w:r>
          </w:p>
        </w:tc>
        <w:tc>
          <w:tcPr>
            <w:tcW w:w="3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16,444</w:t>
            </w:r>
          </w:p>
        </w:tc>
        <w:tc>
          <w:tcPr>
            <w:tcW w:w="260" w:type="dxa"/>
            <w:vAlign w:val="bottom"/>
            <w:tcBorders>
              <w:bottom w:val="single" w:sz="8" w:color="CFF0FC"/>
            </w:tcBorders>
            <w:shd w:val="clear" w:color="auto" w:fill="CFF0FC"/>
          </w:tcPr>
          <w:p>
            <w:pPr>
              <w:spacing w:after="0"/>
              <w:rPr>
                <w:sz w:val="14"/>
                <w:szCs w:val="14"/>
                <w:color w:val="auto"/>
              </w:rPr>
            </w:pPr>
          </w:p>
        </w:tc>
      </w:tr>
      <w:tr>
        <w:trPr>
          <w:trHeight w:val="16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GAINS (LOSSES) ON INVESTMENTS</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5"/>
        </w:trPr>
        <w:tc>
          <w:tcPr>
            <w:tcW w:w="5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gains (losses) from investment transactions:</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175"/>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Non-controlled/non-affiliated investments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(694 )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(5,267 )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(2,335 )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(8,352 )</w:t>
            </w:r>
          </w:p>
        </w:tc>
      </w:tr>
      <w:tr>
        <w:trPr>
          <w:trHeight w:val="175"/>
        </w:trPr>
        <w:tc>
          <w:tcPr>
            <w:tcW w:w="5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(1,124 )</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(1,124 )</w:t>
            </w:r>
          </w:p>
        </w:tc>
      </w:tr>
      <w:tr>
        <w:trPr>
          <w:trHeight w:val="175"/>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w:t>
            </w:r>
          </w:p>
        </w:tc>
        <w:tc>
          <w:tcPr>
            <w:tcW w:w="120" w:type="dxa"/>
            <w:vAlign w:val="bottom"/>
          </w:tcPr>
          <w:p>
            <w:pPr>
              <w:spacing w:after="0"/>
              <w:rPr>
                <w:sz w:val="15"/>
                <w:szCs w:val="15"/>
                <w:color w:val="auto"/>
              </w:rPr>
            </w:pPr>
          </w:p>
        </w:tc>
        <w:tc>
          <w:tcPr>
            <w:tcW w:w="15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(6,228 )</w:t>
            </w:r>
          </w:p>
        </w:tc>
        <w:tc>
          <w:tcPr>
            <w:tcW w:w="220" w:type="dxa"/>
            <w:vAlign w:val="bottom"/>
          </w:tcPr>
          <w:p>
            <w:pPr>
              <w:spacing w:after="0"/>
              <w:rPr>
                <w:sz w:val="15"/>
                <w:szCs w:val="15"/>
                <w:color w:val="auto"/>
              </w:rPr>
            </w:pP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(6,644 )</w:t>
            </w:r>
          </w:p>
        </w:tc>
        <w:tc>
          <w:tcPr>
            <w:tcW w:w="220" w:type="dxa"/>
            <w:vAlign w:val="bottom"/>
          </w:tcPr>
          <w:p>
            <w:pPr>
              <w:spacing w:after="0"/>
              <w:rPr>
                <w:sz w:val="15"/>
                <w:szCs w:val="15"/>
                <w:color w:val="auto"/>
              </w:rPr>
            </w:pPr>
          </w:p>
        </w:tc>
        <w:tc>
          <w:tcPr>
            <w:tcW w:w="10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(80 )</w:t>
            </w:r>
          </w:p>
        </w:tc>
      </w:tr>
      <w:tr>
        <w:trPr>
          <w:trHeight w:val="169"/>
        </w:trPr>
        <w:tc>
          <w:tcPr>
            <w:tcW w:w="5660" w:type="dxa"/>
            <w:vAlign w:val="bottom"/>
            <w:tcBorders>
              <w:top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(6,922</w:t>
            </w:r>
          </w:p>
        </w:tc>
        <w:tc>
          <w:tcPr>
            <w:tcW w:w="320" w:type="dxa"/>
            <w:vAlign w:val="bottom"/>
            <w:tcBorders>
              <w:top w:val="single" w:sz="8" w:color="CFF0FC"/>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(6,471</w:t>
            </w:r>
          </w:p>
        </w:tc>
        <w:tc>
          <w:tcPr>
            <w:tcW w:w="300" w:type="dxa"/>
            <w:vAlign w:val="bottom"/>
            <w:tcBorders>
              <w:top w:val="single" w:sz="8" w:color="CFF0FC"/>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(8,979</w:t>
            </w:r>
          </w:p>
        </w:tc>
        <w:tc>
          <w:tcPr>
            <w:tcW w:w="300" w:type="dxa"/>
            <w:vAlign w:val="bottom"/>
            <w:tcBorders>
              <w:top w:val="single" w:sz="8" w:color="CFF0FC"/>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(9,556</w:t>
            </w:r>
          </w:p>
        </w:tc>
        <w:tc>
          <w:tcPr>
            <w:tcW w:w="260" w:type="dxa"/>
            <w:vAlign w:val="bottom"/>
            <w:tcBorders>
              <w:top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5"/>
        </w:trPr>
        <w:tc>
          <w:tcPr>
            <w:tcW w:w="5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Non-controlled/non-affiliated 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(10,163 )</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(5,478 )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(10,822 )</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(8,535 )</w:t>
            </w:r>
          </w:p>
        </w:tc>
      </w:tr>
      <w:tr>
        <w:trPr>
          <w:trHeight w:val="175"/>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120" w:type="dxa"/>
            <w:vAlign w:val="bottom"/>
          </w:tcPr>
          <w:p>
            <w:pPr>
              <w:spacing w:after="0"/>
              <w:rPr>
                <w:sz w:val="15"/>
                <w:szCs w:val="15"/>
                <w:color w:val="auto"/>
              </w:rPr>
            </w:pPr>
          </w:p>
        </w:tc>
        <w:tc>
          <w:tcPr>
            <w:tcW w:w="15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(2,055 )</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(1,915 )</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260" w:type="dxa"/>
            <w:vAlign w:val="bottom"/>
          </w:tcPr>
          <w:p>
            <w:pPr>
              <w:spacing w:after="0"/>
              <w:rPr>
                <w:sz w:val="15"/>
                <w:szCs w:val="15"/>
                <w:color w:val="auto"/>
              </w:rPr>
            </w:pPr>
          </w:p>
        </w:tc>
      </w:tr>
      <w:tr>
        <w:trPr>
          <w:trHeight w:val="175"/>
        </w:trPr>
        <w:tc>
          <w:tcPr>
            <w:tcW w:w="5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6,842</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(2,056 )</w:t>
            </w:r>
          </w:p>
        </w:tc>
      </w:tr>
      <w:tr>
        <w:trPr>
          <w:trHeight w:val="169"/>
        </w:trPr>
        <w:tc>
          <w:tcPr>
            <w:tcW w:w="5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Net change in unrealized gain (loss) on investments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(5,966</w:t>
            </w:r>
          </w:p>
        </w:tc>
        <w:tc>
          <w:tcPr>
            <w:tcW w:w="3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(4,176</w:t>
            </w:r>
          </w:p>
        </w:tc>
        <w:tc>
          <w:tcPr>
            <w:tcW w:w="3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3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(10,136</w:t>
            </w:r>
          </w:p>
        </w:tc>
        <w:tc>
          <w:tcPr>
            <w:tcW w:w="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5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(provision) benefit on realized and unrealized gains (losses) on 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(164 )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260" w:type="dxa"/>
            <w:vAlign w:val="bottom"/>
            <w:shd w:val="clear" w:color="auto" w:fill="CFF0FC"/>
          </w:tcPr>
          <w:p>
            <w:pPr>
              <w:spacing w:after="0"/>
              <w:rPr>
                <w:sz w:val="14"/>
                <w:szCs w:val="14"/>
                <w:color w:val="auto"/>
              </w:rPr>
            </w:pPr>
          </w:p>
        </w:tc>
      </w:tr>
      <w:tr>
        <w:trPr>
          <w:trHeight w:val="20"/>
        </w:trPr>
        <w:tc>
          <w:tcPr>
            <w:tcW w:w="2240" w:type="dxa"/>
            <w:vAlign w:val="bottom"/>
            <w:shd w:val="clear" w:color="auto" w:fill="CFF0FC"/>
          </w:tcPr>
          <w:p>
            <w:pPr>
              <w:spacing w:after="0" w:line="20" w:lineRule="exact"/>
              <w:rPr>
                <w:sz w:val="1"/>
                <w:szCs w:val="1"/>
                <w:color w:val="auto"/>
              </w:rPr>
            </w:pPr>
          </w:p>
        </w:tc>
        <w:tc>
          <w:tcPr>
            <w:tcW w:w="34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69"/>
        </w:trPr>
        <w:tc>
          <w:tcPr>
            <w:tcW w:w="5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Net realized and unrealized appreciation (depreciation) on investments, net of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(12,810 )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(10,811 )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(14,337 )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(19,285 )</w:t>
            </w:r>
          </w:p>
        </w:tc>
      </w:tr>
      <w:tr>
        <w:trPr>
          <w:trHeight w:val="20"/>
        </w:trPr>
        <w:tc>
          <w:tcPr>
            <w:tcW w:w="2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9"/>
        </w:trPr>
        <w:tc>
          <w:tcPr>
            <w:tcW w:w="56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Net realized gain (loss) on extinguishment of debt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(39 )</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(218 )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(252 )</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(218 )</w:t>
            </w:r>
          </w:p>
        </w:tc>
      </w:tr>
      <w:tr>
        <w:trPr>
          <w:trHeight w:val="20"/>
        </w:trPr>
        <w:tc>
          <w:tcPr>
            <w:tcW w:w="2240" w:type="dxa"/>
            <w:vAlign w:val="bottom"/>
            <w:shd w:val="clear" w:color="auto" w:fill="CFF0FC"/>
          </w:tcPr>
          <w:p>
            <w:pPr>
              <w:spacing w:after="0" w:line="20" w:lineRule="exact"/>
              <w:rPr>
                <w:sz w:val="1"/>
                <w:szCs w:val="1"/>
                <w:color w:val="auto"/>
              </w:rPr>
            </w:pPr>
          </w:p>
        </w:tc>
        <w:tc>
          <w:tcPr>
            <w:tcW w:w="34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6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(6,372 )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(3,114 )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(1,887 )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(3,059 )</w:t>
            </w:r>
          </w:p>
        </w:tc>
      </w:tr>
      <w:tr>
        <w:trPr>
          <w:trHeight w:val="20"/>
        </w:trPr>
        <w:tc>
          <w:tcPr>
            <w:tcW w:w="2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6"/>
        </w:trPr>
        <w:tc>
          <w:tcPr>
            <w:tcW w:w="5660" w:type="dxa"/>
            <w:vAlign w:val="bottom"/>
            <w:gridSpan w:val="2"/>
            <w:shd w:val="clear" w:color="auto" w:fill="CFF0FC"/>
          </w:tcPr>
          <w:p>
            <w:pPr>
              <w:ind w:left="200"/>
              <w:spacing w:after="0" w:line="156"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 per Common Share:</w:t>
            </w: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r>
      <w:tr>
        <w:trPr>
          <w:trHeight w:val="175"/>
        </w:trPr>
        <w:tc>
          <w:tcPr>
            <w:tcW w:w="5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(0.69 )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(0.33 )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(0.20 )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(0.32 )</w:t>
            </w:r>
          </w:p>
        </w:tc>
      </w:tr>
      <w:tr>
        <w:trPr>
          <w:trHeight w:val="175"/>
        </w:trPr>
        <w:tc>
          <w:tcPr>
            <w:tcW w:w="5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Investment Income Per Common Share:</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175"/>
        </w:trPr>
        <w:tc>
          <w:tcPr>
            <w:tcW w:w="5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3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0.83</w:t>
            </w:r>
          </w:p>
        </w:tc>
        <w:tc>
          <w:tcPr>
            <w:tcW w:w="3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3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60" w:type="dxa"/>
            <w:vAlign w:val="bottom"/>
          </w:tcPr>
          <w:p>
            <w:pPr>
              <w:spacing w:after="0"/>
              <w:rPr>
                <w:sz w:val="15"/>
                <w:szCs w:val="15"/>
                <w:color w:val="auto"/>
              </w:rPr>
            </w:pPr>
          </w:p>
        </w:tc>
      </w:tr>
      <w:tr>
        <w:trPr>
          <w:trHeight w:val="175"/>
        </w:trPr>
        <w:tc>
          <w:tcPr>
            <w:tcW w:w="5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Weighted Average Shares of Common Stock Outstanding — Basic and Diluted</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9,293,687</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9,541,722</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9,319,272</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9,548,424</w:t>
            </w:r>
          </w:p>
        </w:tc>
        <w:tc>
          <w:tcPr>
            <w:tcW w:w="260" w:type="dxa"/>
            <w:vAlign w:val="bottom"/>
            <w:shd w:val="clear" w:color="auto" w:fill="CFF0FC"/>
          </w:tcPr>
          <w:p>
            <w:pPr>
              <w:spacing w:after="0"/>
              <w:rPr>
                <w:sz w:val="15"/>
                <w:szCs w:val="15"/>
                <w:color w:val="auto"/>
              </w:rPr>
            </w:pPr>
          </w:p>
        </w:tc>
      </w:tr>
      <w:tr>
        <w:trPr>
          <w:trHeight w:val="81"/>
        </w:trPr>
        <w:tc>
          <w:tcPr>
            <w:tcW w:w="2240" w:type="dxa"/>
            <w:vAlign w:val="bottom"/>
            <w:tcBorders>
              <w:bottom w:val="single" w:sz="8" w:color="auto"/>
            </w:tcBorders>
          </w:tcPr>
          <w:p>
            <w:pPr>
              <w:spacing w:after="0"/>
              <w:rPr>
                <w:sz w:val="7"/>
                <w:szCs w:val="7"/>
                <w:color w:val="auto"/>
              </w:rPr>
            </w:pPr>
          </w:p>
        </w:tc>
        <w:tc>
          <w:tcPr>
            <w:tcW w:w="3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-5005705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-5005705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-5005705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-5005705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-4551045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-4551045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-4551045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-4551045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-3522345</wp:posOffset>
            </wp:positionV>
            <wp:extent cx="76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-3522345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-3522345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-3522345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-2614295</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-2614295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-2614295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-2614295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-2373630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-2373630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-2373630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-2373630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-1807845</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-1807845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-1807845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-1807845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-1255395</wp:posOffset>
            </wp:positionV>
            <wp:extent cx="10223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235" cy="154305"/>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-1255395</wp:posOffset>
            </wp:positionV>
            <wp:extent cx="9398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-1255395</wp:posOffset>
            </wp:positionV>
            <wp:extent cx="939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6961505</wp:posOffset>
            </wp:positionH>
            <wp:positionV relativeFrom="paragraph">
              <wp:posOffset>-1255395</wp:posOffset>
            </wp:positionV>
            <wp:extent cx="9398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-1002030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-1002030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-1002030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-1002030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-762000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-762000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80" w:right="20" w:hanging="372"/>
        <w:spacing w:after="0"/>
        <w:tabs>
          <w:tab w:leader="none" w:pos="3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six months ended June 30, 2024, the Company received $0.1 million of non-recurring fee income that was paid in-kind and included in this financial statement line item. During the six months ended June 30, 2023, the Company received $0.3 million of non-recurring fee income that was paid in-kind and included in this financial statement line item.</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 to unaudited consolidated financial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5" w:name="page6"/>
    <w:bookmarkEnd w:id="5"/>
    <w:p>
      <w:pPr>
        <w:ind w:left="4100"/>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ind w:left="3440"/>
        <w:spacing w:after="0" w:line="184" w:lineRule="auto"/>
        <w:rPr>
          <w:sz w:val="20"/>
          <w:szCs w:val="20"/>
          <w:color w:val="auto"/>
        </w:rPr>
      </w:pPr>
      <w:r>
        <w:rPr>
          <w:rFonts w:ascii="Times New Roman" w:cs="Times New Roman" w:eastAsia="Times New Roman" w:hAnsi="Times New Roman"/>
          <w:sz w:val="14"/>
          <w:szCs w:val="14"/>
          <w:b w:val="1"/>
          <w:bCs w:val="1"/>
          <w:color w:val="auto"/>
        </w:rPr>
        <w:t>CONSOLIDATED STATEMENTS OF CHANGES IN NET ASSETS</w:t>
      </w:r>
      <w:r>
        <w:rPr>
          <w:rFonts w:ascii="Times New Roman" w:cs="Times New Roman" w:eastAsia="Times New Roman" w:hAnsi="Times New Roman"/>
          <w:sz w:val="19"/>
          <w:szCs w:val="19"/>
          <w:b w:val="1"/>
          <w:bCs w:val="1"/>
          <w:color w:val="auto"/>
          <w:vertAlign w:val="superscript"/>
        </w:rPr>
        <w:t>(1)</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60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r>
      <w:tr>
        <w:trPr>
          <w:trHeight w:val="16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6"/>
        </w:trPr>
        <w:tc>
          <w:tcPr>
            <w:tcW w:w="6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6,477</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7,915</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12,702</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16,444</w:t>
            </w:r>
          </w:p>
        </w:tc>
        <w:tc>
          <w:tcPr>
            <w:tcW w:w="140" w:type="dxa"/>
            <w:vAlign w:val="bottom"/>
          </w:tcPr>
          <w:p>
            <w:pPr>
              <w:spacing w:after="0"/>
              <w:rPr>
                <w:sz w:val="15"/>
                <w:szCs w:val="15"/>
                <w:color w:val="auto"/>
              </w:rPr>
            </w:pPr>
          </w:p>
        </w:tc>
      </w:tr>
      <w:tr>
        <w:trPr>
          <w:trHeight w:val="175"/>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(6,922 )</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(6,471 )</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(8,979 )</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(9,556 )</w:t>
            </w:r>
          </w:p>
        </w:tc>
        <w:tc>
          <w:tcPr>
            <w:tcW w:w="140" w:type="dxa"/>
            <w:vAlign w:val="bottom"/>
            <w:shd w:val="clear" w:color="auto" w:fill="CFF0FC"/>
          </w:tcPr>
          <w:p>
            <w:pPr>
              <w:spacing w:after="0"/>
              <w:rPr>
                <w:sz w:val="15"/>
                <w:szCs w:val="15"/>
                <w:color w:val="auto"/>
              </w:rPr>
            </w:pPr>
          </w:p>
        </w:tc>
      </w:tr>
      <w:tr>
        <w:trPr>
          <w:trHeight w:val="176"/>
        </w:trPr>
        <w:tc>
          <w:tcPr>
            <w:tcW w:w="6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realized gain (loss) from extinguishment of debt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(218 )</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(218 )</w:t>
            </w:r>
          </w:p>
        </w:tc>
        <w:tc>
          <w:tcPr>
            <w:tcW w:w="140" w:type="dxa"/>
            <w:vAlign w:val="bottom"/>
          </w:tcPr>
          <w:p>
            <w:pPr>
              <w:spacing w:after="0"/>
              <w:rPr>
                <w:sz w:val="15"/>
                <w:szCs w:val="15"/>
                <w:color w:val="auto"/>
              </w:rPr>
            </w:pPr>
          </w:p>
        </w:tc>
      </w:tr>
      <w:tr>
        <w:trPr>
          <w:trHeight w:val="176"/>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(5,966 )</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(4,176 )</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(5,895 )</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(10,136 )</w:t>
            </w:r>
          </w:p>
        </w:tc>
        <w:tc>
          <w:tcPr>
            <w:tcW w:w="140" w:type="dxa"/>
            <w:vAlign w:val="bottom"/>
            <w:shd w:val="clear" w:color="auto" w:fill="CFF0FC"/>
          </w:tcPr>
          <w:p>
            <w:pPr>
              <w:spacing w:after="0"/>
              <w:rPr>
                <w:sz w:val="15"/>
                <w:szCs w:val="15"/>
                <w:color w:val="auto"/>
              </w:rPr>
            </w:pPr>
          </w:p>
        </w:tc>
      </w:tr>
      <w:tr>
        <w:trPr>
          <w:trHeight w:val="175"/>
        </w:trPr>
        <w:tc>
          <w:tcPr>
            <w:tcW w:w="6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Tax (provision) benefit on realized and unrealized gains (losses) on investments</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537</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407</w:t>
            </w:r>
          </w:p>
        </w:tc>
        <w:tc>
          <w:tcPr>
            <w:tcW w:w="140" w:type="dxa"/>
            <w:vAlign w:val="bottom"/>
          </w:tcPr>
          <w:p>
            <w:pPr>
              <w:spacing w:after="0"/>
              <w:rPr>
                <w:sz w:val="15"/>
                <w:szCs w:val="15"/>
                <w:color w:val="auto"/>
              </w:rPr>
            </w:pPr>
          </w:p>
        </w:tc>
      </w:tr>
      <w:tr>
        <w:trPr>
          <w:trHeight w:val="169"/>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(6,372 )</w:t>
            </w: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(3,114 )</w:t>
            </w:r>
          </w:p>
        </w:tc>
        <w:tc>
          <w:tcPr>
            <w:tcW w:w="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(1,887 )</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(3,059 )</w:t>
            </w:r>
          </w:p>
        </w:tc>
        <w:tc>
          <w:tcPr>
            <w:tcW w:w="140" w:type="dxa"/>
            <w:vAlign w:val="bottom"/>
            <w:shd w:val="clear" w:color="auto" w:fill="CFF0FC"/>
          </w:tcPr>
          <w:p>
            <w:pPr>
              <w:spacing w:after="0"/>
              <w:rPr>
                <w:sz w:val="14"/>
                <w:szCs w:val="14"/>
                <w:color w:val="auto"/>
              </w:rPr>
            </w:pPr>
          </w:p>
        </w:tc>
      </w:tr>
      <w:tr>
        <w:trPr>
          <w:trHeight w:val="169"/>
        </w:trPr>
        <w:tc>
          <w:tcPr>
            <w:tcW w:w="60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r>
      <w:tr>
        <w:trPr>
          <w:trHeight w:val="175"/>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 distributions:</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6"/>
        </w:trPr>
        <w:tc>
          <w:tcPr>
            <w:tcW w:w="6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declared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(6,411 )</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(6,579 )</w:t>
            </w:r>
          </w:p>
        </w:tc>
        <w:tc>
          <w:tcPr>
            <w:tcW w:w="160" w:type="dxa"/>
            <w:vAlign w:val="bottom"/>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(12,854 )</w:t>
            </w: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(13,074 )</w:t>
            </w:r>
          </w:p>
        </w:tc>
        <w:tc>
          <w:tcPr>
            <w:tcW w:w="140" w:type="dxa"/>
            <w:vAlign w:val="bottom"/>
          </w:tcPr>
          <w:p>
            <w:pPr>
              <w:spacing w:after="0"/>
              <w:rPr>
                <w:sz w:val="15"/>
                <w:szCs w:val="15"/>
                <w:color w:val="auto"/>
              </w:rPr>
            </w:pPr>
          </w:p>
        </w:tc>
      </w:tr>
      <w:tr>
        <w:trPr>
          <w:trHeight w:val="169"/>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decrease in net assets resulting from stockholder distributions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(6,411 )</w:t>
            </w: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(6,579 )</w:t>
            </w:r>
          </w:p>
        </w:tc>
        <w:tc>
          <w:tcPr>
            <w:tcW w:w="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(12,854 )</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(13,074 )</w:t>
            </w:r>
          </w:p>
        </w:tc>
        <w:tc>
          <w:tcPr>
            <w:tcW w:w="140" w:type="dxa"/>
            <w:vAlign w:val="bottom"/>
            <w:shd w:val="clear" w:color="auto" w:fill="CFF0FC"/>
          </w:tcPr>
          <w:p>
            <w:pPr>
              <w:spacing w:after="0"/>
              <w:rPr>
                <w:sz w:val="14"/>
                <w:szCs w:val="14"/>
                <w:color w:val="auto"/>
              </w:rPr>
            </w:pPr>
          </w:p>
        </w:tc>
      </w:tr>
      <w:tr>
        <w:trPr>
          <w:trHeight w:val="175"/>
        </w:trPr>
        <w:tc>
          <w:tcPr>
            <w:tcW w:w="6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Capital share transactions:</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5"/>
        </w:trPr>
        <w:tc>
          <w:tcPr>
            <w:tcW w:w="6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issued under dividend reinvestment plan</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158</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158</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368</w:t>
            </w:r>
          </w:p>
        </w:tc>
        <w:tc>
          <w:tcPr>
            <w:tcW w:w="140" w:type="dxa"/>
            <w:vAlign w:val="bottom"/>
          </w:tcPr>
          <w:p>
            <w:pPr>
              <w:spacing w:after="0"/>
              <w:rPr>
                <w:sz w:val="15"/>
                <w:szCs w:val="15"/>
                <w:color w:val="auto"/>
              </w:rPr>
            </w:pPr>
          </w:p>
        </w:tc>
      </w:tr>
      <w:tr>
        <w:trPr>
          <w:trHeight w:val="176"/>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 repurchases</w:t>
            </w:r>
          </w:p>
        </w:tc>
        <w:tc>
          <w:tcPr>
            <w:tcW w:w="1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(1,553 )</w:t>
            </w:r>
          </w:p>
        </w:tc>
        <w:tc>
          <w:tcPr>
            <w:tcW w:w="12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(553 )</w:t>
            </w:r>
          </w:p>
        </w:tc>
        <w:tc>
          <w:tcPr>
            <w:tcW w:w="1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(2,506 )</w:t>
            </w:r>
          </w:p>
        </w:tc>
        <w:tc>
          <w:tcPr>
            <w:tcW w:w="14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(1,345 )</w:t>
            </w:r>
          </w:p>
        </w:tc>
        <w:tc>
          <w:tcPr>
            <w:tcW w:w="140" w:type="dxa"/>
            <w:vAlign w:val="bottom"/>
            <w:shd w:val="clear" w:color="auto" w:fill="CFF0FC"/>
          </w:tcPr>
          <w:p>
            <w:pPr>
              <w:spacing w:after="0"/>
              <w:rPr>
                <w:sz w:val="15"/>
                <w:szCs w:val="15"/>
                <w:color w:val="auto"/>
              </w:rPr>
            </w:pPr>
          </w:p>
        </w:tc>
      </w:tr>
      <w:tr>
        <w:trPr>
          <w:trHeight w:val="169"/>
        </w:trPr>
        <w:tc>
          <w:tcPr>
            <w:tcW w:w="6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increase (decrease) in net assets resulting from capital share transactions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(1,395 )</w:t>
            </w: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6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(2,348 )</w:t>
            </w:r>
          </w:p>
        </w:tc>
        <w:tc>
          <w:tcPr>
            <w:tcW w:w="1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(977 )</w:t>
            </w:r>
          </w:p>
        </w:tc>
        <w:tc>
          <w:tcPr>
            <w:tcW w:w="140" w:type="dxa"/>
            <w:vAlign w:val="bottom"/>
          </w:tcPr>
          <w:p>
            <w:pPr>
              <w:spacing w:after="0"/>
              <w:rPr>
                <w:sz w:val="14"/>
                <w:szCs w:val="14"/>
                <w:color w:val="auto"/>
              </w:rPr>
            </w:pPr>
          </w:p>
        </w:tc>
      </w:tr>
      <w:tr>
        <w:trPr>
          <w:trHeight w:val="175"/>
        </w:trPr>
        <w:tc>
          <w:tcPr>
            <w:tcW w:w="6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6"/>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assets at beginning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210,607</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225,106</w:t>
            </w:r>
          </w:p>
        </w:tc>
        <w:tc>
          <w:tcPr>
            <w:tcW w:w="160" w:type="dxa"/>
            <w:vAlign w:val="bottom"/>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213,518</w:t>
            </w: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232,123</w:t>
            </w:r>
          </w:p>
        </w:tc>
        <w:tc>
          <w:tcPr>
            <w:tcW w:w="140" w:type="dxa"/>
            <w:vAlign w:val="bottom"/>
          </w:tcPr>
          <w:p>
            <w:pPr>
              <w:spacing w:after="0"/>
              <w:rPr>
                <w:sz w:val="15"/>
                <w:szCs w:val="15"/>
                <w:color w:val="auto"/>
              </w:rPr>
            </w:pPr>
          </w:p>
        </w:tc>
      </w:tr>
      <w:tr>
        <w:trPr>
          <w:trHeight w:val="209"/>
        </w:trPr>
        <w:tc>
          <w:tcPr>
            <w:tcW w:w="6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196,429</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215,013</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196,429</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215,013</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156"/>
        </w:trPr>
        <w:tc>
          <w:tcPr>
            <w:tcW w:w="60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Net asset value per common share</w:t>
            </w: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21.21</w:t>
            </w:r>
          </w:p>
        </w:tc>
        <w:tc>
          <w:tcPr>
            <w:tcW w:w="360" w:type="dxa"/>
            <w:vAlign w:val="bottom"/>
            <w:gridSpan w:val="2"/>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22.54</w:t>
            </w:r>
          </w:p>
        </w:tc>
        <w:tc>
          <w:tcPr>
            <w:tcW w:w="380" w:type="dxa"/>
            <w:vAlign w:val="bottom"/>
            <w:gridSpan w:val="2"/>
          </w:tcPr>
          <w:p>
            <w:pPr>
              <w:ind w:left="1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21.21</w:t>
            </w:r>
          </w:p>
        </w:tc>
        <w:tc>
          <w:tcPr>
            <w:tcW w:w="340" w:type="dxa"/>
            <w:vAlign w:val="bottom"/>
            <w:gridSpan w:val="2"/>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22.54</w:t>
            </w:r>
          </w:p>
        </w:tc>
        <w:tc>
          <w:tcPr>
            <w:tcW w:w="140" w:type="dxa"/>
            <w:vAlign w:val="bottom"/>
          </w:tcPr>
          <w:p>
            <w:pPr>
              <w:spacing w:after="0"/>
              <w:rPr>
                <w:sz w:val="13"/>
                <w:szCs w:val="13"/>
                <w:color w:val="auto"/>
              </w:rPr>
            </w:pPr>
          </w:p>
        </w:tc>
      </w:tr>
      <w:tr>
        <w:trPr>
          <w:trHeight w:val="17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shares outstanding at end of period</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9,260,495</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9,537,236</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9,260,495</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9,537,236</w:t>
            </w:r>
          </w:p>
        </w:tc>
        <w:tc>
          <w:tcPr>
            <w:tcW w:w="14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-1619885</wp:posOffset>
            </wp:positionV>
            <wp:extent cx="1028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-1619885</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-248285</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-231140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-248285</wp:posOffset>
            </wp:positionV>
            <wp:extent cx="1028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-231140</wp:posOffset>
            </wp:positionV>
            <wp:extent cx="1028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-248285</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-231140</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-248285</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-231140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14230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6"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9 “Stockholders' Equity” for additional information on changes in components of Stockholders' Equity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 to unaudited consolidated financial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5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4"/>
                <w:szCs w:val="14"/>
                <w:color w:val="auto"/>
              </w:rPr>
            </w:pPr>
          </w:p>
        </w:tc>
        <w:tc>
          <w:tcPr>
            <w:tcW w:w="1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0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r>
      <w:tr>
        <w:trPr>
          <w:trHeight w:val="176"/>
        </w:trPr>
        <w:tc>
          <w:tcPr>
            <w:tcW w:w="7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(1,887 )</w:t>
            </w:r>
          </w:p>
        </w:tc>
        <w:tc>
          <w:tcPr>
            <w:tcW w:w="1200" w:type="dxa"/>
            <w:vAlign w:val="bottom"/>
            <w:gridSpan w:val="2"/>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(3,059 )</w:t>
            </w:r>
          </w:p>
        </w:tc>
        <w:tc>
          <w:tcPr>
            <w:tcW w:w="140" w:type="dxa"/>
            <w:vAlign w:val="bottom"/>
          </w:tcPr>
          <w:p>
            <w:pPr>
              <w:spacing w:after="0"/>
              <w:rPr>
                <w:sz w:val="15"/>
                <w:szCs w:val="15"/>
                <w:color w:val="auto"/>
              </w:rPr>
            </w:pPr>
          </w:p>
        </w:tc>
      </w:tr>
      <w:tr>
        <w:trPr>
          <w:trHeight w:val="139"/>
        </w:trPr>
        <w:tc>
          <w:tcPr>
            <w:tcW w:w="7560" w:type="dxa"/>
            <w:vAlign w:val="bottom"/>
            <w:shd w:val="clear" w:color="auto" w:fill="CFF0FC"/>
          </w:tcPr>
          <w:p>
            <w:pPr>
              <w:ind w:left="160"/>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increase (decrease) in net assets resulting from operations to net cash provided by (used in)</w:t>
            </w:r>
          </w:p>
        </w:tc>
        <w:tc>
          <w:tcPr>
            <w:tcW w:w="10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85"/>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operations:</w:t>
            </w:r>
          </w:p>
        </w:tc>
        <w:tc>
          <w:tcPr>
            <w:tcW w:w="10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176"/>
        </w:trPr>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realized (gain) loss on investment transactions</w:t>
            </w:r>
          </w:p>
        </w:tc>
        <w:tc>
          <w:tcPr>
            <w:tcW w:w="104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8,979</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9,646</w:t>
            </w:r>
          </w:p>
        </w:tc>
        <w:tc>
          <w:tcPr>
            <w:tcW w:w="140" w:type="dxa"/>
            <w:vAlign w:val="bottom"/>
          </w:tcPr>
          <w:p>
            <w:pPr>
              <w:spacing w:after="0"/>
              <w:rPr>
                <w:sz w:val="15"/>
                <w:szCs w:val="15"/>
                <w:color w:val="auto"/>
              </w:rPr>
            </w:pPr>
          </w:p>
        </w:tc>
      </w:tr>
      <w:tr>
        <w:trPr>
          <w:trHeight w:val="176"/>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5,895</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10,136</w:t>
            </w:r>
          </w:p>
        </w:tc>
        <w:tc>
          <w:tcPr>
            <w:tcW w:w="140" w:type="dxa"/>
            <w:vAlign w:val="bottom"/>
            <w:shd w:val="clear" w:color="auto" w:fill="CFF0FC"/>
          </w:tcPr>
          <w:p>
            <w:pPr>
              <w:spacing w:after="0"/>
              <w:rPr>
                <w:sz w:val="15"/>
                <w:szCs w:val="15"/>
                <w:color w:val="auto"/>
              </w:rPr>
            </w:pPr>
          </w:p>
        </w:tc>
      </w:tr>
      <w:tr>
        <w:trPr>
          <w:trHeight w:val="175"/>
        </w:trPr>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Tax provision (benefit) on realized and unrealized gains (losses) on investments</w:t>
            </w:r>
          </w:p>
        </w:tc>
        <w:tc>
          <w:tcPr>
            <w:tcW w:w="10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r>
      <w:tr>
        <w:trPr>
          <w:trHeight w:val="176"/>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(51,093 )</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(23,170 )</w:t>
            </w:r>
          </w:p>
        </w:tc>
        <w:tc>
          <w:tcPr>
            <w:tcW w:w="140" w:type="dxa"/>
            <w:vAlign w:val="bottom"/>
            <w:shd w:val="clear" w:color="auto" w:fill="CFF0FC"/>
          </w:tcPr>
          <w:p>
            <w:pPr>
              <w:spacing w:after="0"/>
              <w:rPr>
                <w:sz w:val="15"/>
                <w:szCs w:val="15"/>
                <w:color w:val="auto"/>
              </w:rPr>
            </w:pPr>
          </w:p>
        </w:tc>
      </w:tr>
      <w:tr>
        <w:trPr>
          <w:trHeight w:val="175"/>
        </w:trPr>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Proceeds from sales and redemptions of investments</w:t>
            </w:r>
          </w:p>
        </w:tc>
        <w:tc>
          <w:tcPr>
            <w:tcW w:w="104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67,576</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76,575</w:t>
            </w:r>
          </w:p>
        </w:tc>
        <w:tc>
          <w:tcPr>
            <w:tcW w:w="140" w:type="dxa"/>
            <w:vAlign w:val="bottom"/>
          </w:tcPr>
          <w:p>
            <w:pPr>
              <w:spacing w:after="0"/>
              <w:rPr>
                <w:sz w:val="15"/>
                <w:szCs w:val="15"/>
                <w:color w:val="auto"/>
              </w:rPr>
            </w:pPr>
          </w:p>
        </w:tc>
      </w:tr>
      <w:tr>
        <w:trPr>
          <w:trHeight w:val="176"/>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Net accretion of investments</w:t>
            </w: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(2,657 )</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(4,349 )</w:t>
            </w:r>
          </w:p>
        </w:tc>
        <w:tc>
          <w:tcPr>
            <w:tcW w:w="140" w:type="dxa"/>
            <w:vAlign w:val="bottom"/>
            <w:shd w:val="clear" w:color="auto" w:fill="CFF0FC"/>
          </w:tcPr>
          <w:p>
            <w:pPr>
              <w:spacing w:after="0"/>
              <w:rPr>
                <w:sz w:val="15"/>
                <w:szCs w:val="15"/>
                <w:color w:val="auto"/>
              </w:rPr>
            </w:pPr>
          </w:p>
        </w:tc>
      </w:tr>
      <w:tr>
        <w:trPr>
          <w:trHeight w:val="176"/>
        </w:trPr>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04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595</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598</w:t>
            </w:r>
          </w:p>
        </w:tc>
        <w:tc>
          <w:tcPr>
            <w:tcW w:w="140" w:type="dxa"/>
            <w:vAlign w:val="bottom"/>
          </w:tcPr>
          <w:p>
            <w:pPr>
              <w:spacing w:after="0"/>
              <w:rPr>
                <w:sz w:val="15"/>
                <w:szCs w:val="15"/>
                <w:color w:val="auto"/>
              </w:rPr>
            </w:pPr>
          </w:p>
        </w:tc>
      </w:tr>
      <w:tr>
        <w:trPr>
          <w:trHeight w:val="175"/>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Net realized (gain) loss on extinguishment of debt</w:t>
            </w: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252</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218</w:t>
            </w:r>
          </w:p>
        </w:tc>
        <w:tc>
          <w:tcPr>
            <w:tcW w:w="140" w:type="dxa"/>
            <w:vAlign w:val="bottom"/>
            <w:shd w:val="clear" w:color="auto" w:fill="CFF0FC"/>
          </w:tcPr>
          <w:p>
            <w:pPr>
              <w:spacing w:after="0"/>
              <w:rPr>
                <w:sz w:val="15"/>
                <w:szCs w:val="15"/>
                <w:color w:val="auto"/>
              </w:rPr>
            </w:pPr>
          </w:p>
        </w:tc>
      </w:tr>
      <w:tr>
        <w:trPr>
          <w:trHeight w:val="176"/>
        </w:trPr>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payment-in-kind income</w:t>
            </w:r>
          </w:p>
        </w:tc>
        <w:tc>
          <w:tcPr>
            <w:tcW w:w="10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(4,207 )</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(2,566 )</w:t>
            </w:r>
          </w:p>
        </w:tc>
        <w:tc>
          <w:tcPr>
            <w:tcW w:w="140" w:type="dxa"/>
            <w:vAlign w:val="bottom"/>
          </w:tcPr>
          <w:p>
            <w:pPr>
              <w:spacing w:after="0"/>
              <w:rPr>
                <w:sz w:val="15"/>
                <w:szCs w:val="15"/>
                <w:color w:val="auto"/>
              </w:rPr>
            </w:pPr>
          </w:p>
        </w:tc>
      </w:tr>
      <w:tr>
        <w:trPr>
          <w:trHeight w:val="175"/>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6"/>
        </w:trPr>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(Increase) decrease in receivable for unsettled trades</w:t>
            </w:r>
          </w:p>
        </w:tc>
        <w:tc>
          <w:tcPr>
            <w:tcW w:w="104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(360 )</w:t>
            </w:r>
          </w:p>
        </w:tc>
        <w:tc>
          <w:tcPr>
            <w:tcW w:w="140" w:type="dxa"/>
            <w:vAlign w:val="bottom"/>
          </w:tcPr>
          <w:p>
            <w:pPr>
              <w:spacing w:after="0"/>
              <w:rPr>
                <w:sz w:val="15"/>
                <w:szCs w:val="15"/>
                <w:color w:val="auto"/>
              </w:rPr>
            </w:pPr>
          </w:p>
        </w:tc>
      </w:tr>
      <w:tr>
        <w:trPr>
          <w:trHeight w:val="175"/>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(Increase) decrease in interest receivable</w:t>
            </w: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503</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(310 )</w:t>
            </w:r>
          </w:p>
        </w:tc>
        <w:tc>
          <w:tcPr>
            <w:tcW w:w="140" w:type="dxa"/>
            <w:vAlign w:val="bottom"/>
            <w:shd w:val="clear" w:color="auto" w:fill="CFF0FC"/>
          </w:tcPr>
          <w:p>
            <w:pPr>
              <w:spacing w:after="0"/>
              <w:rPr>
                <w:sz w:val="15"/>
                <w:szCs w:val="15"/>
                <w:color w:val="auto"/>
              </w:rPr>
            </w:pPr>
          </w:p>
        </w:tc>
      </w:tr>
      <w:tr>
        <w:trPr>
          <w:trHeight w:val="176"/>
        </w:trPr>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(Increase) decrease in due from affiliates</w:t>
            </w:r>
          </w:p>
        </w:tc>
        <w:tc>
          <w:tcPr>
            <w:tcW w:w="10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(966 )</w:t>
            </w:r>
          </w:p>
        </w:tc>
        <w:tc>
          <w:tcPr>
            <w:tcW w:w="140" w:type="dxa"/>
            <w:vAlign w:val="bottom"/>
          </w:tcPr>
          <w:p>
            <w:pPr>
              <w:spacing w:after="0"/>
              <w:rPr>
                <w:sz w:val="15"/>
                <w:szCs w:val="15"/>
                <w:color w:val="auto"/>
              </w:rPr>
            </w:pPr>
          </w:p>
        </w:tc>
      </w:tr>
      <w:tr>
        <w:trPr>
          <w:trHeight w:val="176"/>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(Increase) decrease in other assets</w:t>
            </w: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40" w:type="dxa"/>
            <w:vAlign w:val="bottom"/>
            <w:shd w:val="clear" w:color="auto" w:fill="CFF0FC"/>
          </w:tcPr>
          <w:p>
            <w:pPr>
              <w:spacing w:after="0"/>
              <w:rPr>
                <w:sz w:val="15"/>
                <w:szCs w:val="15"/>
                <w:color w:val="auto"/>
              </w:rPr>
            </w:pPr>
          </w:p>
        </w:tc>
      </w:tr>
      <w:tr>
        <w:trPr>
          <w:trHeight w:val="175"/>
        </w:trPr>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Increase (decrease) in payable for unsettled trades</w:t>
            </w:r>
          </w:p>
        </w:tc>
        <w:tc>
          <w:tcPr>
            <w:tcW w:w="10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(854 )</w:t>
            </w:r>
          </w:p>
        </w:tc>
        <w:tc>
          <w:tcPr>
            <w:tcW w:w="140" w:type="dxa"/>
            <w:vAlign w:val="bottom"/>
          </w:tcPr>
          <w:p>
            <w:pPr>
              <w:spacing w:after="0"/>
              <w:rPr>
                <w:sz w:val="15"/>
                <w:szCs w:val="15"/>
                <w:color w:val="auto"/>
              </w:rPr>
            </w:pPr>
          </w:p>
        </w:tc>
      </w:tr>
      <w:tr>
        <w:trPr>
          <w:trHeight w:val="176"/>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Increase (decrease) in accrued interest payable</w:t>
            </w: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(391 )</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140" w:type="dxa"/>
            <w:vAlign w:val="bottom"/>
            <w:shd w:val="clear" w:color="auto" w:fill="CFF0FC"/>
          </w:tcPr>
          <w:p>
            <w:pPr>
              <w:spacing w:after="0"/>
              <w:rPr>
                <w:sz w:val="15"/>
                <w:szCs w:val="15"/>
                <w:color w:val="auto"/>
              </w:rPr>
            </w:pPr>
          </w:p>
        </w:tc>
      </w:tr>
      <w:tr>
        <w:trPr>
          <w:trHeight w:val="175"/>
        </w:trPr>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Increase (decrease) in management and incentive fees payable</w:t>
            </w:r>
          </w:p>
        </w:tc>
        <w:tc>
          <w:tcPr>
            <w:tcW w:w="10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(1,099 )</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5"/>
                <w:szCs w:val="15"/>
                <w:color w:val="auto"/>
              </w:rPr>
            </w:pPr>
          </w:p>
        </w:tc>
      </w:tr>
      <w:tr>
        <w:trPr>
          <w:trHeight w:val="176"/>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Increase (decrease) in due to affiliates</w:t>
            </w: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140" w:type="dxa"/>
            <w:vAlign w:val="bottom"/>
            <w:shd w:val="clear" w:color="auto" w:fill="CFF0FC"/>
          </w:tcPr>
          <w:p>
            <w:pPr>
              <w:spacing w:after="0"/>
              <w:rPr>
                <w:sz w:val="15"/>
                <w:szCs w:val="15"/>
                <w:color w:val="auto"/>
              </w:rPr>
            </w:pPr>
          </w:p>
        </w:tc>
      </w:tr>
      <w:tr>
        <w:trPr>
          <w:trHeight w:val="176"/>
        </w:trPr>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Increase (decrease) in accounts payable and accrued expenses</w:t>
            </w: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(805 )</w:t>
            </w:r>
          </w:p>
        </w:tc>
        <w:tc>
          <w:tcPr>
            <w:tcW w:w="1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(626 )</w:t>
            </w:r>
          </w:p>
        </w:tc>
        <w:tc>
          <w:tcPr>
            <w:tcW w:w="140" w:type="dxa"/>
            <w:vAlign w:val="bottom"/>
          </w:tcPr>
          <w:p>
            <w:pPr>
              <w:spacing w:after="0"/>
              <w:rPr>
                <w:sz w:val="15"/>
                <w:szCs w:val="15"/>
                <w:color w:val="auto"/>
              </w:rPr>
            </w:pPr>
          </w:p>
        </w:tc>
      </w:tr>
      <w:tr>
        <w:trPr>
          <w:trHeight w:val="169"/>
        </w:trPr>
        <w:tc>
          <w:tcPr>
            <w:tcW w:w="75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040" w:type="dxa"/>
            <w:vAlign w:val="bottom"/>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20,889</w:t>
            </w:r>
          </w:p>
        </w:tc>
        <w:tc>
          <w:tcPr>
            <w:tcW w:w="120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60,857</w:t>
            </w:r>
          </w:p>
        </w:tc>
        <w:tc>
          <w:tcPr>
            <w:tcW w:w="140" w:type="dxa"/>
            <w:vAlign w:val="bottom"/>
            <w:shd w:val="clear" w:color="auto" w:fill="CFF0FC"/>
          </w:tcPr>
          <w:p>
            <w:pPr>
              <w:spacing w:after="0"/>
              <w:rPr>
                <w:sz w:val="14"/>
                <w:szCs w:val="14"/>
                <w:color w:val="auto"/>
              </w:rPr>
            </w:pPr>
          </w:p>
        </w:tc>
      </w:tr>
      <w:tr>
        <w:trPr>
          <w:trHeight w:val="169"/>
        </w:trPr>
        <w:tc>
          <w:tcPr>
            <w:tcW w:w="7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0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r>
      <w:tr>
        <w:trPr>
          <w:trHeight w:val="176"/>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Stock repurchase program</w:t>
            </w: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(2,506 )</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(1,345 )</w:t>
            </w:r>
          </w:p>
        </w:tc>
        <w:tc>
          <w:tcPr>
            <w:tcW w:w="140" w:type="dxa"/>
            <w:vAlign w:val="bottom"/>
            <w:shd w:val="clear" w:color="auto" w:fill="CFF0FC"/>
          </w:tcPr>
          <w:p>
            <w:pPr>
              <w:spacing w:after="0"/>
              <w:rPr>
                <w:sz w:val="15"/>
                <w:szCs w:val="15"/>
                <w:color w:val="auto"/>
              </w:rPr>
            </w:pPr>
          </w:p>
        </w:tc>
      </w:tr>
      <w:tr>
        <w:trPr>
          <w:trHeight w:val="175"/>
        </w:trPr>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Distributions to stockholders</w:t>
            </w:r>
          </w:p>
        </w:tc>
        <w:tc>
          <w:tcPr>
            <w:tcW w:w="10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(12,696 )</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(12,706 )</w:t>
            </w:r>
          </w:p>
        </w:tc>
        <w:tc>
          <w:tcPr>
            <w:tcW w:w="140" w:type="dxa"/>
            <w:vAlign w:val="bottom"/>
          </w:tcPr>
          <w:p>
            <w:pPr>
              <w:spacing w:after="0"/>
              <w:rPr>
                <w:sz w:val="15"/>
                <w:szCs w:val="15"/>
                <w:color w:val="auto"/>
              </w:rPr>
            </w:pPr>
          </w:p>
        </w:tc>
      </w:tr>
      <w:tr>
        <w:trPr>
          <w:trHeight w:val="175"/>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Repayment of 2018-2 Secured Notes</w:t>
            </w: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(40,612 )</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(30,491 )</w:t>
            </w:r>
          </w:p>
        </w:tc>
        <w:tc>
          <w:tcPr>
            <w:tcW w:w="140" w:type="dxa"/>
            <w:vAlign w:val="bottom"/>
            <w:shd w:val="clear" w:color="auto" w:fill="CFF0FC"/>
          </w:tcPr>
          <w:p>
            <w:pPr>
              <w:spacing w:after="0"/>
              <w:rPr>
                <w:sz w:val="15"/>
                <w:szCs w:val="15"/>
                <w:color w:val="auto"/>
              </w:rPr>
            </w:pPr>
          </w:p>
        </w:tc>
      </w:tr>
      <w:tr>
        <w:trPr>
          <w:trHeight w:val="175"/>
        </w:trPr>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Repayment of Revolving Credit Facilities</w:t>
            </w:r>
          </w:p>
        </w:tc>
        <w:tc>
          <w:tcPr>
            <w:tcW w:w="104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(37,500 )</w:t>
            </w:r>
          </w:p>
        </w:tc>
        <w:tc>
          <w:tcPr>
            <w:tcW w:w="140" w:type="dxa"/>
            <w:vAlign w:val="bottom"/>
          </w:tcPr>
          <w:p>
            <w:pPr>
              <w:spacing w:after="0"/>
              <w:rPr>
                <w:sz w:val="15"/>
                <w:szCs w:val="15"/>
                <w:color w:val="auto"/>
              </w:rPr>
            </w:pPr>
          </w:p>
        </w:tc>
      </w:tr>
      <w:tr>
        <w:trPr>
          <w:trHeight w:val="175"/>
        </w:trPr>
        <w:tc>
          <w:tcPr>
            <w:tcW w:w="75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Borrowings from Revolving Credit Facilities</w:t>
            </w:r>
          </w:p>
        </w:tc>
        <w:tc>
          <w:tcPr>
            <w:tcW w:w="10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23,500</w:t>
            </w:r>
          </w:p>
        </w:tc>
        <w:tc>
          <w:tcPr>
            <w:tcW w:w="140" w:type="dxa"/>
            <w:vAlign w:val="bottom"/>
            <w:tcBorders>
              <w:bottom w:val="single" w:sz="8" w:color="auto"/>
            </w:tcBorders>
            <w:shd w:val="clear" w:color="auto" w:fill="CFF0FC"/>
          </w:tcPr>
          <w:p>
            <w:pPr>
              <w:spacing w:after="0"/>
              <w:rPr>
                <w:sz w:val="15"/>
                <w:szCs w:val="15"/>
                <w:color w:val="auto"/>
              </w:rPr>
            </w:pPr>
          </w:p>
        </w:tc>
      </w:tr>
      <w:tr>
        <w:trPr>
          <w:trHeight w:val="169"/>
        </w:trPr>
        <w:tc>
          <w:tcPr>
            <w:tcW w:w="75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04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(55,814 )</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(58,542 )</w:t>
            </w:r>
          </w:p>
        </w:tc>
        <w:tc>
          <w:tcPr>
            <w:tcW w:w="140" w:type="dxa"/>
            <w:vAlign w:val="bottom"/>
            <w:tcBorders>
              <w:bottom w:val="single" w:sz="8" w:color="auto"/>
            </w:tcBorders>
          </w:tcPr>
          <w:p>
            <w:pPr>
              <w:spacing w:after="0"/>
              <w:rPr>
                <w:sz w:val="14"/>
                <w:szCs w:val="14"/>
                <w:color w:val="auto"/>
              </w:rPr>
            </w:pPr>
          </w:p>
        </w:tc>
      </w:tr>
      <w:tr>
        <w:trPr>
          <w:trHeight w:val="16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CASH AND RESTRICTED CASH</w:t>
            </w:r>
          </w:p>
        </w:tc>
        <w:tc>
          <w:tcPr>
            <w:tcW w:w="1040" w:type="dxa"/>
            <w:vAlign w:val="bottom"/>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(34,925 )</w:t>
            </w:r>
          </w:p>
        </w:tc>
        <w:tc>
          <w:tcPr>
            <w:tcW w:w="120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2,315</w:t>
            </w:r>
          </w:p>
        </w:tc>
        <w:tc>
          <w:tcPr>
            <w:tcW w:w="140" w:type="dxa"/>
            <w:vAlign w:val="bottom"/>
            <w:shd w:val="clear" w:color="auto" w:fill="CFF0FC"/>
          </w:tcPr>
          <w:p>
            <w:pPr>
              <w:spacing w:after="0"/>
              <w:rPr>
                <w:sz w:val="14"/>
                <w:szCs w:val="14"/>
                <w:color w:val="auto"/>
              </w:rPr>
            </w:pPr>
          </w:p>
        </w:tc>
      </w:tr>
      <w:tr>
        <w:trPr>
          <w:trHeight w:val="17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BEGINNING OF PERIOD</w:t>
            </w: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71,564</w:t>
            </w:r>
          </w:p>
        </w:tc>
        <w:tc>
          <w:tcPr>
            <w:tcW w:w="1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33,131</w:t>
            </w:r>
          </w:p>
        </w:tc>
        <w:tc>
          <w:tcPr>
            <w:tcW w:w="140" w:type="dxa"/>
            <w:vAlign w:val="bottom"/>
            <w:tcBorders>
              <w:bottom w:val="single" w:sz="8" w:color="auto"/>
            </w:tcBorders>
          </w:tcPr>
          <w:p>
            <w:pPr>
              <w:spacing w:after="0"/>
              <w:rPr>
                <w:sz w:val="15"/>
                <w:szCs w:val="15"/>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RESTRICTED CASH, END OF PERIOD</w:t>
            </w:r>
          </w:p>
        </w:tc>
        <w:tc>
          <w:tcPr>
            <w:tcW w:w="1040" w:type="dxa"/>
            <w:vAlign w:val="bottom"/>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36,639</w:t>
            </w:r>
          </w:p>
        </w:tc>
        <w:tc>
          <w:tcPr>
            <w:tcW w:w="120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35,446</w:t>
            </w:r>
          </w:p>
        </w:tc>
        <w:tc>
          <w:tcPr>
            <w:tcW w:w="140" w:type="dxa"/>
            <w:vAlign w:val="bottom"/>
            <w:shd w:val="clear" w:color="auto" w:fill="CFF0FC"/>
          </w:tcPr>
          <w:p>
            <w:pPr>
              <w:spacing w:after="0"/>
              <w:rPr>
                <w:sz w:val="18"/>
                <w:szCs w:val="18"/>
                <w:color w:val="auto"/>
              </w:rPr>
            </w:pPr>
          </w:p>
        </w:tc>
      </w:tr>
      <w:tr>
        <w:trPr>
          <w:trHeight w:val="156"/>
        </w:trPr>
        <w:tc>
          <w:tcPr>
            <w:tcW w:w="756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Amounts per balance sheet:</w:t>
            </w:r>
          </w:p>
        </w:tc>
        <w:tc>
          <w:tcPr>
            <w:tcW w:w="10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r>
      <w:tr>
        <w:trPr>
          <w:trHeight w:val="175"/>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9,813</w:t>
            </w:r>
          </w:p>
        </w:tc>
        <w:tc>
          <w:tcPr>
            <w:tcW w:w="120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20,254</w:t>
            </w:r>
          </w:p>
        </w:tc>
        <w:tc>
          <w:tcPr>
            <w:tcW w:w="140" w:type="dxa"/>
            <w:vAlign w:val="bottom"/>
            <w:shd w:val="clear" w:color="auto" w:fill="CFF0FC"/>
          </w:tcPr>
          <w:p>
            <w:pPr>
              <w:spacing w:after="0"/>
              <w:rPr>
                <w:sz w:val="15"/>
                <w:szCs w:val="15"/>
                <w:color w:val="auto"/>
              </w:rPr>
            </w:pPr>
          </w:p>
        </w:tc>
      </w:tr>
      <w:tr>
        <w:trPr>
          <w:trHeight w:val="176"/>
        </w:trPr>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Restricted cash</w:t>
            </w: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26,826</w:t>
            </w:r>
          </w:p>
        </w:tc>
        <w:tc>
          <w:tcPr>
            <w:tcW w:w="1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15,192</w:t>
            </w:r>
          </w:p>
        </w:tc>
        <w:tc>
          <w:tcPr>
            <w:tcW w:w="140" w:type="dxa"/>
            <w:vAlign w:val="bottom"/>
            <w:tcBorders>
              <w:bottom w:val="single" w:sz="8" w:color="auto"/>
            </w:tcBorders>
          </w:tcPr>
          <w:p>
            <w:pPr>
              <w:spacing w:after="0"/>
              <w:rPr>
                <w:sz w:val="15"/>
                <w:szCs w:val="15"/>
                <w:color w:val="auto"/>
              </w:rPr>
            </w:pPr>
          </w:p>
        </w:tc>
      </w:tr>
      <w:tr>
        <w:trPr>
          <w:trHeight w:val="209"/>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Cash and Restricted cash</w:t>
            </w:r>
          </w:p>
        </w:tc>
        <w:tc>
          <w:tcPr>
            <w:tcW w:w="1040" w:type="dxa"/>
            <w:vAlign w:val="bottom"/>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36,639</w:t>
            </w:r>
          </w:p>
        </w:tc>
        <w:tc>
          <w:tcPr>
            <w:tcW w:w="120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35,446</w:t>
            </w:r>
          </w:p>
        </w:tc>
        <w:tc>
          <w:tcPr>
            <w:tcW w:w="140" w:type="dxa"/>
            <w:vAlign w:val="bottom"/>
            <w:shd w:val="clear" w:color="auto" w:fill="CFF0FC"/>
          </w:tcPr>
          <w:p>
            <w:pPr>
              <w:spacing w:after="0"/>
              <w:rPr>
                <w:sz w:val="18"/>
                <w:szCs w:val="18"/>
                <w:color w:val="auto"/>
              </w:rPr>
            </w:pPr>
          </w:p>
        </w:tc>
      </w:tr>
      <w:tr>
        <w:trPr>
          <w:trHeight w:val="156"/>
        </w:trPr>
        <w:tc>
          <w:tcPr>
            <w:tcW w:w="756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Supplemental Information and non-cash activities:</w:t>
            </w:r>
          </w:p>
        </w:tc>
        <w:tc>
          <w:tcPr>
            <w:tcW w:w="10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r>
      <w:tr>
        <w:trPr>
          <w:trHeight w:val="175"/>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Cash paid for interest during the period</w:t>
            </w:r>
          </w:p>
        </w:tc>
        <w:tc>
          <w:tcPr>
            <w:tcW w:w="1040" w:type="dxa"/>
            <w:vAlign w:val="bottom"/>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10,887</w:t>
            </w:r>
          </w:p>
        </w:tc>
        <w:tc>
          <w:tcPr>
            <w:tcW w:w="120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12,210</w:t>
            </w:r>
          </w:p>
        </w:tc>
        <w:tc>
          <w:tcPr>
            <w:tcW w:w="140" w:type="dxa"/>
            <w:vAlign w:val="bottom"/>
            <w:shd w:val="clear" w:color="auto" w:fill="CFF0FC"/>
          </w:tcPr>
          <w:p>
            <w:pPr>
              <w:spacing w:after="0"/>
              <w:rPr>
                <w:sz w:val="15"/>
                <w:szCs w:val="15"/>
                <w:color w:val="auto"/>
              </w:rPr>
            </w:pPr>
          </w:p>
        </w:tc>
      </w:tr>
      <w:tr>
        <w:trPr>
          <w:trHeight w:val="188"/>
        </w:trPr>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Reinvestment of distributions</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158</w:t>
            </w:r>
          </w:p>
        </w:tc>
        <w:tc>
          <w:tcPr>
            <w:tcW w:w="1200" w:type="dxa"/>
            <w:vAlign w:val="bottom"/>
            <w:gridSpan w:val="2"/>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368</w:t>
            </w:r>
          </w:p>
        </w:tc>
        <w:tc>
          <w:tcPr>
            <w:tcW w:w="1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-1996440</wp:posOffset>
            </wp:positionV>
            <wp:extent cx="93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-1996440</wp:posOffset>
            </wp:positionV>
            <wp:extent cx="85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-1318895</wp:posOffset>
            </wp:positionV>
            <wp:extent cx="939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-847725</wp:posOffset>
            </wp:positionV>
            <wp:extent cx="939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-830580</wp:posOffset>
            </wp:positionV>
            <wp:extent cx="939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-367665</wp:posOffset>
            </wp:positionV>
            <wp:extent cx="93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-350520</wp:posOffset>
            </wp:positionV>
            <wp:extent cx="939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 to unaudited consolidated financial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As of June 30, 2024</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9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Reference Rate</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Par/Share</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(2), (4), (12), (14), (23), (24)</w:t>
            </w:r>
          </w:p>
        </w:tc>
        <w:tc>
          <w:tcPr>
            <w:tcW w:w="20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Rate (1)</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and Spread (1)</w:t>
            </w:r>
          </w:p>
        </w:tc>
        <w:tc>
          <w:tcPr>
            <w:tcW w:w="6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Floor (1)</w:t>
            </w: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5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 (++)</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660" w:type="dxa"/>
            <w:vAlign w:val="bottom"/>
            <w:tcBorders>
              <w:bottom w:val="single" w:sz="8" w:color="auto"/>
            </w:tcBorders>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4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Investments in Non-Control, Non-Affiliate Portfolio Companies - 188.5%</w:t>
            </w:r>
          </w:p>
        </w:tc>
        <w:tc>
          <w:tcPr>
            <w:tcW w:w="20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Lien/Senior Secured Debt - 159.3%</w:t>
            </w:r>
          </w:p>
        </w:tc>
        <w:tc>
          <w:tcPr>
            <w:tcW w:w="2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Accordion Partners LLC</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Finance</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11.35%</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+ 6.00%</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0.75%</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8/29/2029</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9,425</w:t>
            </w:r>
          </w:p>
        </w:tc>
        <w:tc>
          <w:tcPr>
            <w:tcW w:w="2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9,282</w:t>
            </w:r>
          </w:p>
        </w:tc>
        <w:tc>
          <w:tcPr>
            <w:tcW w:w="1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9,398</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Accordion Partners LLC (Revolver)</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Finance</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11.57%</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+ 6.25%</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0.75%</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8/31/2028</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765</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741</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760</w:t>
            </w:r>
          </w:p>
        </w:tc>
        <w:tc>
          <w:tcPr>
            <w:tcW w:w="7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Accurate Background, LLC</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Services: Business</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11.60%</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+ 6.00%</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3/26/2029</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4,390</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4,176</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4,302</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21"/>
        </w:trPr>
        <w:tc>
          <w:tcPr>
            <w:tcW w:w="37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Advantage Capital Holdings LLC</w:t>
            </w:r>
          </w:p>
        </w:tc>
        <w:tc>
          <w:tcPr>
            <w:tcW w:w="2040" w:type="dxa"/>
            <w:vAlign w:val="bottom"/>
          </w:tcPr>
          <w:p>
            <w:pPr>
              <w:ind w:left="360"/>
              <w:spacing w:after="0" w:line="122" w:lineRule="exact"/>
              <w:rPr>
                <w:sz w:val="20"/>
                <w:szCs w:val="20"/>
                <w:color w:val="auto"/>
              </w:rPr>
            </w:pPr>
            <w:r>
              <w:rPr>
                <w:rFonts w:ascii="Times New Roman" w:cs="Times New Roman" w:eastAsia="Times New Roman" w:hAnsi="Times New Roman"/>
                <w:sz w:val="11"/>
                <w:szCs w:val="11"/>
                <w:color w:val="auto"/>
              </w:rPr>
              <w:t>Banking, Finance, Insurance &amp; Real</w:t>
            </w: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13.00%</w:t>
            </w: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5.00% PIK</w:t>
            </w:r>
          </w:p>
        </w:tc>
        <w:tc>
          <w:tcPr>
            <w:tcW w:w="60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4/14/2027</w:t>
            </w: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14,390</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14,390</w:t>
            </w:r>
          </w:p>
        </w:tc>
        <w:tc>
          <w:tcPr>
            <w:tcW w:w="180" w:type="dxa"/>
            <w:vAlign w:val="bottom"/>
          </w:tcPr>
          <w:p>
            <w:pPr>
              <w:spacing w:after="0"/>
              <w:rPr>
                <w:sz w:val="10"/>
                <w:szCs w:val="10"/>
                <w:color w:val="auto"/>
              </w:rPr>
            </w:pPr>
          </w:p>
        </w:tc>
        <w:tc>
          <w:tcPr>
            <w:tcW w:w="4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13,941</w:t>
            </w:r>
          </w:p>
        </w:tc>
        <w:tc>
          <w:tcPr>
            <w:tcW w:w="70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73"/>
        </w:trPr>
        <w:tc>
          <w:tcPr>
            <w:tcW w:w="3720" w:type="dxa"/>
            <w:vAlign w:val="bottom"/>
          </w:tcPr>
          <w:p>
            <w:pPr>
              <w:spacing w:after="0"/>
              <w:rPr>
                <w:sz w:val="6"/>
                <w:szCs w:val="6"/>
                <w:color w:val="auto"/>
              </w:rPr>
            </w:pPr>
          </w:p>
        </w:tc>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rPr>
              <w:t>Estate</w:t>
            </w: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72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AIDC IntermediateCo 2, LLC (Peak Technologies)</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Services: Business</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11.72%</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+ 6.40%</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7/22/2027</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985</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974</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971</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21"/>
        </w:trPr>
        <w:tc>
          <w:tcPr>
            <w:tcW w:w="37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AMCP Pet Holdings, Inc.</w:t>
            </w:r>
          </w:p>
        </w:tc>
        <w:tc>
          <w:tcPr>
            <w:tcW w:w="2040" w:type="dxa"/>
            <w:vAlign w:val="bottom"/>
          </w:tcPr>
          <w:p>
            <w:pPr>
              <w:ind w:left="360"/>
              <w:spacing w:after="0" w:line="122" w:lineRule="exact"/>
              <w:rPr>
                <w:sz w:val="20"/>
                <w:szCs w:val="20"/>
                <w:color w:val="auto"/>
              </w:rPr>
            </w:pPr>
            <w:r>
              <w:rPr>
                <w:rFonts w:ascii="Times New Roman" w:cs="Times New Roman" w:eastAsia="Times New Roman" w:hAnsi="Times New Roman"/>
                <w:sz w:val="11"/>
                <w:szCs w:val="11"/>
                <w:color w:val="auto"/>
              </w:rPr>
              <w:t>Beverage, Food and Tobacco</w:t>
            </w: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12.48%</w:t>
            </w:r>
          </w:p>
        </w:tc>
        <w:tc>
          <w:tcPr>
            <w:tcW w:w="96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SOFR + 6.25%,</w:t>
            </w:r>
          </w:p>
        </w:tc>
        <w:tc>
          <w:tcPr>
            <w:tcW w:w="60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10/6/2026</w:t>
            </w: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4,863</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4,816</w:t>
            </w:r>
          </w:p>
        </w:tc>
        <w:tc>
          <w:tcPr>
            <w:tcW w:w="180" w:type="dxa"/>
            <w:vAlign w:val="bottom"/>
          </w:tcPr>
          <w:p>
            <w:pPr>
              <w:spacing w:after="0"/>
              <w:rPr>
                <w:sz w:val="10"/>
                <w:szCs w:val="10"/>
                <w:color w:val="auto"/>
              </w:rPr>
            </w:pPr>
          </w:p>
        </w:tc>
        <w:tc>
          <w:tcPr>
            <w:tcW w:w="4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4,802</w:t>
            </w:r>
          </w:p>
        </w:tc>
        <w:tc>
          <w:tcPr>
            <w:tcW w:w="70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0.75% PIK</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AMCP Pet Holdings, Inc. (Revolver)</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Beverage, Food and Tobacco</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11.72%</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+ 6.25%</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10/6/2026</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1,004</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996</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992</w:t>
            </w:r>
          </w:p>
        </w:tc>
        <w:tc>
          <w:tcPr>
            <w:tcW w:w="7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7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American Academy Holdings, LLC</w:t>
            </w:r>
          </w:p>
        </w:tc>
        <w:tc>
          <w:tcPr>
            <w:tcW w:w="2040" w:type="dxa"/>
            <w:vAlign w:val="bottom"/>
          </w:tcPr>
          <w:p>
            <w:pPr>
              <w:ind w:left="360"/>
              <w:spacing w:after="0" w:line="122" w:lineRule="exact"/>
              <w:rPr>
                <w:sz w:val="20"/>
                <w:szCs w:val="20"/>
                <w:color w:val="auto"/>
              </w:rPr>
            </w:pPr>
            <w:r>
              <w:rPr>
                <w:rFonts w:ascii="Times New Roman" w:cs="Times New Roman" w:eastAsia="Times New Roman" w:hAnsi="Times New Roman"/>
                <w:sz w:val="11"/>
                <w:szCs w:val="11"/>
                <w:color w:val="auto"/>
              </w:rPr>
              <w:t>Healthcare &amp; Pharmaceuticals</w:t>
            </w: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15.21%</w:t>
            </w:r>
          </w:p>
        </w:tc>
        <w:tc>
          <w:tcPr>
            <w:tcW w:w="96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SOFR + 4.50%,</w:t>
            </w:r>
          </w:p>
        </w:tc>
        <w:tc>
          <w:tcPr>
            <w:tcW w:w="60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3.25%</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6/30/2027</w:t>
            </w: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3,835</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3,828</w:t>
            </w:r>
          </w:p>
        </w:tc>
        <w:tc>
          <w:tcPr>
            <w:tcW w:w="180" w:type="dxa"/>
            <w:vAlign w:val="bottom"/>
          </w:tcPr>
          <w:p>
            <w:pPr>
              <w:spacing w:after="0"/>
              <w:rPr>
                <w:sz w:val="10"/>
                <w:szCs w:val="10"/>
                <w:color w:val="auto"/>
              </w:rPr>
            </w:pPr>
          </w:p>
        </w:tc>
        <w:tc>
          <w:tcPr>
            <w:tcW w:w="4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3,860</w:t>
            </w:r>
          </w:p>
        </w:tc>
        <w:tc>
          <w:tcPr>
            <w:tcW w:w="70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5.25% PIK</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Ancile Solutions, Inc.</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15.61%</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SOFR + 10.00%</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6/11/2026</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6,165</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6,097</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6,196</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21"/>
        </w:trPr>
        <w:tc>
          <w:tcPr>
            <w:tcW w:w="37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Anthem Sports &amp; Entertainment Inc.</w:t>
            </w:r>
          </w:p>
        </w:tc>
        <w:tc>
          <w:tcPr>
            <w:tcW w:w="2040" w:type="dxa"/>
            <w:vAlign w:val="bottom"/>
          </w:tcPr>
          <w:p>
            <w:pPr>
              <w:ind w:left="360"/>
              <w:spacing w:after="0" w:line="122" w:lineRule="exact"/>
              <w:rPr>
                <w:sz w:val="20"/>
                <w:szCs w:val="20"/>
                <w:color w:val="auto"/>
              </w:rPr>
            </w:pPr>
            <w:r>
              <w:rPr>
                <w:rFonts w:ascii="Times New Roman" w:cs="Times New Roman" w:eastAsia="Times New Roman" w:hAnsi="Times New Roman"/>
                <w:sz w:val="11"/>
                <w:szCs w:val="11"/>
                <w:color w:val="auto"/>
              </w:rPr>
              <w:t>Media: Broadcasting &amp; Subscription</w:t>
            </w: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15.10%</w:t>
            </w: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SOFR + 9.50%,</w:t>
            </w:r>
          </w:p>
        </w:tc>
        <w:tc>
          <w:tcPr>
            <w:tcW w:w="60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11/15/2026</w:t>
            </w: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13,618</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13,484</w:t>
            </w:r>
          </w:p>
        </w:tc>
        <w:tc>
          <w:tcPr>
            <w:tcW w:w="180" w:type="dxa"/>
            <w:vAlign w:val="bottom"/>
          </w:tcPr>
          <w:p>
            <w:pPr>
              <w:spacing w:after="0"/>
              <w:rPr>
                <w:sz w:val="10"/>
                <w:szCs w:val="10"/>
                <w:color w:val="auto"/>
              </w:rPr>
            </w:pPr>
          </w:p>
        </w:tc>
        <w:tc>
          <w:tcPr>
            <w:tcW w:w="4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9,754</w:t>
            </w:r>
          </w:p>
        </w:tc>
        <w:tc>
          <w:tcPr>
            <w:tcW w:w="70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12.10% PIK</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Anthem Sports &amp; Entertainment Inc. (Revolver)</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Media: Broadcasting &amp; Subscription</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15.10%</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SOFR + 9.50%,</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11/15/2026</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1,151</w:t>
            </w: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1,138</w:t>
            </w:r>
          </w:p>
        </w:tc>
        <w:tc>
          <w:tcPr>
            <w:tcW w:w="18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801</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9"/>
        </w:trPr>
        <w:tc>
          <w:tcPr>
            <w:tcW w:w="3720" w:type="dxa"/>
            <w:vAlign w:val="bottom"/>
            <w:shd w:val="clear" w:color="auto" w:fill="CFF0FC"/>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12.10% PIK</w:t>
            </w:r>
          </w:p>
        </w:tc>
        <w:tc>
          <w:tcPr>
            <w:tcW w:w="6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7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Anthem Sports &amp; Entertainment Inc. (Revolver 2022)</w:t>
            </w:r>
          </w:p>
        </w:tc>
        <w:tc>
          <w:tcPr>
            <w:tcW w:w="2040" w:type="dxa"/>
            <w:vAlign w:val="bottom"/>
          </w:tcPr>
          <w:p>
            <w:pPr>
              <w:ind w:left="360"/>
              <w:spacing w:after="0" w:line="122" w:lineRule="exact"/>
              <w:rPr>
                <w:sz w:val="20"/>
                <w:szCs w:val="20"/>
                <w:color w:val="auto"/>
              </w:rPr>
            </w:pPr>
            <w:r>
              <w:rPr>
                <w:rFonts w:ascii="Times New Roman" w:cs="Times New Roman" w:eastAsia="Times New Roman" w:hAnsi="Times New Roman"/>
                <w:sz w:val="11"/>
                <w:szCs w:val="11"/>
                <w:color w:val="auto"/>
              </w:rPr>
              <w:t>Media: Broadcasting &amp; Subscription</w:t>
            </w: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15.07%</w:t>
            </w: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SOFR + 9.50%,</w:t>
            </w:r>
          </w:p>
        </w:tc>
        <w:tc>
          <w:tcPr>
            <w:tcW w:w="60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6/30/2024</w:t>
            </w: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563</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563</w:t>
            </w:r>
          </w:p>
        </w:tc>
        <w:tc>
          <w:tcPr>
            <w:tcW w:w="180" w:type="dxa"/>
            <w:vAlign w:val="bottom"/>
          </w:tcPr>
          <w:p>
            <w:pPr>
              <w:spacing w:after="0"/>
              <w:rPr>
                <w:sz w:val="10"/>
                <w:szCs w:val="10"/>
                <w:color w:val="auto"/>
              </w:rPr>
            </w:pPr>
          </w:p>
        </w:tc>
        <w:tc>
          <w:tcPr>
            <w:tcW w:w="4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403</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12.10% PIK</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Appfire Technologies, LLC</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10.23%</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+ 4.75%</w:t>
            </w:r>
          </w:p>
        </w:tc>
        <w:tc>
          <w:tcPr>
            <w:tcW w:w="6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center"/>
              <w:ind w:left="6"/>
              <w:spacing w:after="0"/>
              <w:rPr>
                <w:sz w:val="20"/>
                <w:szCs w:val="20"/>
                <w:color w:val="auto"/>
              </w:rPr>
            </w:pPr>
            <w:r>
              <w:rPr>
                <w:rFonts w:ascii="Times New Roman" w:cs="Times New Roman" w:eastAsia="Times New Roman" w:hAnsi="Times New Roman"/>
                <w:sz w:val="11"/>
                <w:szCs w:val="11"/>
                <w:color w:val="auto"/>
                <w:w w:val="97"/>
              </w:rPr>
              <w:t>3/9/2028</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5,863</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5,858</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5,863</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21"/>
        </w:trPr>
        <w:tc>
          <w:tcPr>
            <w:tcW w:w="37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BetaNXT, Inc.</w:t>
            </w:r>
          </w:p>
        </w:tc>
        <w:tc>
          <w:tcPr>
            <w:tcW w:w="2040" w:type="dxa"/>
            <w:vAlign w:val="bottom"/>
          </w:tcPr>
          <w:p>
            <w:pPr>
              <w:ind w:left="360"/>
              <w:spacing w:after="0" w:line="122" w:lineRule="exact"/>
              <w:rPr>
                <w:sz w:val="20"/>
                <w:szCs w:val="20"/>
                <w:color w:val="auto"/>
              </w:rPr>
            </w:pPr>
            <w:r>
              <w:rPr>
                <w:rFonts w:ascii="Times New Roman" w:cs="Times New Roman" w:eastAsia="Times New Roman" w:hAnsi="Times New Roman"/>
                <w:sz w:val="11"/>
                <w:szCs w:val="11"/>
                <w:color w:val="auto"/>
              </w:rPr>
              <w:t>Banking, Finance, Insurance &amp; Real</w:t>
            </w: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11.08%</w:t>
            </w: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SOFR + 5.75%</w:t>
            </w:r>
          </w:p>
        </w:tc>
        <w:tc>
          <w:tcPr>
            <w:tcW w:w="60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7"/>
              </w:rPr>
              <w:t>7/1/2029</w:t>
            </w: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12,544</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11,962</w:t>
            </w:r>
          </w:p>
        </w:tc>
        <w:tc>
          <w:tcPr>
            <w:tcW w:w="180" w:type="dxa"/>
            <w:vAlign w:val="bottom"/>
          </w:tcPr>
          <w:p>
            <w:pPr>
              <w:spacing w:after="0"/>
              <w:rPr>
                <w:sz w:val="10"/>
                <w:szCs w:val="10"/>
                <w:color w:val="auto"/>
              </w:rPr>
            </w:pPr>
          </w:p>
        </w:tc>
        <w:tc>
          <w:tcPr>
            <w:tcW w:w="4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12,034</w:t>
            </w:r>
          </w:p>
        </w:tc>
        <w:tc>
          <w:tcPr>
            <w:tcW w:w="70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73"/>
        </w:trPr>
        <w:tc>
          <w:tcPr>
            <w:tcW w:w="3720" w:type="dxa"/>
            <w:vAlign w:val="bottom"/>
          </w:tcPr>
          <w:p>
            <w:pPr>
              <w:spacing w:after="0"/>
              <w:rPr>
                <w:sz w:val="6"/>
                <w:szCs w:val="6"/>
                <w:color w:val="auto"/>
              </w:rPr>
            </w:pPr>
          </w:p>
        </w:tc>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rPr>
              <w:t>Estate</w:t>
            </w: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72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BetaNXT, Inc. (Revolver)</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Banking, Finance, Insurance &amp; Real</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9.84%</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+ 4.50%</w:t>
            </w:r>
          </w:p>
        </w:tc>
        <w:tc>
          <w:tcPr>
            <w:tcW w:w="600" w:type="dxa"/>
            <w:vAlign w:val="bottom"/>
            <w:vMerge w:val="restart"/>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center"/>
              <w:ind w:left="6"/>
              <w:spacing w:after="0"/>
              <w:rPr>
                <w:sz w:val="20"/>
                <w:szCs w:val="20"/>
                <w:color w:val="auto"/>
              </w:rPr>
            </w:pPr>
            <w:r>
              <w:rPr>
                <w:rFonts w:ascii="Times New Roman" w:cs="Times New Roman" w:eastAsia="Times New Roman" w:hAnsi="Times New Roman"/>
                <w:sz w:val="11"/>
                <w:szCs w:val="11"/>
                <w:color w:val="auto"/>
                <w:w w:val="97"/>
              </w:rPr>
              <w:t>7/1/2027</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1,087</w:t>
            </w: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1,087</w:t>
            </w:r>
          </w:p>
        </w:tc>
        <w:tc>
          <w:tcPr>
            <w:tcW w:w="18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989</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73"/>
        </w:trPr>
        <w:tc>
          <w:tcPr>
            <w:tcW w:w="3720" w:type="dxa"/>
            <w:vAlign w:val="bottom"/>
            <w:shd w:val="clear" w:color="auto" w:fill="CFF0FC"/>
          </w:tcPr>
          <w:p>
            <w:pPr>
              <w:spacing w:after="0"/>
              <w:rPr>
                <w:sz w:val="6"/>
                <w:szCs w:val="6"/>
                <w:color w:val="auto"/>
              </w:rPr>
            </w:pPr>
          </w:p>
        </w:tc>
        <w:tc>
          <w:tcPr>
            <w:tcW w:w="204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Estate</w:t>
            </w:r>
          </w:p>
        </w:tc>
        <w:tc>
          <w:tcPr>
            <w:tcW w:w="600" w:type="dxa"/>
            <w:vAlign w:val="bottom"/>
            <w:shd w:val="clear" w:color="auto" w:fill="CFF0FC"/>
          </w:tcPr>
          <w:p>
            <w:pPr>
              <w:spacing w:after="0"/>
              <w:rPr>
                <w:sz w:val="6"/>
                <w:szCs w:val="6"/>
                <w:color w:val="auto"/>
              </w:rPr>
            </w:pPr>
          </w:p>
        </w:tc>
        <w:tc>
          <w:tcPr>
            <w:tcW w:w="960" w:type="dxa"/>
            <w:vAlign w:val="bottom"/>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7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720" w:type="dxa"/>
            <w:vAlign w:val="bottom"/>
            <w:shd w:val="clear" w:color="auto" w:fill="CFF0FC"/>
          </w:tcPr>
          <w:p>
            <w:pPr>
              <w:spacing w:after="0"/>
              <w:rPr>
                <w:sz w:val="6"/>
                <w:szCs w:val="6"/>
                <w:color w:val="auto"/>
              </w:rPr>
            </w:pPr>
          </w:p>
        </w:tc>
        <w:tc>
          <w:tcPr>
            <w:tcW w:w="2040" w:type="dxa"/>
            <w:vAlign w:val="bottom"/>
            <w:vMerge w:val="continue"/>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96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7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Bradshaw International Parent Corp.</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Consumer goods: Durable</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11.19%</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10/21/2027</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495</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488</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490</w:t>
            </w:r>
          </w:p>
        </w:tc>
        <w:tc>
          <w:tcPr>
            <w:tcW w:w="7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Bradshaw International Parent Corp. (Revolver)</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Consumer goods: Durable</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10/21/2026</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Bristol Hospice</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11.19%</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12/22/2026</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2,792</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2,773</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2,746</w:t>
            </w:r>
          </w:p>
        </w:tc>
        <w:tc>
          <w:tcPr>
            <w:tcW w:w="7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25"/>
        </w:trPr>
        <w:tc>
          <w:tcPr>
            <w:tcW w:w="372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C.P. Converters, Inc.</w:t>
            </w:r>
          </w:p>
        </w:tc>
        <w:tc>
          <w:tcPr>
            <w:tcW w:w="2040" w:type="dxa"/>
            <w:vAlign w:val="bottom"/>
            <w:shd w:val="clear" w:color="auto" w:fill="CFF0FC"/>
          </w:tcPr>
          <w:p>
            <w:pPr>
              <w:ind w:left="360"/>
              <w:spacing w:after="0" w:line="125" w:lineRule="exact"/>
              <w:rPr>
                <w:sz w:val="20"/>
                <w:szCs w:val="20"/>
                <w:color w:val="auto"/>
              </w:rPr>
            </w:pPr>
            <w:r>
              <w:rPr>
                <w:rFonts w:ascii="Times New Roman" w:cs="Times New Roman" w:eastAsia="Times New Roman" w:hAnsi="Times New Roman"/>
                <w:sz w:val="11"/>
                <w:szCs w:val="11"/>
                <w:color w:val="auto"/>
              </w:rPr>
              <w:t>Chemicals, Plastics and Rubber</w:t>
            </w:r>
          </w:p>
        </w:tc>
        <w:tc>
          <w:tcPr>
            <w:tcW w:w="60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rPr>
              <w:t>13.21%</w:t>
            </w:r>
          </w:p>
        </w:tc>
        <w:tc>
          <w:tcPr>
            <w:tcW w:w="960" w:type="dxa"/>
            <w:vAlign w:val="bottom"/>
            <w:shd w:val="clear" w:color="auto" w:fill="CFF0FC"/>
          </w:tcPr>
          <w:p>
            <w:pPr>
              <w:ind w:left="120"/>
              <w:spacing w:after="0" w:line="125" w:lineRule="exact"/>
              <w:rPr>
                <w:sz w:val="20"/>
                <w:szCs w:val="20"/>
                <w:color w:val="auto"/>
              </w:rPr>
            </w:pPr>
            <w:r>
              <w:rPr>
                <w:rFonts w:ascii="Times New Roman" w:cs="Times New Roman" w:eastAsia="Times New Roman" w:hAnsi="Times New Roman"/>
                <w:sz w:val="11"/>
                <w:szCs w:val="11"/>
                <w:color w:val="auto"/>
              </w:rPr>
              <w:t>SOFR + 6.50%,</w:t>
            </w:r>
          </w:p>
        </w:tc>
        <w:tc>
          <w:tcPr>
            <w:tcW w:w="600" w:type="dxa"/>
            <w:vAlign w:val="bottom"/>
            <w:shd w:val="clear" w:color="auto" w:fill="CFF0FC"/>
          </w:tcPr>
          <w:p>
            <w:pPr>
              <w:jc w:val="right"/>
              <w:ind w:right="86"/>
              <w:spacing w:after="0" w:line="125" w:lineRule="exact"/>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9/30/2024</w:t>
            </w:r>
          </w:p>
        </w:tc>
        <w:tc>
          <w:tcPr>
            <w:tcW w:w="580" w:type="dxa"/>
            <w:vAlign w:val="bottom"/>
            <w:shd w:val="clear" w:color="auto" w:fill="CFF0FC"/>
          </w:tcPr>
          <w:p>
            <w:pPr>
              <w:jc w:val="right"/>
              <w:ind w:right="6"/>
              <w:spacing w:after="0" w:line="125" w:lineRule="exact"/>
              <w:rPr>
                <w:sz w:val="20"/>
                <w:szCs w:val="20"/>
                <w:color w:val="auto"/>
              </w:rPr>
            </w:pPr>
            <w:r>
              <w:rPr>
                <w:rFonts w:ascii="Times New Roman" w:cs="Times New Roman" w:eastAsia="Times New Roman" w:hAnsi="Times New Roman"/>
                <w:sz w:val="11"/>
                <w:szCs w:val="11"/>
                <w:color w:val="auto"/>
              </w:rPr>
              <w:t>9,704</w:t>
            </w: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9,705</w:t>
            </w:r>
          </w:p>
        </w:tc>
        <w:tc>
          <w:tcPr>
            <w:tcW w:w="18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9,704</w:t>
            </w:r>
          </w:p>
        </w:tc>
        <w:tc>
          <w:tcPr>
            <w:tcW w:w="700" w:type="dxa"/>
            <w:vAlign w:val="bottom"/>
            <w:shd w:val="clear" w:color="auto" w:fill="CFF0FC"/>
          </w:tcPr>
          <w:p>
            <w:pPr>
              <w:ind w:left="40"/>
              <w:spacing w:after="0" w:line="125"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9"/>
        </w:trPr>
        <w:tc>
          <w:tcPr>
            <w:tcW w:w="3720" w:type="dxa"/>
            <w:vAlign w:val="bottom"/>
            <w:shd w:val="clear" w:color="auto" w:fill="CFF0FC"/>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1.00% PIK</w:t>
            </w:r>
          </w:p>
        </w:tc>
        <w:tc>
          <w:tcPr>
            <w:tcW w:w="6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CB MIDCO, LLC</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Consumer goods: Durable</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11.19%</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9/27/2027</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3,782</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3,762</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3,563</w:t>
            </w:r>
          </w:p>
        </w:tc>
        <w:tc>
          <w:tcPr>
            <w:tcW w:w="7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CCMG Buyer, LLC (Care Connectors Medical Group)</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11.08%</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6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center"/>
              <w:ind w:left="6"/>
              <w:spacing w:after="0"/>
              <w:rPr>
                <w:sz w:val="20"/>
                <w:szCs w:val="20"/>
                <w:color w:val="auto"/>
              </w:rPr>
            </w:pPr>
            <w:r>
              <w:rPr>
                <w:rFonts w:ascii="Times New Roman" w:cs="Times New Roman" w:eastAsia="Times New Roman" w:hAnsi="Times New Roman"/>
                <w:sz w:val="11"/>
                <w:szCs w:val="11"/>
                <w:color w:val="auto"/>
                <w:w w:val="97"/>
              </w:rPr>
              <w:t>5/8/2030</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3,500</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3,457</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3,456</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CCMG Buyer, LLC (Care Connectors Medical Group) (Revolver)</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6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7"/>
              </w:rPr>
              <w:t>5/8/2030</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7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Cenexel Clinical Research, Inc.</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11.21%</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11/8/2025</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5,773</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5,750</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5,760</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21"/>
        </w:trPr>
        <w:tc>
          <w:tcPr>
            <w:tcW w:w="37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Centric Brands Inc. (TL)</w:t>
            </w:r>
          </w:p>
        </w:tc>
        <w:tc>
          <w:tcPr>
            <w:tcW w:w="2040" w:type="dxa"/>
            <w:vAlign w:val="bottom"/>
          </w:tcPr>
          <w:p>
            <w:pPr>
              <w:ind w:left="360"/>
              <w:spacing w:after="0" w:line="122" w:lineRule="exact"/>
              <w:rPr>
                <w:sz w:val="20"/>
                <w:szCs w:val="20"/>
                <w:color w:val="auto"/>
              </w:rPr>
            </w:pPr>
            <w:r>
              <w:rPr>
                <w:rFonts w:ascii="Times New Roman" w:cs="Times New Roman" w:eastAsia="Times New Roman" w:hAnsi="Times New Roman"/>
                <w:sz w:val="11"/>
                <w:szCs w:val="11"/>
                <w:color w:val="auto"/>
              </w:rPr>
              <w:t>Machinery (Non-</w:t>
            </w: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12.84%</w:t>
            </w:r>
          </w:p>
        </w:tc>
        <w:tc>
          <w:tcPr>
            <w:tcW w:w="96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SOFR + 5.50%,</w:t>
            </w:r>
          </w:p>
        </w:tc>
        <w:tc>
          <w:tcPr>
            <w:tcW w:w="60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7"/>
              </w:rPr>
              <w:t>8/6/2029</w:t>
            </w: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3,689</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3,689</w:t>
            </w:r>
          </w:p>
        </w:tc>
        <w:tc>
          <w:tcPr>
            <w:tcW w:w="180" w:type="dxa"/>
            <w:vAlign w:val="bottom"/>
          </w:tcPr>
          <w:p>
            <w:pPr>
              <w:spacing w:after="0"/>
              <w:rPr>
                <w:sz w:val="10"/>
                <w:szCs w:val="10"/>
                <w:color w:val="auto"/>
              </w:rPr>
            </w:pPr>
          </w:p>
        </w:tc>
        <w:tc>
          <w:tcPr>
            <w:tcW w:w="4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3,689</w:t>
            </w:r>
          </w:p>
        </w:tc>
        <w:tc>
          <w:tcPr>
            <w:tcW w:w="70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Agrclt/Constr/Electr)</w:t>
            </w:r>
          </w:p>
        </w:tc>
        <w:tc>
          <w:tcPr>
            <w:tcW w:w="6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2.00% PIK</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Centric Brands Inc. (TLA1)</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Machinery (Non-</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13.34%</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SOFR + 8.00%,</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ind w:left="6"/>
              <w:spacing w:after="0"/>
              <w:rPr>
                <w:sz w:val="20"/>
                <w:szCs w:val="20"/>
                <w:color w:val="auto"/>
              </w:rPr>
            </w:pPr>
            <w:r>
              <w:rPr>
                <w:rFonts w:ascii="Times New Roman" w:cs="Times New Roman" w:eastAsia="Times New Roman" w:hAnsi="Times New Roman"/>
                <w:sz w:val="11"/>
                <w:szCs w:val="11"/>
                <w:color w:val="auto"/>
                <w:w w:val="97"/>
              </w:rPr>
              <w:t>2/6/2031</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3,934</w:t>
            </w: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3,934</w:t>
            </w:r>
          </w:p>
        </w:tc>
        <w:tc>
          <w:tcPr>
            <w:tcW w:w="18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3,934</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9"/>
        </w:trPr>
        <w:tc>
          <w:tcPr>
            <w:tcW w:w="3720" w:type="dxa"/>
            <w:vAlign w:val="bottom"/>
            <w:shd w:val="clear" w:color="auto" w:fill="CFF0FC"/>
          </w:tcPr>
          <w:p>
            <w:pPr>
              <w:spacing w:after="0"/>
              <w:rPr>
                <w:sz w:val="12"/>
                <w:szCs w:val="12"/>
                <w:color w:val="auto"/>
              </w:rPr>
            </w:pP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Agrclt/Constr/Electr)</w:t>
            </w:r>
          </w:p>
        </w:tc>
        <w:tc>
          <w:tcPr>
            <w:tcW w:w="600" w:type="dxa"/>
            <w:vAlign w:val="bottom"/>
            <w:shd w:val="clear" w:color="auto" w:fill="CFF0FC"/>
          </w:tcPr>
          <w:p>
            <w:pPr>
              <w:spacing w:after="0"/>
              <w:rPr>
                <w:sz w:val="12"/>
                <w:szCs w:val="12"/>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12.34% PIK</w:t>
            </w:r>
          </w:p>
        </w:tc>
        <w:tc>
          <w:tcPr>
            <w:tcW w:w="6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7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Centric Brands Inc. (TLA2)</w:t>
            </w:r>
          </w:p>
        </w:tc>
        <w:tc>
          <w:tcPr>
            <w:tcW w:w="2040" w:type="dxa"/>
            <w:vAlign w:val="bottom"/>
          </w:tcPr>
          <w:p>
            <w:pPr>
              <w:ind w:left="360"/>
              <w:spacing w:after="0" w:line="122" w:lineRule="exact"/>
              <w:rPr>
                <w:sz w:val="20"/>
                <w:szCs w:val="20"/>
                <w:color w:val="auto"/>
              </w:rPr>
            </w:pPr>
            <w:r>
              <w:rPr>
                <w:rFonts w:ascii="Times New Roman" w:cs="Times New Roman" w:eastAsia="Times New Roman" w:hAnsi="Times New Roman"/>
                <w:sz w:val="11"/>
                <w:szCs w:val="11"/>
                <w:color w:val="auto"/>
              </w:rPr>
              <w:t>Machinery (Non-</w:t>
            </w: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13.34%</w:t>
            </w: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SOFR + 8.00%,</w:t>
            </w:r>
          </w:p>
        </w:tc>
        <w:tc>
          <w:tcPr>
            <w:tcW w:w="60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7"/>
              </w:rPr>
              <w:t>2/6/2031</w:t>
            </w: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3,240</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3,240</w:t>
            </w:r>
          </w:p>
        </w:tc>
        <w:tc>
          <w:tcPr>
            <w:tcW w:w="180" w:type="dxa"/>
            <w:vAlign w:val="bottom"/>
          </w:tcPr>
          <w:p>
            <w:pPr>
              <w:spacing w:after="0"/>
              <w:rPr>
                <w:sz w:val="10"/>
                <w:szCs w:val="10"/>
                <w:color w:val="auto"/>
              </w:rPr>
            </w:pPr>
          </w:p>
        </w:tc>
        <w:tc>
          <w:tcPr>
            <w:tcW w:w="4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3,240</w:t>
            </w:r>
          </w:p>
        </w:tc>
        <w:tc>
          <w:tcPr>
            <w:tcW w:w="70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Agrclt/Constr/Electr)</w:t>
            </w:r>
          </w:p>
        </w:tc>
        <w:tc>
          <w:tcPr>
            <w:tcW w:w="6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12.34% PIK</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Colonnade Intermediate, LLC</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Services: Business</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12.40%</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+ 7.00%</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4/27/2024</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7,167</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7,167</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5,381</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Colonnade Intermediate, LLC (Super Priority)</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Services: Business</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10.44%</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+ 5.00%</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7/31/2024</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656</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641</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641</w:t>
            </w:r>
          </w:p>
        </w:tc>
        <w:tc>
          <w:tcPr>
            <w:tcW w:w="7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Colonnade Intermediate, LLC (Revolver)</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Services: Business</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14.50%</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Prime + 7.50%</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4/27/2024</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685</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685</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515</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Critical Nurse Staffing, LLC</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11.99%</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+ 6.50%</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10/30/2026</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12,011</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11,881</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12,011</w:t>
            </w:r>
          </w:p>
        </w:tc>
        <w:tc>
          <w:tcPr>
            <w:tcW w:w="7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Critical Nurse Staffing, LLC (Revolver)</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10/30/2026</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(35 )</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Datalink, LLC</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12.14%</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+ 6.75%</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11/23/2026</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2,678</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2,648</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2,545</w:t>
            </w:r>
          </w:p>
        </w:tc>
        <w:tc>
          <w:tcPr>
            <w:tcW w:w="7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Dentive, LLC</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12.14%</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+ 6.75%</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0.75%</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12/26/2028</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2,349</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2,298</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2,286</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Dentive, LLC (Revolver)</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+ 7.00%</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0.75%</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12/23/2028</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7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Dodge Data &amp; Analytics LLC</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Construction &amp; Building</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10.23%</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+ 4.75%</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0.50%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2/10/2029</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1,470</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1,455</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1,098</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Florida Food Products, LLC</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Beverage, Food and Tobacco</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10.43%</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+ 5.00%</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0.75%</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10/18/2028</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6,858</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6,735</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5,981</w:t>
            </w:r>
          </w:p>
        </w:tc>
        <w:tc>
          <w:tcPr>
            <w:tcW w:w="7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Fortis Payment Systems, LLC</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Diversified Financial Services</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11.18%</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2/13/2026</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2,782</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2,733</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2,756</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Franchise Group, Inc.</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Retail</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10.36%</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+ 4.75%</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0.75%</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3/10/2026</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2,900</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2,892</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2,215</w:t>
            </w:r>
          </w:p>
        </w:tc>
        <w:tc>
          <w:tcPr>
            <w:tcW w:w="7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25"/>
        </w:trPr>
        <w:tc>
          <w:tcPr>
            <w:tcW w:w="372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Global Integrated Flooring Systems Inc.</w:t>
            </w:r>
          </w:p>
        </w:tc>
        <w:tc>
          <w:tcPr>
            <w:tcW w:w="2040" w:type="dxa"/>
            <w:vAlign w:val="bottom"/>
            <w:shd w:val="clear" w:color="auto" w:fill="CFF0FC"/>
          </w:tcPr>
          <w:p>
            <w:pPr>
              <w:ind w:left="360"/>
              <w:spacing w:after="0" w:line="125" w:lineRule="exact"/>
              <w:rPr>
                <w:sz w:val="20"/>
                <w:szCs w:val="20"/>
                <w:color w:val="auto"/>
              </w:rPr>
            </w:pPr>
            <w:r>
              <w:rPr>
                <w:rFonts w:ascii="Times New Roman" w:cs="Times New Roman" w:eastAsia="Times New Roman" w:hAnsi="Times New Roman"/>
                <w:sz w:val="11"/>
                <w:szCs w:val="11"/>
                <w:color w:val="auto"/>
              </w:rPr>
              <w:t>Consumer goods: Durable</w:t>
            </w:r>
          </w:p>
        </w:tc>
        <w:tc>
          <w:tcPr>
            <w:tcW w:w="60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rPr>
              <w:t>13.67%</w:t>
            </w:r>
          </w:p>
        </w:tc>
        <w:tc>
          <w:tcPr>
            <w:tcW w:w="960" w:type="dxa"/>
            <w:vAlign w:val="bottom"/>
            <w:shd w:val="clear" w:color="auto" w:fill="CFF0FC"/>
          </w:tcPr>
          <w:p>
            <w:pPr>
              <w:ind w:left="120"/>
              <w:spacing w:after="0" w:line="125" w:lineRule="exact"/>
              <w:rPr>
                <w:sz w:val="20"/>
                <w:szCs w:val="20"/>
                <w:color w:val="auto"/>
              </w:rPr>
            </w:pPr>
            <w:r>
              <w:rPr>
                <w:rFonts w:ascii="Times New Roman" w:cs="Times New Roman" w:eastAsia="Times New Roman" w:hAnsi="Times New Roman"/>
                <w:sz w:val="11"/>
                <w:szCs w:val="11"/>
                <w:color w:val="auto"/>
              </w:rPr>
              <w:t>SOFR + 8.36%,</w:t>
            </w:r>
          </w:p>
        </w:tc>
        <w:tc>
          <w:tcPr>
            <w:tcW w:w="600" w:type="dxa"/>
            <w:vAlign w:val="bottom"/>
            <w:vMerge w:val="restart"/>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6/30/2025</w:t>
            </w:r>
          </w:p>
        </w:tc>
        <w:tc>
          <w:tcPr>
            <w:tcW w:w="580" w:type="dxa"/>
            <w:vAlign w:val="bottom"/>
            <w:shd w:val="clear" w:color="auto" w:fill="CFF0FC"/>
          </w:tcPr>
          <w:p>
            <w:pPr>
              <w:jc w:val="right"/>
              <w:ind w:right="6"/>
              <w:spacing w:after="0" w:line="125" w:lineRule="exact"/>
              <w:rPr>
                <w:sz w:val="20"/>
                <w:szCs w:val="20"/>
                <w:color w:val="auto"/>
              </w:rPr>
            </w:pPr>
            <w:r>
              <w:rPr>
                <w:rFonts w:ascii="Times New Roman" w:cs="Times New Roman" w:eastAsia="Times New Roman" w:hAnsi="Times New Roman"/>
                <w:sz w:val="11"/>
                <w:szCs w:val="11"/>
                <w:color w:val="auto"/>
              </w:rPr>
              <w:t>6,632</w:t>
            </w: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5,901</w:t>
            </w:r>
          </w:p>
        </w:tc>
        <w:tc>
          <w:tcPr>
            <w:tcW w:w="18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3,988</w:t>
            </w:r>
          </w:p>
        </w:tc>
        <w:tc>
          <w:tcPr>
            <w:tcW w:w="7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3720" w:type="dxa"/>
            <w:vAlign w:val="bottom"/>
            <w:shd w:val="clear" w:color="auto" w:fill="CFF0FC"/>
          </w:tcPr>
          <w:p>
            <w:pPr>
              <w:spacing w:after="0"/>
              <w:rPr>
                <w:sz w:val="6"/>
                <w:szCs w:val="6"/>
                <w:color w:val="auto"/>
              </w:rPr>
            </w:pPr>
          </w:p>
        </w:tc>
        <w:tc>
          <w:tcPr>
            <w:tcW w:w="204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1.00% PIK</w:t>
            </w:r>
          </w:p>
        </w:tc>
        <w:tc>
          <w:tcPr>
            <w:tcW w:w="600" w:type="dxa"/>
            <w:vAlign w:val="bottom"/>
            <w:vMerge w:val="continue"/>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7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720" w:type="dxa"/>
            <w:vAlign w:val="bottom"/>
            <w:shd w:val="clear" w:color="auto" w:fill="CFF0FC"/>
          </w:tcPr>
          <w:p>
            <w:pPr>
              <w:spacing w:after="0"/>
              <w:rPr>
                <w:sz w:val="6"/>
                <w:szCs w:val="6"/>
                <w:color w:val="auto"/>
              </w:rPr>
            </w:pPr>
          </w:p>
        </w:tc>
        <w:tc>
          <w:tcPr>
            <w:tcW w:w="204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960" w:type="dxa"/>
            <w:vAlign w:val="bottom"/>
            <w:vMerge w:val="continue"/>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7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Integrated Flooring Systems Inc. (Revolver)</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Consumer goods: Durable</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11.59%</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+ 8.37%</w:t>
            </w:r>
          </w:p>
        </w:tc>
        <w:tc>
          <w:tcPr>
            <w:tcW w:w="6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6/30/2025</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45</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30</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H.W. Lochner, Inc.</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Services: Business</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11.71%</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+ 6.25%</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ind w:left="6"/>
              <w:spacing w:after="0"/>
              <w:rPr>
                <w:sz w:val="20"/>
                <w:szCs w:val="20"/>
                <w:color w:val="auto"/>
              </w:rPr>
            </w:pPr>
            <w:r>
              <w:rPr>
                <w:rFonts w:ascii="Times New Roman" w:cs="Times New Roman" w:eastAsia="Times New Roman" w:hAnsi="Times New Roman"/>
                <w:sz w:val="11"/>
                <w:szCs w:val="11"/>
                <w:color w:val="auto"/>
                <w:w w:val="97"/>
              </w:rPr>
              <w:t>7/2/2027</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14,588</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14,441</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14,288</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Lochner, Inc. (Revolver)</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Services: Business</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11.73%</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+ 6.25%</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7"/>
              </w:rPr>
              <w:t>7/2/2027</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8,000</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7,920</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7,836</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72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H-CA II, LLC</w:t>
            </w:r>
          </w:p>
        </w:tc>
        <w:tc>
          <w:tcPr>
            <w:tcW w:w="2040" w:type="dxa"/>
            <w:vAlign w:val="bottom"/>
            <w:shd w:val="clear" w:color="auto" w:fill="CFF0FC"/>
          </w:tcPr>
          <w:p>
            <w:pPr>
              <w:ind w:left="360"/>
              <w:spacing w:after="0" w:line="125" w:lineRule="exact"/>
              <w:rPr>
                <w:sz w:val="20"/>
                <w:szCs w:val="20"/>
                <w:color w:val="auto"/>
              </w:rPr>
            </w:pPr>
            <w:r>
              <w:rPr>
                <w:rFonts w:ascii="Times New Roman" w:cs="Times New Roman" w:eastAsia="Times New Roman" w:hAnsi="Times New Roman"/>
                <w:sz w:val="11"/>
                <w:szCs w:val="11"/>
                <w:color w:val="auto"/>
              </w:rPr>
              <w:t>Banking, Finance, Insurance &amp; Real</w:t>
            </w:r>
          </w:p>
        </w:tc>
        <w:tc>
          <w:tcPr>
            <w:tcW w:w="60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rPr>
              <w:t>16.00%</w:t>
            </w: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600" w:type="dxa"/>
            <w:vAlign w:val="bottom"/>
            <w:vMerge w:val="restart"/>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center"/>
              <w:ind w:left="6"/>
              <w:spacing w:after="0" w:line="125" w:lineRule="exact"/>
              <w:rPr>
                <w:sz w:val="20"/>
                <w:szCs w:val="20"/>
                <w:color w:val="auto"/>
              </w:rPr>
            </w:pPr>
            <w:r>
              <w:rPr>
                <w:rFonts w:ascii="Times New Roman" w:cs="Times New Roman" w:eastAsia="Times New Roman" w:hAnsi="Times New Roman"/>
                <w:sz w:val="11"/>
                <w:szCs w:val="11"/>
                <w:color w:val="auto"/>
                <w:w w:val="97"/>
              </w:rPr>
              <w:t>4/1/2024</w:t>
            </w:r>
          </w:p>
        </w:tc>
        <w:tc>
          <w:tcPr>
            <w:tcW w:w="580" w:type="dxa"/>
            <w:vAlign w:val="bottom"/>
            <w:shd w:val="clear" w:color="auto" w:fill="CFF0FC"/>
          </w:tcPr>
          <w:p>
            <w:pPr>
              <w:jc w:val="right"/>
              <w:ind w:right="6"/>
              <w:spacing w:after="0" w:line="125" w:lineRule="exact"/>
              <w:rPr>
                <w:sz w:val="20"/>
                <w:szCs w:val="20"/>
                <w:color w:val="auto"/>
              </w:rPr>
            </w:pPr>
            <w:r>
              <w:rPr>
                <w:rFonts w:ascii="Times New Roman" w:cs="Times New Roman" w:eastAsia="Times New Roman" w:hAnsi="Times New Roman"/>
                <w:sz w:val="11"/>
                <w:szCs w:val="11"/>
                <w:color w:val="auto"/>
              </w:rPr>
              <w:t>1,808</w:t>
            </w: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1,808</w:t>
            </w:r>
          </w:p>
        </w:tc>
        <w:tc>
          <w:tcPr>
            <w:tcW w:w="180" w:type="dxa"/>
            <w:vAlign w:val="bottom"/>
            <w:shd w:val="clear" w:color="auto" w:fill="CFF0FC"/>
          </w:tcPr>
          <w:p>
            <w:pPr>
              <w:spacing w:after="0"/>
              <w:rPr>
                <w:sz w:val="10"/>
                <w:szCs w:val="10"/>
                <w:color w:val="auto"/>
              </w:rPr>
            </w:pPr>
          </w:p>
        </w:tc>
        <w:tc>
          <w:tcPr>
            <w:tcW w:w="480" w:type="dxa"/>
            <w:vAlign w:val="bottom"/>
            <w:shd w:val="clear" w:color="auto" w:fill="CFF0FC"/>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rPr>
              <w:t>1,808</w:t>
            </w:r>
          </w:p>
        </w:tc>
        <w:tc>
          <w:tcPr>
            <w:tcW w:w="7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3720" w:type="dxa"/>
            <w:vAlign w:val="bottom"/>
            <w:shd w:val="clear" w:color="auto" w:fill="CFF0FC"/>
          </w:tcPr>
          <w:p>
            <w:pPr>
              <w:spacing w:after="0"/>
              <w:rPr>
                <w:sz w:val="6"/>
                <w:szCs w:val="6"/>
                <w:color w:val="auto"/>
              </w:rPr>
            </w:pPr>
          </w:p>
        </w:tc>
        <w:tc>
          <w:tcPr>
            <w:tcW w:w="204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Estate</w:t>
            </w:r>
          </w:p>
        </w:tc>
        <w:tc>
          <w:tcPr>
            <w:tcW w:w="600" w:type="dxa"/>
            <w:vAlign w:val="bottom"/>
            <w:shd w:val="clear" w:color="auto" w:fill="CFF0FC"/>
          </w:tcPr>
          <w:p>
            <w:pPr>
              <w:spacing w:after="0"/>
              <w:rPr>
                <w:sz w:val="6"/>
                <w:szCs w:val="6"/>
                <w:color w:val="auto"/>
              </w:rPr>
            </w:pPr>
          </w:p>
        </w:tc>
        <w:tc>
          <w:tcPr>
            <w:tcW w:w="960" w:type="dxa"/>
            <w:vAlign w:val="bottom"/>
            <w:vMerge w:val="continue"/>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7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720" w:type="dxa"/>
            <w:vAlign w:val="bottom"/>
            <w:shd w:val="clear" w:color="auto" w:fill="CFF0FC"/>
          </w:tcPr>
          <w:p>
            <w:pPr>
              <w:spacing w:after="0"/>
              <w:rPr>
                <w:sz w:val="6"/>
                <w:szCs w:val="6"/>
                <w:color w:val="auto"/>
              </w:rPr>
            </w:pPr>
          </w:p>
        </w:tc>
        <w:tc>
          <w:tcPr>
            <w:tcW w:w="2040" w:type="dxa"/>
            <w:vAlign w:val="bottom"/>
            <w:vMerge w:val="continue"/>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96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7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37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HDC/HW Intermediate Holdings, LLC - Term Loan A</w:t>
            </w:r>
          </w:p>
        </w:tc>
        <w:tc>
          <w:tcPr>
            <w:tcW w:w="2040" w:type="dxa"/>
            <w:vAlign w:val="bottom"/>
          </w:tcPr>
          <w:p>
            <w:pPr>
              <w:ind w:left="360"/>
              <w:spacing w:after="0" w:line="122" w:lineRule="exact"/>
              <w:rPr>
                <w:sz w:val="20"/>
                <w:szCs w:val="20"/>
                <w:color w:val="auto"/>
              </w:rPr>
            </w:pPr>
            <w:r>
              <w:rPr>
                <w:rFonts w:ascii="Times New Roman" w:cs="Times New Roman" w:eastAsia="Times New Roman" w:hAnsi="Times New Roman"/>
                <w:sz w:val="11"/>
                <w:szCs w:val="11"/>
                <w:color w:val="auto"/>
              </w:rPr>
              <w:t>High Tech Industries</w:t>
            </w: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9.10%</w:t>
            </w: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SOFR + 1.00%,</w:t>
            </w:r>
          </w:p>
        </w:tc>
        <w:tc>
          <w:tcPr>
            <w:tcW w:w="60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6/21/2026</w:t>
            </w: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5,561</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4,708</w:t>
            </w:r>
          </w:p>
        </w:tc>
        <w:tc>
          <w:tcPr>
            <w:tcW w:w="180" w:type="dxa"/>
            <w:vAlign w:val="bottom"/>
          </w:tcPr>
          <w:p>
            <w:pPr>
              <w:spacing w:after="0"/>
              <w:rPr>
                <w:sz w:val="10"/>
                <w:szCs w:val="10"/>
                <w:color w:val="auto"/>
              </w:rPr>
            </w:pPr>
          </w:p>
        </w:tc>
        <w:tc>
          <w:tcPr>
            <w:tcW w:w="4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5,082</w:t>
            </w:r>
          </w:p>
        </w:tc>
        <w:tc>
          <w:tcPr>
            <w:tcW w:w="70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73"/>
        </w:trPr>
        <w:tc>
          <w:tcPr>
            <w:tcW w:w="37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2.50% PIK</w:t>
            </w: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7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HDC/HW Intermediate Holdings, LLC - Term Loan B</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6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6/21/2026</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3,851</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940</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(5)(13)</w:t>
            </w: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Help Systems Holdings, Inc.</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9.43%</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+ 4.00%</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0.75%</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11/19/2026</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1,964</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1,861</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1,774</w:t>
            </w:r>
          </w:p>
        </w:tc>
        <w:tc>
          <w:tcPr>
            <w:tcW w:w="7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Hollander Intermediate LLC</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Consumer goods: Durable</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14.21%</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+ 8.75%</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2.00%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9/19/2026</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5,505</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5,409</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5,086</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IDC Infusion Services LLC</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11.85%</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+ 6.50%</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7"/>
              </w:rPr>
              <w:t>7/7/2028</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2,913</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2,847</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2,865</w:t>
            </w:r>
          </w:p>
        </w:tc>
        <w:tc>
          <w:tcPr>
            <w:tcW w:w="7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Ivanti Software, Inc.</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9.81%</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+ 4.25%</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0.75%</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12/1/2027</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982</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831</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785</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21"/>
        </w:trPr>
        <w:tc>
          <w:tcPr>
            <w:tcW w:w="37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JO ET Holdings Limited</w:t>
            </w:r>
          </w:p>
        </w:tc>
        <w:tc>
          <w:tcPr>
            <w:tcW w:w="2040" w:type="dxa"/>
            <w:vAlign w:val="bottom"/>
          </w:tcPr>
          <w:p>
            <w:pPr>
              <w:ind w:left="360"/>
              <w:spacing w:after="0" w:line="122" w:lineRule="exact"/>
              <w:rPr>
                <w:sz w:val="20"/>
                <w:szCs w:val="20"/>
                <w:color w:val="auto"/>
              </w:rPr>
            </w:pPr>
            <w:r>
              <w:rPr>
                <w:rFonts w:ascii="Times New Roman" w:cs="Times New Roman" w:eastAsia="Times New Roman" w:hAnsi="Times New Roman"/>
                <w:sz w:val="11"/>
                <w:szCs w:val="11"/>
                <w:color w:val="auto"/>
              </w:rPr>
              <w:t>Telecommunications</w:t>
            </w: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11.34%</w:t>
            </w:r>
          </w:p>
        </w:tc>
        <w:tc>
          <w:tcPr>
            <w:tcW w:w="96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SOFR + 6.00%,</w:t>
            </w:r>
          </w:p>
        </w:tc>
        <w:tc>
          <w:tcPr>
            <w:tcW w:w="60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12/15/2026</w:t>
            </w: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2,290</w:t>
            </w:r>
          </w:p>
        </w:tc>
        <w:tc>
          <w:tcPr>
            <w:tcW w:w="20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2,270</w:t>
            </w:r>
          </w:p>
        </w:tc>
        <w:tc>
          <w:tcPr>
            <w:tcW w:w="180" w:type="dxa"/>
            <w:vAlign w:val="bottom"/>
          </w:tcPr>
          <w:p>
            <w:pPr>
              <w:spacing w:after="0"/>
              <w:rPr>
                <w:sz w:val="10"/>
                <w:szCs w:val="10"/>
                <w:color w:val="auto"/>
              </w:rPr>
            </w:pPr>
          </w:p>
        </w:tc>
        <w:tc>
          <w:tcPr>
            <w:tcW w:w="4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2,335</w:t>
            </w:r>
          </w:p>
        </w:tc>
        <w:tc>
          <w:tcPr>
            <w:tcW w:w="70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7.00% PIK</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Keg Logistics LLC</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Services: Business</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11.49%</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+ 6.00%</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11/23/2027</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11,938</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11,837</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11,755</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Keg Logistics LLC (Revolver)</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Services: Business</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11.67%</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+ 6.75%</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11/23/2027</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872</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859</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859</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Lifescan Global Corporation</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11.93%</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+ 6.50%</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12/31/2026</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2,273</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2,174</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1,093</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Luminii LLC</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Construction &amp; Building</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12.65%</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+ 7.35%</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4/11/2025</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5,903</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5,903</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5,903</w:t>
            </w:r>
          </w:p>
        </w:tc>
        <w:tc>
          <w:tcPr>
            <w:tcW w:w="7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Luminii LLC (Revolver)</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Construction &amp; Building</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12.65%</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+ 7.35%</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4/11/2025</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343</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343</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343</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44"/>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Aerospace and Defense</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10.93%</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+ 5.50%</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7"/>
              </w:rPr>
              <w:t>4/1/2027</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3,644</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3,377</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3,531</w:t>
            </w:r>
          </w:p>
        </w:tc>
        <w:tc>
          <w:tcPr>
            <w:tcW w:w="7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Money Transfer Acquisition Inc.</w:t>
            </w:r>
          </w:p>
        </w:tc>
        <w:tc>
          <w:tcPr>
            <w:tcW w:w="2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Finance</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13.69%</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+ 8.25%</w:t>
            </w:r>
          </w:p>
        </w:tc>
        <w:tc>
          <w:tcPr>
            <w:tcW w:w="6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12/14/2027</w:t>
            </w:r>
          </w:p>
        </w:tc>
        <w:tc>
          <w:tcPr>
            <w:tcW w:w="5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8,672</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8,552</w:t>
            </w: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8,494</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0"/>
        </w:trPr>
        <w:tc>
          <w:tcPr>
            <w:tcW w:w="3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Morae Global Corporation</w:t>
            </w:r>
          </w:p>
        </w:tc>
        <w:tc>
          <w:tcPr>
            <w:tcW w:w="20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IT Consulting &amp; Other Services</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13.47%</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+ 8.00%</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2.00%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10/26/2026</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2,249</w:t>
            </w:r>
          </w:p>
        </w:tc>
        <w:tc>
          <w:tcPr>
            <w:tcW w:w="20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2,135</w:t>
            </w:r>
          </w:p>
        </w:tc>
        <w:tc>
          <w:tcPr>
            <w:tcW w:w="1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2,195</w:t>
            </w:r>
          </w:p>
        </w:tc>
        <w:tc>
          <w:tcPr>
            <w:tcW w:w="7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 to unaudited consolidated financial statements.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As of June 30, 2024</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Reference Rate</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(2), (4), (12), (14), (23), (24)</w:t>
            </w:r>
          </w:p>
        </w:tc>
        <w:tc>
          <w:tcPr>
            <w:tcW w:w="20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Interest Rate (1)</w:t>
            </w:r>
          </w:p>
        </w:tc>
        <w:tc>
          <w:tcPr>
            <w:tcW w:w="13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and Spread (1)</w:t>
            </w:r>
          </w:p>
        </w:tc>
        <w:tc>
          <w:tcPr>
            <w:tcW w:w="6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Floor (1)</w:t>
            </w: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7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700" w:type="dxa"/>
            <w:vAlign w:val="bottom"/>
            <w:tcBorders>
              <w:bottom w:val="single" w:sz="8" w:color="auto"/>
            </w:tcBorders>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4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Morae Global Corporation (Revolver)</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IT Consulting &amp; Other Services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+ 8.00%</w:t>
            </w:r>
          </w:p>
        </w:tc>
        <w:tc>
          <w:tcPr>
            <w:tcW w:w="6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2.00%</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10/26/2026</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1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(5 )</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MSM Acquisitions, Inc.</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Services: Business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11.35%</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+ 6.00%</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12/9/2026</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9,902</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9,868</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9,357</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Neptune Bidco US Inc.</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Media: Broadcasting &amp; Subscription</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10.41%</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+ 5.00%</w:t>
            </w:r>
          </w:p>
        </w:tc>
        <w:tc>
          <w:tcPr>
            <w:tcW w:w="6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0.50%</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4/11/2029</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2,475</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2,266</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2,336</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Netwrix Corporation</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10.35%</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+ 5.00%</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0.75%</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6/9/2029</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4,270</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4,252</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4,219</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Netwrix Corporation (Revolver)</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+ 5.00%</w:t>
            </w:r>
          </w:p>
        </w:tc>
        <w:tc>
          <w:tcPr>
            <w:tcW w:w="6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0.75%</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6/9/2029</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(14 )</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Transportation: Consumer</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11.71%</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+ 6.25%</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4/29/2027</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7,510</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7,438</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7,510</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PhyNet Dermatology LLC</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11.82%</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+ 6.50%</w:t>
            </w:r>
          </w:p>
        </w:tc>
        <w:tc>
          <w:tcPr>
            <w:tcW w:w="6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1.00%</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10/20/2029</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1,301</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1,271</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1,286</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Pomeroy Technologies, LLC (Senior A)</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4/4/2026</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1,813</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1,649</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Pomeroy Technologies, LLC (Senior B)</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4/4/2026</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1,650</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1,542</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Pomeroy Technologies, LLC (Super Senior A)</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10.00% PIK</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4/4/2026</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444</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442</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429</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Pomeroy Technologies, LLC (Super Senior B)</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9.00% PIK</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4/4/2026</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1,319</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1,313</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1,113</w:t>
            </w:r>
          </w:p>
        </w:tc>
        <w:tc>
          <w:tcPr>
            <w:tcW w:w="5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Premier Imaging, LLC</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13.60%</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+ 8.00%</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1/2/2025</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2,736</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2,727</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2,437</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Project Castle, Inc.</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Transportation: Cargo</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10.80%</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+ 5.50%</w:t>
            </w:r>
          </w:p>
        </w:tc>
        <w:tc>
          <w:tcPr>
            <w:tcW w:w="6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0.50%</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6/8/2029</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3,035</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2,808</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2,719</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Project Leopard Holdings, Inc.</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10.68%</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+ 5.25%</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0.50%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7/20/2029</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5,724</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5,435</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5,343</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PVHC Holding Corp</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Containers, Packaging and Glass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10.98%</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9"/>
              </w:rPr>
              <w:t>SOFR + 5.50%, 0.75% PIK</w:t>
            </w:r>
          </w:p>
        </w:tc>
        <w:tc>
          <w:tcPr>
            <w:tcW w:w="6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2.50%</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2/17/2027</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2,733</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2,731</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2,679</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Qualtek LLC</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7/14/2025</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4,575</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4,473</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634</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(5)(13)(15)</w:t>
            </w: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Qualtek LLC (ABL Exit Facility)</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10.93%</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+ 5.50%</w:t>
            </w:r>
          </w:p>
        </w:tc>
        <w:tc>
          <w:tcPr>
            <w:tcW w:w="6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7/14/2024</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60</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60</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Qualtek LLC (ABL Revolver)</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5/31/2024</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(15)(20)</w:t>
            </w: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Aerospace and Defense</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11.23%</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+ 5.75%</w:t>
            </w:r>
          </w:p>
        </w:tc>
        <w:tc>
          <w:tcPr>
            <w:tcW w:w="6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3/29/2027</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6,096</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6,084</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6,050</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Transportation: Cargo</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11.48%</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+ 6.00%</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0.75%</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3/24/2028</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4,416</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4,345</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3,356</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Riskonnect Parent LLC</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Application Software</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10.98%</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+ 5.50%</w:t>
            </w:r>
          </w:p>
        </w:tc>
        <w:tc>
          <w:tcPr>
            <w:tcW w:w="6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0.75%</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12/7/2028</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1,222</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1,165</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1,153</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Robertshaw US Holding Corp.</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Capital Equipment</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15.95%</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9"/>
              </w:rPr>
              <w:t>SOFR + 1.10%, 9.50% PIK</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9/23/2024</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139</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146</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14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South Street Securities Holdings, Inc</w:t>
            </w:r>
          </w:p>
        </w:tc>
        <w:tc>
          <w:tcPr>
            <w:tcW w:w="2000" w:type="dxa"/>
            <w:vAlign w:val="bottom"/>
            <w:shd w:val="clear" w:color="auto" w:fill="CFF0FC"/>
          </w:tcPr>
          <w:p>
            <w:pPr>
              <w:ind w:left="360"/>
              <w:spacing w:after="0" w:line="125" w:lineRule="exact"/>
              <w:rPr>
                <w:sz w:val="20"/>
                <w:szCs w:val="20"/>
                <w:color w:val="auto"/>
              </w:rPr>
            </w:pPr>
            <w:r>
              <w:rPr>
                <w:rFonts w:ascii="Times New Roman" w:cs="Times New Roman" w:eastAsia="Times New Roman" w:hAnsi="Times New Roman"/>
                <w:sz w:val="11"/>
                <w:szCs w:val="11"/>
                <w:color w:val="auto"/>
              </w:rPr>
              <w:t>Banking, Finance, Insurance &amp; Real</w:t>
            </w:r>
          </w:p>
        </w:tc>
        <w:tc>
          <w:tcPr>
            <w:tcW w:w="86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9.00%</w:t>
            </w:r>
          </w:p>
        </w:tc>
        <w:tc>
          <w:tcPr>
            <w:tcW w:w="1360" w:type="dxa"/>
            <w:vAlign w:val="bottom"/>
            <w:vMerge w:val="restart"/>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vMerge w:val="restart"/>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9/20/2027</w:t>
            </w:r>
          </w:p>
        </w:tc>
        <w:tc>
          <w:tcPr>
            <w:tcW w:w="76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3,150</w:t>
            </w: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26"/>
              <w:spacing w:after="0" w:line="125" w:lineRule="exact"/>
              <w:rPr>
                <w:sz w:val="20"/>
                <w:szCs w:val="20"/>
                <w:color w:val="auto"/>
              </w:rPr>
            </w:pPr>
            <w:r>
              <w:rPr>
                <w:rFonts w:ascii="Times New Roman" w:cs="Times New Roman" w:eastAsia="Times New Roman" w:hAnsi="Times New Roman"/>
                <w:sz w:val="11"/>
                <w:szCs w:val="11"/>
                <w:color w:val="auto"/>
              </w:rPr>
              <w:t>2,812</w:t>
            </w: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2,418</w:t>
            </w:r>
          </w:p>
        </w:tc>
        <w:tc>
          <w:tcPr>
            <w:tcW w:w="5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3140" w:type="dxa"/>
            <w:vAlign w:val="bottom"/>
            <w:shd w:val="clear" w:color="auto" w:fill="CFF0FC"/>
          </w:tcPr>
          <w:p>
            <w:pPr>
              <w:spacing w:after="0"/>
              <w:rPr>
                <w:sz w:val="6"/>
                <w:szCs w:val="6"/>
                <w:color w:val="auto"/>
              </w:rPr>
            </w:pPr>
          </w:p>
        </w:tc>
        <w:tc>
          <w:tcPr>
            <w:tcW w:w="200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Estate</w:t>
            </w:r>
          </w:p>
        </w:tc>
        <w:tc>
          <w:tcPr>
            <w:tcW w:w="860" w:type="dxa"/>
            <w:vAlign w:val="bottom"/>
            <w:shd w:val="clear" w:color="auto" w:fill="CFF0FC"/>
          </w:tcPr>
          <w:p>
            <w:pPr>
              <w:spacing w:after="0"/>
              <w:rPr>
                <w:sz w:val="6"/>
                <w:szCs w:val="6"/>
                <w:color w:val="auto"/>
              </w:rPr>
            </w:pPr>
          </w:p>
        </w:tc>
        <w:tc>
          <w:tcPr>
            <w:tcW w:w="1360" w:type="dxa"/>
            <w:vAlign w:val="bottom"/>
            <w:vMerge w:val="continue"/>
            <w:shd w:val="clear" w:color="auto" w:fill="CFF0FC"/>
          </w:tcPr>
          <w:p>
            <w:pPr>
              <w:spacing w:after="0"/>
              <w:rPr>
                <w:sz w:val="6"/>
                <w:szCs w:val="6"/>
                <w:color w:val="auto"/>
              </w:rPr>
            </w:pPr>
          </w:p>
        </w:tc>
        <w:tc>
          <w:tcPr>
            <w:tcW w:w="620" w:type="dxa"/>
            <w:vAlign w:val="bottom"/>
            <w:vMerge w:val="continue"/>
            <w:shd w:val="clear" w:color="auto" w:fill="CFF0FC"/>
          </w:tcPr>
          <w:p>
            <w:pPr>
              <w:spacing w:after="0"/>
              <w:rPr>
                <w:sz w:val="6"/>
                <w:szCs w:val="6"/>
                <w:color w:val="auto"/>
              </w:rPr>
            </w:pPr>
          </w:p>
        </w:tc>
        <w:tc>
          <w:tcPr>
            <w:tcW w:w="68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140" w:type="dxa"/>
            <w:vAlign w:val="bottom"/>
            <w:shd w:val="clear" w:color="auto" w:fill="CFF0FC"/>
          </w:tcPr>
          <w:p>
            <w:pPr>
              <w:spacing w:after="0"/>
              <w:rPr>
                <w:sz w:val="6"/>
                <w:szCs w:val="6"/>
                <w:color w:val="auto"/>
              </w:rPr>
            </w:pPr>
          </w:p>
        </w:tc>
        <w:tc>
          <w:tcPr>
            <w:tcW w:w="2000" w:type="dxa"/>
            <w:vAlign w:val="bottom"/>
            <w:vMerge w:val="continue"/>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1360" w:type="dxa"/>
            <w:vAlign w:val="bottom"/>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68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Sundance Holdings Group, LLC</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Retail</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14.93%</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6"/>
              </w:rPr>
              <w:t>SOFR + 8.00%, 1.50% PIK</w:t>
            </w: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6/30/2025</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6,627</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6,626</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6,184</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Symplr Software, Inc.</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9.93%</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+ 4.50%</w:t>
            </w:r>
          </w:p>
        </w:tc>
        <w:tc>
          <w:tcPr>
            <w:tcW w:w="6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0.75%</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12/22/2027</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1,662</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1,659</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1,561</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Synamedia Americas Holdings, Inc.</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Interactive Media &amp; Services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13.08%</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+ 7.75%</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12/5/2028</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2,679</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2,596</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2,606</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25"/>
        </w:trPr>
        <w:tc>
          <w:tcPr>
            <w:tcW w:w="314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TA/WEG Holdings, LLC</w:t>
            </w:r>
          </w:p>
        </w:tc>
        <w:tc>
          <w:tcPr>
            <w:tcW w:w="2000" w:type="dxa"/>
            <w:vAlign w:val="bottom"/>
            <w:shd w:val="clear" w:color="auto" w:fill="CFF0FC"/>
          </w:tcPr>
          <w:p>
            <w:pPr>
              <w:ind w:left="360"/>
              <w:spacing w:after="0" w:line="125" w:lineRule="exact"/>
              <w:rPr>
                <w:sz w:val="20"/>
                <w:szCs w:val="20"/>
                <w:color w:val="auto"/>
              </w:rPr>
            </w:pPr>
            <w:r>
              <w:rPr>
                <w:rFonts w:ascii="Times New Roman" w:cs="Times New Roman" w:eastAsia="Times New Roman" w:hAnsi="Times New Roman"/>
                <w:sz w:val="11"/>
                <w:szCs w:val="11"/>
                <w:color w:val="auto"/>
              </w:rPr>
              <w:t>Banking, Finance, Insurance &amp; Real</w:t>
            </w:r>
          </w:p>
        </w:tc>
        <w:tc>
          <w:tcPr>
            <w:tcW w:w="86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4"/>
              </w:rPr>
              <w:t>10.83%</w:t>
            </w:r>
          </w:p>
        </w:tc>
        <w:tc>
          <w:tcPr>
            <w:tcW w:w="1360" w:type="dxa"/>
            <w:vAlign w:val="bottom"/>
            <w:shd w:val="clear" w:color="auto" w:fill="CFF0FC"/>
          </w:tcPr>
          <w:p>
            <w:pPr>
              <w:jc w:val="center"/>
              <w:ind w:right="6"/>
              <w:spacing w:after="0" w:line="125" w:lineRule="exact"/>
              <w:rPr>
                <w:sz w:val="20"/>
                <w:szCs w:val="20"/>
                <w:color w:val="auto"/>
              </w:rPr>
            </w:pPr>
            <w:r>
              <w:rPr>
                <w:rFonts w:ascii="Times New Roman" w:cs="Times New Roman" w:eastAsia="Times New Roman" w:hAnsi="Times New Roman"/>
                <w:sz w:val="11"/>
                <w:szCs w:val="11"/>
                <w:color w:val="auto"/>
                <w:w w:val="97"/>
              </w:rPr>
              <w:t>SOFR + 5.50%</w:t>
            </w:r>
          </w:p>
        </w:tc>
        <w:tc>
          <w:tcPr>
            <w:tcW w:w="620" w:type="dxa"/>
            <w:vAlign w:val="bottom"/>
            <w:shd w:val="clear" w:color="auto" w:fill="CFF0FC"/>
          </w:tcPr>
          <w:p>
            <w:pPr>
              <w:jc w:val="right"/>
              <w:ind w:right="126"/>
              <w:spacing w:after="0" w:line="125" w:lineRule="exact"/>
              <w:rPr>
                <w:sz w:val="20"/>
                <w:szCs w:val="20"/>
                <w:color w:val="auto"/>
              </w:rPr>
            </w:pPr>
            <w:r>
              <w:rPr>
                <w:rFonts w:ascii="Times New Roman" w:cs="Times New Roman" w:eastAsia="Times New Roman" w:hAnsi="Times New Roman"/>
                <w:sz w:val="11"/>
                <w:szCs w:val="11"/>
                <w:color w:val="auto"/>
              </w:rPr>
              <w:t>1.00%</w:t>
            </w:r>
          </w:p>
        </w:tc>
        <w:tc>
          <w:tcPr>
            <w:tcW w:w="68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10/2/2027</w:t>
            </w:r>
          </w:p>
        </w:tc>
        <w:tc>
          <w:tcPr>
            <w:tcW w:w="76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9,592</w:t>
            </w: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26"/>
              <w:spacing w:after="0" w:line="125" w:lineRule="exact"/>
              <w:rPr>
                <w:sz w:val="20"/>
                <w:szCs w:val="20"/>
                <w:color w:val="auto"/>
              </w:rPr>
            </w:pPr>
            <w:r>
              <w:rPr>
                <w:rFonts w:ascii="Times New Roman" w:cs="Times New Roman" w:eastAsia="Times New Roman" w:hAnsi="Times New Roman"/>
                <w:sz w:val="11"/>
                <w:szCs w:val="11"/>
                <w:color w:val="auto"/>
              </w:rPr>
              <w:t>9,606</w:t>
            </w: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9,591</w:t>
            </w:r>
          </w:p>
        </w:tc>
        <w:tc>
          <w:tcPr>
            <w:tcW w:w="56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9"/>
        </w:trPr>
        <w:tc>
          <w:tcPr>
            <w:tcW w:w="3140" w:type="dxa"/>
            <w:vAlign w:val="bottom"/>
            <w:shd w:val="clear" w:color="auto" w:fill="CFF0FC"/>
          </w:tcPr>
          <w:p>
            <w:pPr>
              <w:spacing w:after="0"/>
              <w:rPr>
                <w:sz w:val="12"/>
                <w:szCs w:val="12"/>
                <w:color w:val="auto"/>
              </w:rPr>
            </w:pP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Estate</w:t>
            </w:r>
          </w:p>
        </w:tc>
        <w:tc>
          <w:tcPr>
            <w:tcW w:w="8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TA/WEG Holdings, LLC (Revolver)</w:t>
            </w:r>
          </w:p>
        </w:tc>
        <w:tc>
          <w:tcPr>
            <w:tcW w:w="2000" w:type="dxa"/>
            <w:vAlign w:val="bottom"/>
          </w:tcPr>
          <w:p>
            <w:pPr>
              <w:ind w:left="360"/>
              <w:spacing w:after="0" w:line="122" w:lineRule="exact"/>
              <w:rPr>
                <w:sz w:val="20"/>
                <w:szCs w:val="20"/>
                <w:color w:val="auto"/>
              </w:rPr>
            </w:pPr>
            <w:r>
              <w:rPr>
                <w:rFonts w:ascii="Times New Roman" w:cs="Times New Roman" w:eastAsia="Times New Roman" w:hAnsi="Times New Roman"/>
                <w:sz w:val="11"/>
                <w:szCs w:val="11"/>
                <w:color w:val="auto"/>
              </w:rPr>
              <w:t>Banking, Finance, Insurance &amp; Real</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color w:val="auto"/>
                <w:w w:val="97"/>
              </w:rPr>
              <w:t>SOFR + 6.00%</w:t>
            </w:r>
          </w:p>
        </w:tc>
        <w:tc>
          <w:tcPr>
            <w:tcW w:w="62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10/2/2027</w:t>
            </w:r>
          </w:p>
        </w:tc>
        <w:tc>
          <w:tcPr>
            <w:tcW w:w="76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(2 )</w:t>
            </w:r>
          </w:p>
        </w:tc>
        <w:tc>
          <w:tcPr>
            <w:tcW w:w="160" w:type="dxa"/>
            <w:vAlign w:val="bottom"/>
          </w:tcPr>
          <w:p>
            <w:pPr>
              <w:spacing w:after="0"/>
              <w:rPr>
                <w:sz w:val="10"/>
                <w:szCs w:val="10"/>
                <w:color w:val="auto"/>
              </w:rPr>
            </w:pPr>
          </w:p>
        </w:tc>
        <w:tc>
          <w:tcPr>
            <w:tcW w:w="5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73"/>
        </w:trPr>
        <w:tc>
          <w:tcPr>
            <w:tcW w:w="3140" w:type="dxa"/>
            <w:vAlign w:val="bottom"/>
          </w:tcPr>
          <w:p>
            <w:pPr>
              <w:spacing w:after="0"/>
              <w:rPr>
                <w:sz w:val="6"/>
                <w:szCs w:val="6"/>
                <w:color w:val="auto"/>
              </w:rPr>
            </w:pPr>
          </w:p>
        </w:tc>
        <w:tc>
          <w:tcPr>
            <w:tcW w:w="20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rPr>
              <w:t>Estate</w:t>
            </w:r>
          </w:p>
        </w:tc>
        <w:tc>
          <w:tcPr>
            <w:tcW w:w="86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140" w:type="dxa"/>
            <w:vAlign w:val="bottom"/>
          </w:tcPr>
          <w:p>
            <w:pPr>
              <w:spacing w:after="0"/>
              <w:rPr>
                <w:sz w:val="6"/>
                <w:szCs w:val="6"/>
                <w:color w:val="auto"/>
              </w:rPr>
            </w:pPr>
          </w:p>
        </w:tc>
        <w:tc>
          <w:tcPr>
            <w:tcW w:w="20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Tactical Air Support, Inc.</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Aerospace and Defense</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13.97%</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+ 8.50%</w:t>
            </w:r>
          </w:p>
        </w:tc>
        <w:tc>
          <w:tcPr>
            <w:tcW w:w="6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1.00%</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12/22/2028</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1,714</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1,676</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1,674</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TLE Holdings, LLC</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Healthcare, Education and Childcare</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10.94%</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+ 5.50%</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6/29/2026</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6,147</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6,143</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6,133</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VBC Spine Opco LLC (DxTx Pain and Spine LLC)</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13.47%</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+ 8.00%</w:t>
            </w:r>
          </w:p>
        </w:tc>
        <w:tc>
          <w:tcPr>
            <w:tcW w:w="6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2.00%</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6/14/2028</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4,624</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4,539</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4,516</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VBC Spine Opco LLC (DxTx Pain and Spine LLC) (Revolver)</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+ 8.00%</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2.00%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6/14/2028</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16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(8 )</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9"/>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Wonder Love, Inc.</w:t>
            </w:r>
          </w:p>
        </w:tc>
        <w:tc>
          <w:tcPr>
            <w:tcW w:w="20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Media: Diversified &amp; Production</w:t>
            </w:r>
          </w:p>
        </w:tc>
        <w:tc>
          <w:tcPr>
            <w:tcW w:w="8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10.33%</w:t>
            </w:r>
          </w:p>
        </w:tc>
        <w:tc>
          <w:tcPr>
            <w:tcW w:w="1360" w:type="dxa"/>
            <w:vAlign w:val="bottom"/>
            <w:tcBorders>
              <w:bottom w:val="single" w:sz="8" w:color="CFF0FC"/>
            </w:tcBorders>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+ 5.00%</w:t>
            </w:r>
          </w:p>
        </w:tc>
        <w:tc>
          <w:tcPr>
            <w:tcW w:w="620" w:type="dxa"/>
            <w:vAlign w:val="bottom"/>
            <w:tcBorders>
              <w:bottom w:val="single" w:sz="8" w:color="CFF0FC"/>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1.00%</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11/18/2024</w:t>
            </w:r>
          </w:p>
        </w:tc>
        <w:tc>
          <w:tcPr>
            <w:tcW w:w="760" w:type="dxa"/>
            <w:vAlign w:val="bottom"/>
            <w:tcBorders>
              <w:bottom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375</w:t>
            </w:r>
          </w:p>
        </w:tc>
        <w:tc>
          <w:tcPr>
            <w:tcW w:w="10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374</w:t>
            </w:r>
          </w:p>
        </w:tc>
        <w:tc>
          <w:tcPr>
            <w:tcW w:w="16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375</w:t>
            </w:r>
          </w:p>
        </w:tc>
        <w:tc>
          <w:tcPr>
            <w:tcW w:w="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6"/>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Lien/Senior Secured Debt</w:t>
            </w: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335,408</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312,965</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Lien/Senior Secured Debt - 16.5%</w:t>
            </w:r>
          </w:p>
        </w:tc>
        <w:tc>
          <w:tcPr>
            <w:tcW w:w="20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Academy Holdings, LLC</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14.50% PIK</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3/1/2028</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6,343</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6,259</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5,946</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Confluence Technologies, Inc.</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Services: Business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11.98%</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+ 6.50%</w:t>
            </w:r>
          </w:p>
        </w:tc>
        <w:tc>
          <w:tcPr>
            <w:tcW w:w="6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0.50%</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7/23/2029</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4,000</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3,981</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3,579</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Dcert Buyer, Inc.</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12.34%</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+ 7.00%</w:t>
            </w: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2/16/2029</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5,400</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5,392</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4,847</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Global Tel*Link Corporation</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Telecommunications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15.44%</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5"/>
              </w:rPr>
              <w:t>SOFR + 10.00%</w:t>
            </w:r>
          </w:p>
        </w:tc>
        <w:tc>
          <w:tcPr>
            <w:tcW w:w="6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11/29/2026</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1,500</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1,492</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1,449</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Idera, Inc.</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12.23%</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+ 6.75%</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0.75%</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2/4/2029</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4,024</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4,000</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3,950</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Ivanti Software, Inc.</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12.81%</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+ 7.25%</w:t>
            </w:r>
          </w:p>
        </w:tc>
        <w:tc>
          <w:tcPr>
            <w:tcW w:w="6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0.50%</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12/1/2028</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6,000</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5,969</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3,948</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Project Leopard Holdings, Inc.</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13.08%</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+ 7.75%</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0.50%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7/20/2030</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5,000</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4,924</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4,793</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Qualtek LLC</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1/14/2027</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4,338</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4,243</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(5)(13)(15)</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Redstone Holdco 2 LP</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High Tech Industries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13.21%</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SOFR + 7.75%</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0.75%</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4/16/2029</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4,566</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4,514</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3,744</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48"/>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Robertshaw US Holding Corp.</w:t>
            </w:r>
          </w:p>
        </w:tc>
        <w:tc>
          <w:tcPr>
            <w:tcW w:w="20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Capital Equipment</w:t>
            </w:r>
          </w:p>
        </w:tc>
        <w:tc>
          <w:tcPr>
            <w:tcW w:w="8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CFF0FC"/>
            </w:tcBorders>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tcBorders>
              <w:bottom w:val="single" w:sz="8" w:color="CFF0FC"/>
            </w:tcBorders>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2/28/2026</w:t>
            </w:r>
          </w:p>
        </w:tc>
        <w:tc>
          <w:tcPr>
            <w:tcW w:w="760" w:type="dxa"/>
            <w:vAlign w:val="bottom"/>
            <w:tcBorders>
              <w:bottom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3,000</w:t>
            </w:r>
          </w:p>
        </w:tc>
        <w:tc>
          <w:tcPr>
            <w:tcW w:w="10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2,976</w:t>
            </w:r>
          </w:p>
        </w:tc>
        <w:tc>
          <w:tcPr>
            <w:tcW w:w="16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178</w:t>
            </w:r>
          </w:p>
        </w:tc>
        <w:tc>
          <w:tcPr>
            <w:tcW w:w="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46"/>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Lien/Senior Secured Debt</w:t>
            </w: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43,750</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32,434</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 - 0.9%</w:t>
            </w:r>
          </w:p>
        </w:tc>
        <w:tc>
          <w:tcPr>
            <w:tcW w:w="20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Lucky Bucks Holdings LLC</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Hotel, Gaming &amp; Leisure</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5/29/2028</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6,258</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5,565</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1,210</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DeltaDx Limited, LP (Money Transfer Acquisition Inc.)</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Finance</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15.00% PIK</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6/30/2028</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484</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484</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483</w:t>
            </w:r>
          </w:p>
        </w:tc>
        <w:tc>
          <w:tcPr>
            <w:tcW w:w="5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TRSO II, Inc.</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Energy: Oil &amp; Gas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1/24/2025</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76</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46"/>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20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6,125</w:t>
            </w:r>
          </w:p>
        </w:tc>
        <w:tc>
          <w:tcPr>
            <w:tcW w:w="16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1,693</w:t>
            </w: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Collateralized Loan Obligations - 3.7%</w:t>
            </w: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Catamaran CLO 2014-1 Ltd.</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CLO Fund Securities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43.26%</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4/20/2030</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15,161</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459</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459</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(3)(7)(10)</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Catamaran CLO 2018-1 Ltd</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CLO Fund Securities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2.87%</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10/27/2031</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3,629</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2,956</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(3)(7)(10)</w:t>
            </w:r>
          </w:p>
        </w:tc>
        <w:tc>
          <w:tcPr>
            <w:tcW w:w="0" w:type="dxa"/>
            <w:vAlign w:val="bottom"/>
          </w:tcPr>
          <w:p>
            <w:pPr>
              <w:spacing w:after="0"/>
              <w:rPr>
                <w:sz w:val="1"/>
                <w:szCs w:val="1"/>
                <w:color w:val="auto"/>
              </w:rPr>
            </w:pPr>
          </w:p>
        </w:tc>
      </w:tr>
      <w:tr>
        <w:trPr>
          <w:trHeight w:val="15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Dryden 30 Senior Loan Fund</w:t>
            </w:r>
          </w:p>
        </w:tc>
        <w:tc>
          <w:tcPr>
            <w:tcW w:w="2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CLO Fund Securities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37.90%</w:t>
            </w:r>
          </w:p>
        </w:tc>
        <w:tc>
          <w:tcPr>
            <w:tcW w:w="136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11/1/2028</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3,250</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207</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216</w:t>
            </w: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(3)(7)(10)</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JMP Credit Advisors CLO IV LTD</w:t>
            </w:r>
          </w:p>
        </w:tc>
        <w:tc>
          <w:tcPr>
            <w:tcW w:w="20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CLO Fund Securities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4.39%</w:t>
            </w:r>
          </w:p>
        </w:tc>
        <w:tc>
          <w:tcPr>
            <w:tcW w:w="13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7/17/2029</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18,407</w:t>
            </w:r>
          </w:p>
        </w:tc>
        <w:tc>
          <w:tcPr>
            <w:tcW w:w="10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735</w:t>
            </w:r>
          </w:p>
        </w:tc>
        <w:tc>
          <w:tcPr>
            <w:tcW w:w="16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615</w:t>
            </w:r>
          </w:p>
        </w:tc>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(3)(7)(10)</w:t>
            </w:r>
          </w:p>
        </w:tc>
        <w:tc>
          <w:tcPr>
            <w:tcW w:w="0" w:type="dxa"/>
            <w:vAlign w:val="bottom"/>
          </w:tcPr>
          <w:p>
            <w:pPr>
              <w:spacing w:after="0"/>
              <w:rPr>
                <w:sz w:val="1"/>
                <w:szCs w:val="1"/>
                <w:color w:val="auto"/>
              </w:rPr>
            </w:pPr>
          </w:p>
        </w:tc>
      </w:tr>
      <w:tr>
        <w:trPr>
          <w:trHeight w:val="148"/>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JMP Credit Advisors CLO V LTD</w:t>
            </w:r>
          </w:p>
        </w:tc>
        <w:tc>
          <w:tcPr>
            <w:tcW w:w="20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CLO Fund Securities</w:t>
            </w:r>
          </w:p>
        </w:tc>
        <w:tc>
          <w:tcPr>
            <w:tcW w:w="8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17.61%</w:t>
            </w:r>
          </w:p>
        </w:tc>
        <w:tc>
          <w:tcPr>
            <w:tcW w:w="1360" w:type="dxa"/>
            <w:vAlign w:val="bottom"/>
            <w:tcBorders>
              <w:bottom w:val="single" w:sz="8" w:color="CFF0FC"/>
            </w:tcBorders>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tcBorders>
              <w:bottom w:val="single" w:sz="8" w:color="CFF0FC"/>
            </w:tcBorders>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7/17/2030</w:t>
            </w:r>
          </w:p>
        </w:tc>
        <w:tc>
          <w:tcPr>
            <w:tcW w:w="760" w:type="dxa"/>
            <w:vAlign w:val="bottom"/>
            <w:tcBorders>
              <w:bottom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17,074</w:t>
            </w:r>
          </w:p>
        </w:tc>
        <w:tc>
          <w:tcPr>
            <w:tcW w:w="10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3,393</w:t>
            </w:r>
          </w:p>
        </w:tc>
        <w:tc>
          <w:tcPr>
            <w:tcW w:w="16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3,108</w:t>
            </w:r>
          </w:p>
        </w:tc>
        <w:tc>
          <w:tcPr>
            <w:tcW w:w="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(3)(7)(10)</w:t>
            </w:r>
          </w:p>
        </w:tc>
        <w:tc>
          <w:tcPr>
            <w:tcW w:w="0" w:type="dxa"/>
            <w:vAlign w:val="bottom"/>
          </w:tcPr>
          <w:p>
            <w:pPr>
              <w:spacing w:after="0"/>
              <w:rPr>
                <w:sz w:val="1"/>
                <w:szCs w:val="1"/>
                <w:color w:val="auto"/>
              </w:rPr>
            </w:pPr>
          </w:p>
        </w:tc>
      </w:tr>
      <w:tr>
        <w:trPr>
          <w:trHeight w:val="146"/>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Collateralized Loan Obligations</w:t>
            </w: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8,423</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7,354</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-2425065</wp:posOffset>
            </wp:positionV>
            <wp:extent cx="3600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-1276350</wp:posOffset>
            </wp:positionV>
            <wp:extent cx="3600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-685165</wp:posOffset>
            </wp:positionV>
            <wp:extent cx="3600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-110490</wp:posOffset>
            </wp:positionV>
            <wp:extent cx="3600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 to unaudited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As of June 30, 2024</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4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7"/>
              </w:rPr>
              <w:t>Reference</w:t>
            </w: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0"/>
              </w:rPr>
              <w:t>Rate</w:t>
            </w: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Interest Rate</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and Spread</w:t>
            </w: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jc w:val="right"/>
              <w:ind w:right="146"/>
              <w:spacing w:after="0" w:line="122" w:lineRule="exact"/>
              <w:rPr>
                <w:sz w:val="20"/>
                <w:szCs w:val="20"/>
                <w:color w:val="auto"/>
              </w:rPr>
            </w:pPr>
            <w:r>
              <w:rPr>
                <w:rFonts w:ascii="Times New Roman" w:cs="Times New Roman" w:eastAsia="Times New Roman" w:hAnsi="Times New Roman"/>
                <w:sz w:val="11"/>
                <w:szCs w:val="11"/>
                <w:b w:val="1"/>
                <w:bCs w:val="1"/>
                <w:color w:val="auto"/>
              </w:rPr>
              <w:t>Par/Shares</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(2), (4), (12), (14), (23), (24)</w:t>
            </w:r>
          </w:p>
        </w:tc>
        <w:tc>
          <w:tcPr>
            <w:tcW w:w="22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800" w:type="dxa"/>
            <w:vAlign w:val="bottom"/>
            <w:tcBorders>
              <w:bottom w:val="single" w:sz="8" w:color="auto"/>
            </w:tcBorders>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5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Floor (1)</w:t>
            </w: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78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4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Preferred Stock and Units - 3.9%</w:t>
            </w:r>
          </w:p>
        </w:tc>
        <w:tc>
          <w:tcPr>
            <w:tcW w:w="2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4L Ultimate Topco Corporation</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Services: Business</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AAPC Holdings, LLC</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00" w:type="dxa"/>
            <w:vAlign w:val="bottom"/>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9"/>
              </w:rPr>
              <w:t>18.00% PIK</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146,214</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211</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(22)(25)</w:t>
            </w: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Advantage Capital Holdings LLC</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Banking, Finance, Insurance &amp; Real Estate</w:t>
            </w:r>
          </w:p>
        </w:tc>
        <w:tc>
          <w:tcPr>
            <w:tcW w:w="80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9"/>
              </w:rPr>
              <w:t>12.50% PIK</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2,626,574</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2,627</w:t>
            </w:r>
          </w:p>
        </w:tc>
        <w:tc>
          <w:tcPr>
            <w:tcW w:w="1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2,626</w:t>
            </w: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(22)(25)</w:t>
            </w: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Aperture Dodge 18 LLC</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Banking, Finance, Insurance &amp; Real Estate</w:t>
            </w:r>
          </w:p>
        </w:tc>
        <w:tc>
          <w:tcPr>
            <w:tcW w:w="80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3,067,908</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3,068</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3,361</w:t>
            </w:r>
          </w:p>
        </w:tc>
        <w:tc>
          <w:tcPr>
            <w:tcW w:w="7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Epilog Partners SPV III, LLC (Care Connectors Medical Group)</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1,166,667</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1,167</w:t>
            </w:r>
          </w:p>
        </w:tc>
        <w:tc>
          <w:tcPr>
            <w:tcW w:w="1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1,166</w:t>
            </w: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48"/>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Prosper Marketplace</w:t>
            </w:r>
          </w:p>
        </w:tc>
        <w:tc>
          <w:tcPr>
            <w:tcW w:w="2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Consumer goods: Durable</w:t>
            </w:r>
          </w:p>
        </w:tc>
        <w:tc>
          <w:tcPr>
            <w:tcW w:w="800" w:type="dxa"/>
            <w:vAlign w:val="bottom"/>
            <w:tcBorders>
              <w:bottom w:val="single" w:sz="8" w:color="CFF0FC"/>
            </w:tcBorders>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Borders>
              <w:bottom w:val="single" w:sz="8" w:color="CFF0FC"/>
            </w:tcBorders>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912,865</w:t>
            </w:r>
          </w:p>
        </w:tc>
        <w:tc>
          <w:tcPr>
            <w:tcW w:w="1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279</w:t>
            </w:r>
          </w:p>
        </w:tc>
        <w:tc>
          <w:tcPr>
            <w:tcW w:w="1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324</w:t>
            </w:r>
          </w:p>
        </w:tc>
        <w:tc>
          <w:tcPr>
            <w:tcW w:w="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46"/>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Stock and Units</w:t>
            </w:r>
          </w:p>
        </w:tc>
        <w:tc>
          <w:tcPr>
            <w:tcW w:w="2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7,174</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7,688</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Common Stock and Membership Units - 4.2%</w:t>
            </w:r>
          </w:p>
        </w:tc>
        <w:tc>
          <w:tcPr>
            <w:tcW w:w="2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AAPC Holdings, LLC</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464</w:t>
            </w: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Advantage Capital Holdings LLC - Class A Units</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Banking, Finance, Insurance &amp; Real Estate</w:t>
            </w:r>
          </w:p>
        </w:tc>
        <w:tc>
          <w:tcPr>
            <w:tcW w:w="80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822</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2,171</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Anthem Sports &amp; Entertainment Inc. - Class A Warrant</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Media: Broadcasting &amp; Subscription</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510</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46</w:t>
            </w:r>
          </w:p>
        </w:tc>
        <w:tc>
          <w:tcPr>
            <w:tcW w:w="1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Anthem Sports &amp; Entertainment Inc. - Class B Warrant</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Media: Broadcasting &amp; Subscription</w:t>
            </w:r>
          </w:p>
        </w:tc>
        <w:tc>
          <w:tcPr>
            <w:tcW w:w="80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88</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Anthem Sports &amp; Entertainment Inc. - Warrant for CS</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Media: Broadcasting &amp; Subscription</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1,644</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ATP Oil &amp; Gas Corporation</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Energy: Oil &amp; Gas</w:t>
            </w:r>
          </w:p>
        </w:tc>
        <w:tc>
          <w:tcPr>
            <w:tcW w:w="80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Carestream Health Holdings, Inc.</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4,099</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53</w:t>
            </w:r>
          </w:p>
        </w:tc>
        <w:tc>
          <w:tcPr>
            <w:tcW w:w="1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115</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Centric Brands, L.P.</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Machinery (Non-Agrclt/Constr/Electr)</w:t>
            </w:r>
          </w:p>
        </w:tc>
        <w:tc>
          <w:tcPr>
            <w:tcW w:w="80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81,770</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746</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1,394</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DxTx Pain and Spine LLC</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158,166</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258</w:t>
            </w:r>
          </w:p>
        </w:tc>
        <w:tc>
          <w:tcPr>
            <w:tcW w:w="1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261</w:t>
            </w: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Everyware Global, Inc.</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Consumer goods: Durable</w:t>
            </w:r>
          </w:p>
        </w:tc>
        <w:tc>
          <w:tcPr>
            <w:tcW w:w="80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1,085,565</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346</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382</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FP WRCA Coinvestment Fund VII, Ltd. - Class A</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Capital Equipment</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1,500</w:t>
            </w:r>
          </w:p>
        </w:tc>
        <w:tc>
          <w:tcPr>
            <w:tcW w:w="1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1,111</w:t>
            </w: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Fusion Connect, Inc.</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Telecommunications</w:t>
            </w:r>
          </w:p>
        </w:tc>
        <w:tc>
          <w:tcPr>
            <w:tcW w:w="80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866</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HDC/HW Holdings, LLC</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High Tech Industries</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148,826</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LB NewHoldCo LLC</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Hotel, Gaming &amp; Leisure</w:t>
            </w:r>
          </w:p>
        </w:tc>
        <w:tc>
          <w:tcPr>
            <w:tcW w:w="80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96,523</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1,441</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1,333</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Morae Global Holdings Inc. - Warrant</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IT Consulting &amp; Other Services</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87</w:t>
            </w:r>
          </w:p>
        </w:tc>
        <w:tc>
          <w:tcPr>
            <w:tcW w:w="1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130</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Ohene Holdings B.V. - Warrant</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High Tech Industries</w:t>
            </w:r>
          </w:p>
        </w:tc>
        <w:tc>
          <w:tcPr>
            <w:tcW w:w="80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Qualtek LLC</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High Tech Industries</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150,262</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1,277</w:t>
            </w:r>
          </w:p>
        </w:tc>
        <w:tc>
          <w:tcPr>
            <w:tcW w:w="1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Roscoe Investors, LLC - Class A</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0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10,000</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1,000</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478</w:t>
            </w:r>
          </w:p>
        </w:tc>
        <w:tc>
          <w:tcPr>
            <w:tcW w:w="7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South Street Securities Holdings, Inc - Warrant</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Banking, Finance, Insurance &amp; Real Estate</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3,966</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455</w:t>
            </w:r>
          </w:p>
        </w:tc>
        <w:tc>
          <w:tcPr>
            <w:tcW w:w="1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386</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Sundance Holdings Group, LLC</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Retail</w:t>
            </w:r>
          </w:p>
        </w:tc>
        <w:tc>
          <w:tcPr>
            <w:tcW w:w="80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14,603</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World Business Lenders, LLC</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Banking, Finance, Insurance &amp; Real Estate</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49,209</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4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Stock and Membership Units</w:t>
            </w:r>
          </w:p>
        </w:tc>
        <w:tc>
          <w:tcPr>
            <w:tcW w:w="2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8,575</w:t>
            </w:r>
          </w:p>
        </w:tc>
        <w:tc>
          <w:tcPr>
            <w:tcW w:w="1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8,225</w:t>
            </w:r>
          </w:p>
        </w:tc>
        <w:tc>
          <w:tcPr>
            <w:tcW w:w="7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Derivatives - 0.0%</w:t>
            </w:r>
            <w:r>
              <w:rPr>
                <w:rFonts w:ascii="Times New Roman" w:cs="Times New Roman" w:eastAsia="Times New Roman" w:hAnsi="Times New Roman"/>
                <w:sz w:val="14"/>
                <w:szCs w:val="14"/>
                <w:b w:val="1"/>
                <w:bCs w:val="1"/>
                <w:color w:val="auto"/>
                <w:vertAlign w:val="superscript"/>
              </w:rPr>
              <w:t>(19)</w:t>
            </w:r>
          </w:p>
        </w:tc>
        <w:tc>
          <w:tcPr>
            <w:tcW w:w="2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Advantage Capital Holdings LLC</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Banking, Finance, Insurance &amp; Real Estate</w:t>
            </w:r>
          </w:p>
        </w:tc>
        <w:tc>
          <w:tcPr>
            <w:tcW w:w="80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164</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(7)(22)</w:t>
            </w: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Epilog Partners LP (Care Connectors Medical Group)</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1,166,667</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(7)(22)</w:t>
            </w:r>
          </w:p>
        </w:tc>
        <w:tc>
          <w:tcPr>
            <w:tcW w:w="0" w:type="dxa"/>
            <w:vAlign w:val="bottom"/>
          </w:tcPr>
          <w:p>
            <w:pPr>
              <w:spacing w:after="0"/>
              <w:rPr>
                <w:sz w:val="1"/>
                <w:szCs w:val="1"/>
                <w:color w:val="auto"/>
              </w:rPr>
            </w:pPr>
          </w:p>
        </w:tc>
      </w:tr>
      <w:tr>
        <w:trPr>
          <w:trHeight w:val="149"/>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HDNet Holdco LLC (Anthem)</w:t>
            </w:r>
          </w:p>
        </w:tc>
        <w:tc>
          <w:tcPr>
            <w:tcW w:w="2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Media: Broadcasting &amp; Subscription</w:t>
            </w:r>
          </w:p>
        </w:tc>
        <w:tc>
          <w:tcPr>
            <w:tcW w:w="800" w:type="dxa"/>
            <w:vAlign w:val="bottom"/>
            <w:tcBorders>
              <w:bottom w:val="single" w:sz="8" w:color="CFF0FC"/>
            </w:tcBorders>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Borders>
              <w:bottom w:val="single" w:sz="8" w:color="CFF0FC"/>
            </w:tcBorders>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0.2</w:t>
            </w:r>
          </w:p>
        </w:tc>
        <w:tc>
          <w:tcPr>
            <w:tcW w:w="1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31</w:t>
            </w:r>
          </w:p>
        </w:tc>
        <w:tc>
          <w:tcPr>
            <w:tcW w:w="1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46"/>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Derivatives</w:t>
            </w:r>
          </w:p>
        </w:tc>
        <w:tc>
          <w:tcPr>
            <w:tcW w:w="2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31</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 Non-Affiliate Portfolio Companies</w:t>
            </w:r>
          </w:p>
        </w:tc>
        <w:tc>
          <w:tcPr>
            <w:tcW w:w="2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409,486</w:t>
            </w:r>
          </w:p>
        </w:tc>
        <w:tc>
          <w:tcPr>
            <w:tcW w:w="1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370,359</w:t>
            </w:r>
          </w:p>
        </w:tc>
        <w:tc>
          <w:tcPr>
            <w:tcW w:w="7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Investments in Affiliate Portfolio Companies - 30.8%</w:t>
            </w:r>
            <w:r>
              <w:rPr>
                <w:rFonts w:ascii="Times New Roman" w:cs="Times New Roman" w:eastAsia="Times New Roman" w:hAnsi="Times New Roman"/>
                <w:sz w:val="14"/>
                <w:szCs w:val="14"/>
                <w:b w:val="1"/>
                <w:bCs w:val="1"/>
                <w:color w:val="auto"/>
                <w:vertAlign w:val="superscript"/>
              </w:rPr>
              <w:t>(17)</w:t>
            </w:r>
          </w:p>
        </w:tc>
        <w:tc>
          <w:tcPr>
            <w:tcW w:w="2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Lien/Senior Secured Debt - 4.0%</w:t>
            </w:r>
          </w:p>
        </w:tc>
        <w:tc>
          <w:tcPr>
            <w:tcW w:w="2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PMP OPCO, LLC (Princeton Medspa Partners, LLC)</w:t>
            </w:r>
          </w:p>
        </w:tc>
        <w:tc>
          <w:tcPr>
            <w:tcW w:w="222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color w:val="auto"/>
              </w:rPr>
              <w:t>Services: Consumer</w:t>
            </w:r>
          </w:p>
        </w:tc>
        <w:tc>
          <w:tcPr>
            <w:tcW w:w="80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13.84%</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SOFR +</w:t>
            </w:r>
          </w:p>
        </w:tc>
        <w:tc>
          <w:tcPr>
            <w:tcW w:w="5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5/31/2029</w:t>
            </w: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1,688</w:t>
            </w:r>
          </w:p>
        </w:tc>
        <w:tc>
          <w:tcPr>
            <w:tcW w:w="120" w:type="dxa"/>
            <w:vAlign w:val="bottom"/>
          </w:tcPr>
          <w:p>
            <w:pPr>
              <w:spacing w:after="0"/>
              <w:rPr>
                <w:sz w:val="10"/>
                <w:szCs w:val="10"/>
                <w:color w:val="auto"/>
              </w:rPr>
            </w:pPr>
          </w:p>
        </w:tc>
        <w:tc>
          <w:tcPr>
            <w:tcW w:w="5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1,643</w:t>
            </w:r>
          </w:p>
        </w:tc>
        <w:tc>
          <w:tcPr>
            <w:tcW w:w="12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1,643</w:t>
            </w:r>
          </w:p>
        </w:tc>
        <w:tc>
          <w:tcPr>
            <w:tcW w:w="7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44"/>
        </w:trPr>
        <w:tc>
          <w:tcPr>
            <w:tcW w:w="3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8.50%</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PMP OPCO, LLC (Princeton Medspa Partners, LLC) (Revolver)</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Services: Consumer</w:t>
            </w:r>
          </w:p>
        </w:tc>
        <w:tc>
          <w:tcPr>
            <w:tcW w:w="80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5/31/2029</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(4 )</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21"/>
        </w:trPr>
        <w:tc>
          <w:tcPr>
            <w:tcW w:w="34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Riddell, Inc.</w:t>
            </w:r>
          </w:p>
        </w:tc>
        <w:tc>
          <w:tcPr>
            <w:tcW w:w="222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color w:val="auto"/>
              </w:rPr>
              <w:t>Consumer goods: Durable</w:t>
            </w:r>
          </w:p>
        </w:tc>
        <w:tc>
          <w:tcPr>
            <w:tcW w:w="80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11.33%</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SOFR +</w:t>
            </w:r>
          </w:p>
        </w:tc>
        <w:tc>
          <w:tcPr>
            <w:tcW w:w="5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3/29/2029</w:t>
            </w: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6,324</w:t>
            </w:r>
          </w:p>
        </w:tc>
        <w:tc>
          <w:tcPr>
            <w:tcW w:w="120" w:type="dxa"/>
            <w:vAlign w:val="bottom"/>
          </w:tcPr>
          <w:p>
            <w:pPr>
              <w:spacing w:after="0"/>
              <w:rPr>
                <w:sz w:val="10"/>
                <w:szCs w:val="10"/>
                <w:color w:val="auto"/>
              </w:rPr>
            </w:pPr>
          </w:p>
        </w:tc>
        <w:tc>
          <w:tcPr>
            <w:tcW w:w="5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6,217</w:t>
            </w:r>
          </w:p>
        </w:tc>
        <w:tc>
          <w:tcPr>
            <w:tcW w:w="12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6,211</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73"/>
        </w:trPr>
        <w:tc>
          <w:tcPr>
            <w:tcW w:w="34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6.00%</w:t>
            </w: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34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Lien/Senior Secured Debt</w:t>
            </w:r>
          </w:p>
        </w:tc>
        <w:tc>
          <w:tcPr>
            <w:tcW w:w="2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7,856</w:t>
            </w:r>
          </w:p>
        </w:tc>
        <w:tc>
          <w:tcPr>
            <w:tcW w:w="1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7,850</w:t>
            </w:r>
          </w:p>
        </w:tc>
        <w:tc>
          <w:tcPr>
            <w:tcW w:w="7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Lien/Senior Secured Debt- 2.0%</w:t>
            </w:r>
          </w:p>
        </w:tc>
        <w:tc>
          <w:tcPr>
            <w:tcW w:w="2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Northeast Metal Works LLC</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Metals &amp; Mining</w:t>
            </w:r>
          </w:p>
        </w:tc>
        <w:tc>
          <w:tcPr>
            <w:tcW w:w="80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8.00%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4/5/2028</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4,500</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4,500</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3,452</w:t>
            </w:r>
          </w:p>
        </w:tc>
        <w:tc>
          <w:tcPr>
            <w:tcW w:w="7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Northeast Metal Works LLC</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Metals &amp; Mining</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w w:val="98"/>
              </w:rPr>
              <w:t>8.00%</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1/1/2025</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500</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Lien/Senior Secured Debt</w:t>
            </w:r>
          </w:p>
        </w:tc>
        <w:tc>
          <w:tcPr>
            <w:tcW w:w="2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5,000</w:t>
            </w:r>
          </w:p>
        </w:tc>
        <w:tc>
          <w:tcPr>
            <w:tcW w:w="1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3,952</w:t>
            </w:r>
          </w:p>
        </w:tc>
        <w:tc>
          <w:tcPr>
            <w:tcW w:w="7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Joint Ventures- 20.7%</w:t>
            </w:r>
          </w:p>
        </w:tc>
        <w:tc>
          <w:tcPr>
            <w:tcW w:w="2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Series A-Great Lakes Funding II LLC</w:t>
            </w:r>
          </w:p>
        </w:tc>
        <w:tc>
          <w:tcPr>
            <w:tcW w:w="2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Joint Venture</w:t>
            </w:r>
          </w:p>
        </w:tc>
        <w:tc>
          <w:tcPr>
            <w:tcW w:w="800" w:type="dxa"/>
            <w:vAlign w:val="bottom"/>
            <w:tcBorders>
              <w:bottom w:val="single" w:sz="8" w:color="CFF0FC"/>
            </w:tcBorders>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Borders>
              <w:bottom w:val="single" w:sz="8" w:color="CFF0FC"/>
            </w:tcBorders>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39,329</w:t>
            </w:r>
          </w:p>
        </w:tc>
        <w:tc>
          <w:tcPr>
            <w:tcW w:w="1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40,745</w:t>
            </w:r>
          </w:p>
        </w:tc>
        <w:tc>
          <w:tcPr>
            <w:tcW w:w="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(7)(9)(20)(26)</w:t>
            </w:r>
          </w:p>
        </w:tc>
        <w:tc>
          <w:tcPr>
            <w:tcW w:w="0" w:type="dxa"/>
            <w:vAlign w:val="bottom"/>
          </w:tcPr>
          <w:p>
            <w:pPr>
              <w:spacing w:after="0"/>
              <w:rPr>
                <w:sz w:val="1"/>
                <w:szCs w:val="1"/>
                <w:color w:val="auto"/>
              </w:rPr>
            </w:pPr>
          </w:p>
        </w:tc>
      </w:tr>
      <w:tr>
        <w:trPr>
          <w:trHeight w:val="146"/>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Joint Ventures</w:t>
            </w:r>
          </w:p>
        </w:tc>
        <w:tc>
          <w:tcPr>
            <w:tcW w:w="2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39,329</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40,745</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Preferred Stock and Units - 3.3%</w:t>
            </w:r>
          </w:p>
        </w:tc>
        <w:tc>
          <w:tcPr>
            <w:tcW w:w="2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BMP Slappey Holdco, LLC</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Telecommunications</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200,000</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467</w:t>
            </w:r>
          </w:p>
        </w:tc>
        <w:tc>
          <w:tcPr>
            <w:tcW w:w="1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585</w:t>
            </w: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BMP Slappey Investment II</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Telecommunications</w:t>
            </w:r>
          </w:p>
        </w:tc>
        <w:tc>
          <w:tcPr>
            <w:tcW w:w="80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88,946</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208</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260</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EBSC Holdings LLC (Riddell, Inc.)</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Consumer goods: Durable</w:t>
            </w:r>
          </w:p>
        </w:tc>
        <w:tc>
          <w:tcPr>
            <w:tcW w:w="80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9"/>
              </w:rPr>
              <w:t>10.00% PIK</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2,049,315</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2,023</w:t>
            </w:r>
          </w:p>
        </w:tc>
        <w:tc>
          <w:tcPr>
            <w:tcW w:w="1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2,028</w:t>
            </w: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GreenPark Infrastructure, LLC - Series A</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Energy: Electricity</w:t>
            </w:r>
          </w:p>
        </w:tc>
        <w:tc>
          <w:tcPr>
            <w:tcW w:w="80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1,000</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500</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Northeast Metal Works LLC - Preferred</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Metals &amp; Mining</w:t>
            </w:r>
          </w:p>
        </w:tc>
        <w:tc>
          <w:tcPr>
            <w:tcW w:w="80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2,368</w:t>
            </w:r>
          </w:p>
        </w:tc>
        <w:tc>
          <w:tcPr>
            <w:tcW w:w="1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5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Northeast Metal Works LLC - Class O Preferred</w:t>
            </w:r>
          </w:p>
        </w:tc>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Metals &amp; Mining</w:t>
            </w:r>
          </w:p>
        </w:tc>
        <w:tc>
          <w:tcPr>
            <w:tcW w:w="800" w:type="dxa"/>
            <w:vAlign w:val="bottom"/>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9"/>
              </w:rPr>
              <w:t>10.00% PIK</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4,950,000</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4,951</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2,040</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(21)(25)</w:t>
            </w: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Princeton Medspa Partners, LLC</w:t>
            </w:r>
          </w:p>
        </w:tc>
        <w:tc>
          <w:tcPr>
            <w:tcW w:w="2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Services: Consumer</w:t>
            </w:r>
          </w:p>
        </w:tc>
        <w:tc>
          <w:tcPr>
            <w:tcW w:w="80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9"/>
              </w:rPr>
              <w:t>12.50% PIK</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1,000,000</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1,000</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1,000</w:t>
            </w: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(22)(25)</w:t>
            </w:r>
          </w:p>
        </w:tc>
        <w:tc>
          <w:tcPr>
            <w:tcW w:w="0" w:type="dxa"/>
            <w:vAlign w:val="bottom"/>
          </w:tcPr>
          <w:p>
            <w:pPr>
              <w:spacing w:after="0"/>
              <w:rPr>
                <w:sz w:val="1"/>
                <w:szCs w:val="1"/>
                <w:color w:val="auto"/>
              </w:rPr>
            </w:pPr>
          </w:p>
        </w:tc>
      </w:tr>
      <w:tr>
        <w:trPr>
          <w:trHeight w:val="14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Stock and Units</w:t>
            </w:r>
          </w:p>
        </w:tc>
        <w:tc>
          <w:tcPr>
            <w:tcW w:w="2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9,149</w:t>
            </w:r>
          </w:p>
        </w:tc>
        <w:tc>
          <w:tcPr>
            <w:tcW w:w="1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6,413</w:t>
            </w:r>
          </w:p>
        </w:tc>
        <w:tc>
          <w:tcPr>
            <w:tcW w:w="7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6682740</wp:posOffset>
            </wp:positionH>
            <wp:positionV relativeFrom="paragraph">
              <wp:posOffset>-5177155</wp:posOffset>
            </wp:positionV>
            <wp:extent cx="4546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466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-2887980</wp:posOffset>
            </wp:positionV>
            <wp:extent cx="4546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466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-2502535</wp:posOffset>
            </wp:positionV>
            <wp:extent cx="4546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466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-2296795</wp:posOffset>
            </wp:positionV>
            <wp:extent cx="4546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-1567815</wp:posOffset>
            </wp:positionV>
            <wp:extent cx="4546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-1174115</wp:posOffset>
            </wp:positionV>
            <wp:extent cx="4546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-976630</wp:posOffset>
            </wp:positionV>
            <wp:extent cx="4546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466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4546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4660" cy="8255"/>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As of June 30, 2024</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4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900" w:type="dxa"/>
            <w:vAlign w:val="bottom"/>
          </w:tcPr>
          <w:p>
            <w:pPr>
              <w:ind w:left="180"/>
              <w:spacing w:after="0" w:line="120" w:lineRule="exact"/>
              <w:rPr>
                <w:sz w:val="20"/>
                <w:szCs w:val="20"/>
                <w:color w:val="auto"/>
              </w:rPr>
            </w:pPr>
            <w:r>
              <w:rPr>
                <w:rFonts w:ascii="Times New Roman" w:cs="Times New Roman" w:eastAsia="Times New Roman" w:hAnsi="Times New Roman"/>
                <w:sz w:val="11"/>
                <w:szCs w:val="11"/>
                <w:b w:val="1"/>
                <w:bCs w:val="1"/>
                <w:color w:val="auto"/>
              </w:rPr>
              <w:t>Interest Rate</w:t>
            </w:r>
          </w:p>
        </w:tc>
        <w:tc>
          <w:tcPr>
            <w:tcW w:w="1000" w:type="dxa"/>
            <w:vAlign w:val="bottom"/>
          </w:tcPr>
          <w:p>
            <w:pPr>
              <w:jc w:val="center"/>
              <w:ind w:right="6"/>
              <w:spacing w:after="0" w:line="120" w:lineRule="exact"/>
              <w:rPr>
                <w:sz w:val="20"/>
                <w:szCs w:val="20"/>
                <w:color w:val="auto"/>
              </w:rPr>
            </w:pPr>
            <w:r>
              <w:rPr>
                <w:rFonts w:ascii="Times New Roman" w:cs="Times New Roman" w:eastAsia="Times New Roman" w:hAnsi="Times New Roman"/>
                <w:sz w:val="11"/>
                <w:szCs w:val="11"/>
                <w:b w:val="1"/>
                <w:bCs w:val="1"/>
                <w:color w:val="auto"/>
                <w:w w:val="97"/>
              </w:rPr>
              <w:t>Reference Rate</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jc w:val="right"/>
              <w:ind w:right="66"/>
              <w:spacing w:after="0" w:line="120" w:lineRule="exact"/>
              <w:rPr>
                <w:sz w:val="20"/>
                <w:szCs w:val="20"/>
                <w:color w:val="auto"/>
              </w:rPr>
            </w:pPr>
            <w:r>
              <w:rPr>
                <w:rFonts w:ascii="Times New Roman" w:cs="Times New Roman" w:eastAsia="Times New Roman" w:hAnsi="Times New Roman"/>
                <w:sz w:val="11"/>
                <w:szCs w:val="11"/>
                <w:b w:val="1"/>
                <w:bCs w:val="1"/>
                <w:color w:val="auto"/>
                <w:w w:val="98"/>
              </w:rPr>
              <w:t>Par/Shar</w:t>
            </w: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(2), (4), (12), (14), (23), (24)</w:t>
            </w:r>
          </w:p>
        </w:tc>
        <w:tc>
          <w:tcPr>
            <w:tcW w:w="18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900" w:type="dxa"/>
            <w:vAlign w:val="bottom"/>
            <w:tcBorders>
              <w:bottom w:val="single" w:sz="8" w:color="auto"/>
            </w:tcBorders>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rPr>
              <w:t>(1)</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and Spread (1)</w:t>
            </w:r>
          </w:p>
        </w:tc>
        <w:tc>
          <w:tcPr>
            <w:tcW w:w="720" w:type="dxa"/>
            <w:vAlign w:val="bottom"/>
            <w:tcBorders>
              <w:bottom w:val="single" w:sz="8" w:color="auto"/>
            </w:tcBorders>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6"/>
              </w:rPr>
              <w:t>Floor (1)</w:t>
            </w: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5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es (++)</w:t>
            </w: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780" w:type="dxa"/>
            <w:vAlign w:val="bottom"/>
            <w:tcBorders>
              <w:bottom w:val="single" w:sz="8" w:color="auto"/>
            </w:tcBorders>
            <w:gridSpan w:val="2"/>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4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Common Stock and Membership Units - 0.8%</w:t>
            </w:r>
          </w:p>
        </w:tc>
        <w:tc>
          <w:tcPr>
            <w:tcW w:w="18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GreenPark Infrastructure, LLC - Series M-1</w:t>
            </w:r>
          </w:p>
        </w:tc>
        <w:tc>
          <w:tcPr>
            <w:tcW w:w="18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Energy: Electricity</w:t>
            </w:r>
          </w:p>
        </w:tc>
        <w:tc>
          <w:tcPr>
            <w:tcW w:w="9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171</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171</w:t>
            </w:r>
          </w:p>
        </w:tc>
        <w:tc>
          <w:tcPr>
            <w:tcW w:w="860" w:type="dxa"/>
            <w:vAlign w:val="bottom"/>
          </w:tcPr>
          <w:p>
            <w:pPr>
              <w:spacing w:after="0"/>
              <w:rPr>
                <w:sz w:val="20"/>
                <w:szCs w:val="20"/>
                <w:color w:val="auto"/>
              </w:rPr>
            </w:pPr>
            <w:r>
              <w:rPr>
                <w:rFonts w:ascii="Times New Roman" w:cs="Times New Roman" w:eastAsia="Times New Roman" w:hAnsi="Times New Roman"/>
                <w:sz w:val="11"/>
                <w:szCs w:val="11"/>
                <w:color w:val="auto"/>
              </w:rPr>
              <w:t>(20)(22)</w:t>
            </w:r>
          </w:p>
        </w:tc>
        <w:tc>
          <w:tcPr>
            <w:tcW w:w="0" w:type="dxa"/>
            <w:vAlign w:val="bottom"/>
          </w:tcPr>
          <w:p>
            <w:pPr>
              <w:spacing w:after="0"/>
              <w:rPr>
                <w:sz w:val="1"/>
                <w:szCs w:val="1"/>
                <w:color w:val="auto"/>
              </w:rPr>
            </w:pPr>
          </w:p>
        </w:tc>
      </w:tr>
      <w:tr>
        <w:trPr>
          <w:trHeight w:val="125"/>
        </w:trPr>
        <w:tc>
          <w:tcPr>
            <w:tcW w:w="346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Kleen-Tech Acquisition, LLC</w:t>
            </w:r>
          </w:p>
        </w:tc>
        <w:tc>
          <w:tcPr>
            <w:tcW w:w="1820" w:type="dxa"/>
            <w:vAlign w:val="bottom"/>
            <w:shd w:val="clear" w:color="auto" w:fill="CFF0FC"/>
          </w:tcPr>
          <w:p>
            <w:pPr>
              <w:ind w:left="380"/>
              <w:spacing w:after="0" w:line="125" w:lineRule="exact"/>
              <w:rPr>
                <w:sz w:val="20"/>
                <w:szCs w:val="20"/>
                <w:color w:val="auto"/>
              </w:rPr>
            </w:pPr>
            <w:r>
              <w:rPr>
                <w:rFonts w:ascii="Times New Roman" w:cs="Times New Roman" w:eastAsia="Times New Roman" w:hAnsi="Times New Roman"/>
                <w:sz w:val="11"/>
                <w:szCs w:val="11"/>
                <w:color w:val="auto"/>
              </w:rPr>
              <w:t>Services: Business</w:t>
            </w:r>
          </w:p>
        </w:tc>
        <w:tc>
          <w:tcPr>
            <w:tcW w:w="900" w:type="dxa"/>
            <w:vAlign w:val="bottom"/>
            <w:vMerge w:val="restart"/>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250,00</w:t>
            </w: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6"/>
              <w:spacing w:after="0" w:line="125" w:lineRule="exact"/>
              <w:rPr>
                <w:sz w:val="20"/>
                <w:szCs w:val="20"/>
                <w:color w:val="auto"/>
              </w:rPr>
            </w:pPr>
            <w:r>
              <w:rPr>
                <w:rFonts w:ascii="Times New Roman" w:cs="Times New Roman" w:eastAsia="Times New Roman" w:hAnsi="Times New Roman"/>
                <w:sz w:val="11"/>
                <w:szCs w:val="11"/>
                <w:color w:val="auto"/>
              </w:rPr>
              <w:t>1,264</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1,333</w:t>
            </w:r>
          </w:p>
        </w:tc>
        <w:tc>
          <w:tcPr>
            <w:tcW w:w="86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73"/>
        </w:trPr>
        <w:tc>
          <w:tcPr>
            <w:tcW w:w="3460" w:type="dxa"/>
            <w:vAlign w:val="bottom"/>
            <w:shd w:val="clear" w:color="auto" w:fill="CFF0FC"/>
          </w:tcPr>
          <w:p>
            <w:pPr>
              <w:spacing w:after="0"/>
              <w:rPr>
                <w:sz w:val="6"/>
                <w:szCs w:val="6"/>
                <w:color w:val="auto"/>
              </w:rPr>
            </w:pPr>
          </w:p>
        </w:tc>
        <w:tc>
          <w:tcPr>
            <w:tcW w:w="1820" w:type="dxa"/>
            <w:vAlign w:val="bottom"/>
            <w:shd w:val="clear" w:color="auto" w:fill="CFF0FC"/>
          </w:tcPr>
          <w:p>
            <w:pPr>
              <w:spacing w:after="0"/>
              <w:rPr>
                <w:sz w:val="6"/>
                <w:szCs w:val="6"/>
                <w:color w:val="auto"/>
              </w:rPr>
            </w:pPr>
          </w:p>
        </w:tc>
        <w:tc>
          <w:tcPr>
            <w:tcW w:w="900" w:type="dxa"/>
            <w:vAlign w:val="bottom"/>
            <w:vMerge w:val="continue"/>
            <w:shd w:val="clear" w:color="auto" w:fill="CFF0FC"/>
          </w:tcPr>
          <w:p>
            <w:pPr>
              <w:spacing w:after="0"/>
              <w:rPr>
                <w:sz w:val="6"/>
                <w:szCs w:val="6"/>
                <w:color w:val="auto"/>
              </w:rPr>
            </w:pPr>
          </w:p>
        </w:tc>
        <w:tc>
          <w:tcPr>
            <w:tcW w:w="1000" w:type="dxa"/>
            <w:vAlign w:val="bottom"/>
            <w:vMerge w:val="continue"/>
            <w:shd w:val="clear" w:color="auto" w:fill="CFF0FC"/>
          </w:tcPr>
          <w:p>
            <w:pPr>
              <w:spacing w:after="0"/>
              <w:rPr>
                <w:sz w:val="6"/>
                <w:szCs w:val="6"/>
                <w:color w:val="auto"/>
              </w:rPr>
            </w:pPr>
          </w:p>
        </w:tc>
        <w:tc>
          <w:tcPr>
            <w:tcW w:w="720" w:type="dxa"/>
            <w:vAlign w:val="bottom"/>
            <w:vMerge w:val="continue"/>
            <w:shd w:val="clear" w:color="auto" w:fill="CFF0FC"/>
          </w:tcPr>
          <w:p>
            <w:pPr>
              <w:spacing w:after="0"/>
              <w:rPr>
                <w:sz w:val="6"/>
                <w:szCs w:val="6"/>
                <w:color w:val="auto"/>
              </w:rPr>
            </w:pPr>
          </w:p>
        </w:tc>
        <w:tc>
          <w:tcPr>
            <w:tcW w:w="560" w:type="dxa"/>
            <w:vAlign w:val="bottom"/>
            <w:vMerge w:val="continue"/>
            <w:shd w:val="clear" w:color="auto" w:fill="CFF0FC"/>
          </w:tcPr>
          <w:p>
            <w:pPr>
              <w:spacing w:after="0"/>
              <w:rPr>
                <w:sz w:val="6"/>
                <w:szCs w:val="6"/>
                <w:color w:val="auto"/>
              </w:rPr>
            </w:pPr>
          </w:p>
        </w:tc>
        <w:tc>
          <w:tcPr>
            <w:tcW w:w="56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460" w:type="dxa"/>
            <w:vAlign w:val="bottom"/>
            <w:shd w:val="clear" w:color="auto" w:fill="CFF0FC"/>
          </w:tcPr>
          <w:p>
            <w:pPr>
              <w:spacing w:after="0"/>
              <w:rPr>
                <w:sz w:val="6"/>
                <w:szCs w:val="6"/>
                <w:color w:val="auto"/>
              </w:rPr>
            </w:pPr>
          </w:p>
        </w:tc>
        <w:tc>
          <w:tcPr>
            <w:tcW w:w="182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56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Princeton Medspa Partners, LLC - Warrant</w:t>
            </w:r>
          </w:p>
        </w:tc>
        <w:tc>
          <w:tcPr>
            <w:tcW w:w="18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Services: Consumer</w:t>
            </w:r>
          </w:p>
        </w:tc>
        <w:tc>
          <w:tcPr>
            <w:tcW w:w="9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0.03</w:t>
            </w: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46"/>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Stock and Membership Units</w:t>
            </w:r>
          </w:p>
        </w:tc>
        <w:tc>
          <w:tcPr>
            <w:tcW w:w="18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1,435</w:t>
            </w:r>
          </w:p>
        </w:tc>
        <w:tc>
          <w:tcPr>
            <w:tcW w:w="2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1,504</w:t>
            </w:r>
          </w:p>
        </w:tc>
        <w:tc>
          <w:tcPr>
            <w:tcW w:w="8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Derivatives - 0.0%</w:t>
            </w:r>
            <w:r>
              <w:rPr>
                <w:rFonts w:ascii="Times New Roman" w:cs="Times New Roman" w:eastAsia="Times New Roman" w:hAnsi="Times New Roman"/>
                <w:sz w:val="14"/>
                <w:szCs w:val="14"/>
                <w:b w:val="1"/>
                <w:bCs w:val="1"/>
                <w:color w:val="auto"/>
                <w:vertAlign w:val="superscript"/>
              </w:rPr>
              <w:t>(19)</w:t>
            </w: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Princeton Medspa Partners, LLC</w:t>
            </w:r>
          </w:p>
        </w:tc>
        <w:tc>
          <w:tcPr>
            <w:tcW w:w="182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rPr>
              <w:t>Services: Consumer</w:t>
            </w:r>
          </w:p>
        </w:tc>
        <w:tc>
          <w:tcPr>
            <w:tcW w:w="900" w:type="dxa"/>
            <w:vAlign w:val="bottom"/>
            <w:vMerge w:val="restart"/>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(7)(22)</w:t>
            </w:r>
          </w:p>
        </w:tc>
        <w:tc>
          <w:tcPr>
            <w:tcW w:w="0" w:type="dxa"/>
            <w:vAlign w:val="bottom"/>
          </w:tcPr>
          <w:p>
            <w:pPr>
              <w:spacing w:after="0"/>
              <w:rPr>
                <w:sz w:val="1"/>
                <w:szCs w:val="1"/>
                <w:color w:val="auto"/>
              </w:rPr>
            </w:pPr>
          </w:p>
        </w:tc>
      </w:tr>
      <w:tr>
        <w:trPr>
          <w:trHeight w:val="73"/>
        </w:trPr>
        <w:tc>
          <w:tcPr>
            <w:tcW w:w="3460" w:type="dxa"/>
            <w:vAlign w:val="bottom"/>
            <w:shd w:val="clear" w:color="auto" w:fill="CFF0FC"/>
          </w:tcPr>
          <w:p>
            <w:pPr>
              <w:spacing w:after="0"/>
              <w:rPr>
                <w:sz w:val="6"/>
                <w:szCs w:val="6"/>
                <w:color w:val="auto"/>
              </w:rPr>
            </w:pPr>
          </w:p>
        </w:tc>
        <w:tc>
          <w:tcPr>
            <w:tcW w:w="1820" w:type="dxa"/>
            <w:vAlign w:val="bottom"/>
            <w:shd w:val="clear" w:color="auto" w:fill="CFF0FC"/>
          </w:tcPr>
          <w:p>
            <w:pPr>
              <w:spacing w:after="0"/>
              <w:rPr>
                <w:sz w:val="6"/>
                <w:szCs w:val="6"/>
                <w:color w:val="auto"/>
              </w:rPr>
            </w:pPr>
          </w:p>
        </w:tc>
        <w:tc>
          <w:tcPr>
            <w:tcW w:w="900" w:type="dxa"/>
            <w:vAlign w:val="bottom"/>
            <w:vMerge w:val="continue"/>
            <w:shd w:val="clear" w:color="auto" w:fill="CFF0FC"/>
          </w:tcPr>
          <w:p>
            <w:pPr>
              <w:spacing w:after="0"/>
              <w:rPr>
                <w:sz w:val="6"/>
                <w:szCs w:val="6"/>
                <w:color w:val="auto"/>
              </w:rPr>
            </w:pPr>
          </w:p>
        </w:tc>
        <w:tc>
          <w:tcPr>
            <w:tcW w:w="1000" w:type="dxa"/>
            <w:vAlign w:val="bottom"/>
            <w:vMerge w:val="continue"/>
            <w:shd w:val="clear" w:color="auto" w:fill="CFF0FC"/>
          </w:tcPr>
          <w:p>
            <w:pPr>
              <w:spacing w:after="0"/>
              <w:rPr>
                <w:sz w:val="6"/>
                <w:szCs w:val="6"/>
                <w:color w:val="auto"/>
              </w:rPr>
            </w:pPr>
          </w:p>
        </w:tc>
        <w:tc>
          <w:tcPr>
            <w:tcW w:w="720" w:type="dxa"/>
            <w:vAlign w:val="bottom"/>
            <w:vMerge w:val="continue"/>
            <w:shd w:val="clear" w:color="auto" w:fill="CFF0FC"/>
          </w:tcPr>
          <w:p>
            <w:pPr>
              <w:spacing w:after="0"/>
              <w:rPr>
                <w:sz w:val="6"/>
                <w:szCs w:val="6"/>
                <w:color w:val="auto"/>
              </w:rPr>
            </w:pPr>
          </w:p>
        </w:tc>
        <w:tc>
          <w:tcPr>
            <w:tcW w:w="560" w:type="dxa"/>
            <w:vAlign w:val="bottom"/>
            <w:vMerge w:val="continue"/>
            <w:shd w:val="clear" w:color="auto" w:fill="CFF0FC"/>
          </w:tcPr>
          <w:p>
            <w:pPr>
              <w:spacing w:after="0"/>
              <w:rPr>
                <w:sz w:val="6"/>
                <w:szCs w:val="6"/>
                <w:color w:val="auto"/>
              </w:rPr>
            </w:pPr>
          </w:p>
        </w:tc>
        <w:tc>
          <w:tcPr>
            <w:tcW w:w="56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3460" w:type="dxa"/>
            <w:vAlign w:val="bottom"/>
            <w:tcBorders>
              <w:bottom w:val="single" w:sz="8" w:color="CFF0FC"/>
            </w:tcBorders>
            <w:shd w:val="clear" w:color="auto" w:fill="CFF0FC"/>
          </w:tcPr>
          <w:p>
            <w:pPr>
              <w:spacing w:after="0"/>
              <w:rPr>
                <w:sz w:val="5"/>
                <w:szCs w:val="5"/>
                <w:color w:val="auto"/>
              </w:rPr>
            </w:pPr>
          </w:p>
        </w:tc>
        <w:tc>
          <w:tcPr>
            <w:tcW w:w="1820" w:type="dxa"/>
            <w:vAlign w:val="bottom"/>
            <w:tcBorders>
              <w:bottom w:val="single" w:sz="8" w:color="CFF0FC"/>
            </w:tcBorders>
            <w:shd w:val="clear" w:color="auto" w:fill="CFF0FC"/>
          </w:tcPr>
          <w:p>
            <w:pPr>
              <w:spacing w:after="0"/>
              <w:rPr>
                <w:sz w:val="5"/>
                <w:szCs w:val="5"/>
                <w:color w:val="auto"/>
              </w:rPr>
            </w:pPr>
          </w:p>
        </w:tc>
        <w:tc>
          <w:tcPr>
            <w:tcW w:w="900" w:type="dxa"/>
            <w:vAlign w:val="bottom"/>
            <w:tcBorders>
              <w:bottom w:val="single" w:sz="8" w:color="CFF0FC"/>
            </w:tcBorders>
            <w:shd w:val="clear" w:color="auto" w:fill="CFF0FC"/>
          </w:tcPr>
          <w:p>
            <w:pPr>
              <w:spacing w:after="0"/>
              <w:rPr>
                <w:sz w:val="5"/>
                <w:szCs w:val="5"/>
                <w:color w:val="auto"/>
              </w:rPr>
            </w:pPr>
          </w:p>
        </w:tc>
        <w:tc>
          <w:tcPr>
            <w:tcW w:w="1000" w:type="dxa"/>
            <w:vAlign w:val="bottom"/>
            <w:tcBorders>
              <w:bottom w:val="single" w:sz="8" w:color="CFF0FC"/>
            </w:tcBorders>
            <w:shd w:val="clear" w:color="auto" w:fill="CFF0FC"/>
          </w:tcPr>
          <w:p>
            <w:pPr>
              <w:spacing w:after="0"/>
              <w:rPr>
                <w:sz w:val="5"/>
                <w:szCs w:val="5"/>
                <w:color w:val="auto"/>
              </w:rPr>
            </w:pPr>
          </w:p>
        </w:tc>
        <w:tc>
          <w:tcPr>
            <w:tcW w:w="720" w:type="dxa"/>
            <w:vAlign w:val="bottom"/>
            <w:tcBorders>
              <w:bottom w:val="single" w:sz="8" w:color="CFF0FC"/>
            </w:tcBorders>
            <w:shd w:val="clear" w:color="auto" w:fill="CFF0FC"/>
          </w:tcPr>
          <w:p>
            <w:pPr>
              <w:spacing w:after="0"/>
              <w:rPr>
                <w:sz w:val="5"/>
                <w:szCs w:val="5"/>
                <w:color w:val="auto"/>
              </w:rPr>
            </w:pPr>
          </w:p>
        </w:tc>
        <w:tc>
          <w:tcPr>
            <w:tcW w:w="560" w:type="dxa"/>
            <w:vAlign w:val="bottom"/>
            <w:tcBorders>
              <w:bottom w:val="single" w:sz="8" w:color="CFF0FC"/>
            </w:tcBorders>
            <w:shd w:val="clear" w:color="auto" w:fill="CFF0FC"/>
          </w:tcPr>
          <w:p>
            <w:pPr>
              <w:spacing w:after="0"/>
              <w:rPr>
                <w:sz w:val="5"/>
                <w:szCs w:val="5"/>
                <w:color w:val="auto"/>
              </w:rPr>
            </w:pPr>
          </w:p>
        </w:tc>
        <w:tc>
          <w:tcPr>
            <w:tcW w:w="560" w:type="dxa"/>
            <w:vAlign w:val="bottom"/>
            <w:tcBorders>
              <w:bottom w:val="single" w:sz="8" w:color="CFF0FC"/>
            </w:tcBorders>
            <w:vMerge w:val="continue"/>
            <w:shd w:val="clear" w:color="auto" w:fill="CFF0FC"/>
          </w:tcPr>
          <w:p>
            <w:pPr>
              <w:spacing w:after="0"/>
              <w:rPr>
                <w:sz w:val="5"/>
                <w:szCs w:val="5"/>
                <w:color w:val="auto"/>
              </w:rPr>
            </w:pPr>
          </w:p>
        </w:tc>
        <w:tc>
          <w:tcPr>
            <w:tcW w:w="120" w:type="dxa"/>
            <w:vAlign w:val="bottom"/>
            <w:tcBorders>
              <w:bottom w:val="single" w:sz="8" w:color="auto"/>
            </w:tcBorders>
            <w:shd w:val="clear" w:color="auto" w:fill="CFF0FC"/>
          </w:tcPr>
          <w:p>
            <w:pPr>
              <w:spacing w:after="0"/>
              <w:rPr>
                <w:sz w:val="5"/>
                <w:szCs w:val="5"/>
                <w:color w:val="auto"/>
              </w:rPr>
            </w:pPr>
          </w:p>
        </w:tc>
        <w:tc>
          <w:tcPr>
            <w:tcW w:w="460" w:type="dxa"/>
            <w:vAlign w:val="bottom"/>
            <w:tcBorders>
              <w:bottom w:val="single" w:sz="8" w:color="auto"/>
            </w:tcBorders>
            <w:shd w:val="clear" w:color="auto" w:fill="CFF0FC"/>
          </w:tcPr>
          <w:p>
            <w:pPr>
              <w:spacing w:after="0"/>
              <w:rPr>
                <w:sz w:val="5"/>
                <w:szCs w:val="5"/>
                <w:color w:val="auto"/>
              </w:rPr>
            </w:pPr>
          </w:p>
        </w:tc>
        <w:tc>
          <w:tcPr>
            <w:tcW w:w="220" w:type="dxa"/>
            <w:vAlign w:val="bottom"/>
            <w:tcBorders>
              <w:bottom w:val="single" w:sz="8" w:color="auto"/>
            </w:tcBorders>
            <w:shd w:val="clear" w:color="auto" w:fill="CFF0FC"/>
          </w:tcPr>
          <w:p>
            <w:pPr>
              <w:spacing w:after="0"/>
              <w:rPr>
                <w:sz w:val="5"/>
                <w:szCs w:val="5"/>
                <w:color w:val="auto"/>
              </w:rPr>
            </w:pPr>
          </w:p>
        </w:tc>
        <w:tc>
          <w:tcPr>
            <w:tcW w:w="560" w:type="dxa"/>
            <w:vAlign w:val="bottom"/>
            <w:tcBorders>
              <w:bottom w:val="single" w:sz="8" w:color="auto"/>
            </w:tcBorders>
            <w:shd w:val="clear" w:color="auto" w:fill="CFF0FC"/>
          </w:tcPr>
          <w:p>
            <w:pPr>
              <w:spacing w:after="0"/>
              <w:rPr>
                <w:sz w:val="5"/>
                <w:szCs w:val="5"/>
                <w:color w:val="auto"/>
              </w:rPr>
            </w:pPr>
          </w:p>
        </w:tc>
        <w:tc>
          <w:tcPr>
            <w:tcW w:w="860" w:type="dxa"/>
            <w:vAlign w:val="bottom"/>
            <w:tcBorders>
              <w:bottom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Derivatives</w:t>
            </w: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Affiliate Portfolio Companies</w:t>
            </w:r>
          </w:p>
        </w:tc>
        <w:tc>
          <w:tcPr>
            <w:tcW w:w="18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62,769</w:t>
            </w:r>
          </w:p>
        </w:tc>
        <w:tc>
          <w:tcPr>
            <w:tcW w:w="2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60,464</w:t>
            </w:r>
          </w:p>
        </w:tc>
        <w:tc>
          <w:tcPr>
            <w:tcW w:w="8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Investments in Controlled Afilliated Portfolio Companies - 6.9%</w:t>
            </w:r>
            <w:r>
              <w:rPr>
                <w:rFonts w:ascii="Times New Roman" w:cs="Times New Roman" w:eastAsia="Times New Roman" w:hAnsi="Times New Roman"/>
                <w:sz w:val="14"/>
                <w:szCs w:val="14"/>
                <w:b w:val="1"/>
                <w:bCs w:val="1"/>
                <w:color w:val="auto"/>
                <w:vertAlign w:val="superscript"/>
              </w:rPr>
              <w:t>(8)</w:t>
            </w: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 - 0.0%</w:t>
            </w:r>
          </w:p>
        </w:tc>
        <w:tc>
          <w:tcPr>
            <w:tcW w:w="18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ProAir, LLC</w:t>
            </w:r>
          </w:p>
        </w:tc>
        <w:tc>
          <w:tcPr>
            <w:tcW w:w="182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rPr>
              <w:t>Capital Equipment</w:t>
            </w:r>
          </w:p>
        </w:tc>
        <w:tc>
          <w:tcPr>
            <w:tcW w:w="900" w:type="dxa"/>
            <w:vAlign w:val="bottom"/>
            <w:vMerge w:val="restart"/>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center"/>
              <w:ind w:lef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1/31/202</w:t>
            </w:r>
          </w:p>
        </w:tc>
        <w:tc>
          <w:tcPr>
            <w:tcW w:w="5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2,020</w:t>
            </w:r>
          </w:p>
        </w:tc>
        <w:tc>
          <w:tcPr>
            <w:tcW w:w="120" w:type="dxa"/>
            <w:vAlign w:val="bottom"/>
          </w:tcPr>
          <w:p>
            <w:pPr>
              <w:spacing w:after="0"/>
              <w:rPr>
                <w:sz w:val="10"/>
                <w:szCs w:val="10"/>
                <w:color w:val="auto"/>
              </w:rPr>
            </w:pPr>
          </w:p>
        </w:tc>
        <w:tc>
          <w:tcPr>
            <w:tcW w:w="4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1,930</w:t>
            </w:r>
          </w:p>
        </w:tc>
        <w:tc>
          <w:tcPr>
            <w:tcW w:w="220" w:type="dxa"/>
            <w:vAlign w:val="bottom"/>
          </w:tcPr>
          <w:p>
            <w:pPr>
              <w:spacing w:after="0"/>
              <w:rPr>
                <w:sz w:val="10"/>
                <w:szCs w:val="10"/>
                <w:color w:val="auto"/>
              </w:rPr>
            </w:pPr>
          </w:p>
        </w:tc>
        <w:tc>
          <w:tcPr>
            <w:tcW w:w="56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73"/>
        </w:trPr>
        <w:tc>
          <w:tcPr>
            <w:tcW w:w="34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restart"/>
          </w:tcPr>
          <w:p>
            <w:pPr>
              <w:jc w:val="center"/>
              <w:ind w:left="46"/>
              <w:spacing w:after="0"/>
              <w:rPr>
                <w:sz w:val="20"/>
                <w:szCs w:val="20"/>
                <w:color w:val="auto"/>
              </w:rPr>
            </w:pPr>
            <w:r>
              <w:rPr>
                <w:rFonts w:ascii="Times New Roman" w:cs="Times New Roman" w:eastAsia="Times New Roman" w:hAnsi="Times New Roman"/>
                <w:sz w:val="11"/>
                <w:szCs w:val="11"/>
                <w:color w:val="auto"/>
              </w:rPr>
              <w:t>3</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34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18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1,930</w:t>
            </w:r>
          </w:p>
        </w:tc>
        <w:tc>
          <w:tcPr>
            <w:tcW w:w="2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Common Stock and Membership Units - 0.0%</w:t>
            </w: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46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ProAir HoldCo, LLC</w:t>
            </w:r>
          </w:p>
        </w:tc>
        <w:tc>
          <w:tcPr>
            <w:tcW w:w="1820" w:type="dxa"/>
            <w:vAlign w:val="bottom"/>
            <w:shd w:val="clear" w:color="auto" w:fill="CFF0FC"/>
          </w:tcPr>
          <w:p>
            <w:pPr>
              <w:ind w:left="380"/>
              <w:spacing w:after="0" w:line="125" w:lineRule="exact"/>
              <w:rPr>
                <w:sz w:val="20"/>
                <w:szCs w:val="20"/>
                <w:color w:val="auto"/>
              </w:rPr>
            </w:pPr>
            <w:r>
              <w:rPr>
                <w:rFonts w:ascii="Times New Roman" w:cs="Times New Roman" w:eastAsia="Times New Roman" w:hAnsi="Times New Roman"/>
                <w:sz w:val="11"/>
                <w:szCs w:val="11"/>
                <w:color w:val="auto"/>
              </w:rPr>
              <w:t>Capital Equipment</w:t>
            </w:r>
          </w:p>
        </w:tc>
        <w:tc>
          <w:tcPr>
            <w:tcW w:w="900" w:type="dxa"/>
            <w:vAlign w:val="bottom"/>
            <w:vMerge w:val="restart"/>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2,749,9</w:t>
            </w: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6"/>
              <w:spacing w:after="0" w:line="125" w:lineRule="exact"/>
              <w:rPr>
                <w:sz w:val="20"/>
                <w:szCs w:val="20"/>
                <w:color w:val="auto"/>
              </w:rPr>
            </w:pPr>
            <w:r>
              <w:rPr>
                <w:rFonts w:ascii="Times New Roman" w:cs="Times New Roman" w:eastAsia="Times New Roman" w:hAnsi="Times New Roman"/>
                <w:sz w:val="11"/>
                <w:szCs w:val="11"/>
                <w:color w:val="auto"/>
              </w:rPr>
              <w:t>4,261</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3460" w:type="dxa"/>
            <w:vAlign w:val="bottom"/>
            <w:shd w:val="clear" w:color="auto" w:fill="CFF0FC"/>
          </w:tcPr>
          <w:p>
            <w:pPr>
              <w:spacing w:after="0"/>
              <w:rPr>
                <w:sz w:val="6"/>
                <w:szCs w:val="6"/>
                <w:color w:val="auto"/>
              </w:rPr>
            </w:pPr>
          </w:p>
        </w:tc>
        <w:tc>
          <w:tcPr>
            <w:tcW w:w="1820" w:type="dxa"/>
            <w:vAlign w:val="bottom"/>
            <w:shd w:val="clear" w:color="auto" w:fill="CFF0FC"/>
          </w:tcPr>
          <w:p>
            <w:pPr>
              <w:spacing w:after="0"/>
              <w:rPr>
                <w:sz w:val="6"/>
                <w:szCs w:val="6"/>
                <w:color w:val="auto"/>
              </w:rPr>
            </w:pPr>
          </w:p>
        </w:tc>
        <w:tc>
          <w:tcPr>
            <w:tcW w:w="900" w:type="dxa"/>
            <w:vAlign w:val="bottom"/>
            <w:vMerge w:val="continue"/>
            <w:shd w:val="clear" w:color="auto" w:fill="CFF0FC"/>
          </w:tcPr>
          <w:p>
            <w:pPr>
              <w:spacing w:after="0"/>
              <w:rPr>
                <w:sz w:val="6"/>
                <w:szCs w:val="6"/>
                <w:color w:val="auto"/>
              </w:rPr>
            </w:pPr>
          </w:p>
        </w:tc>
        <w:tc>
          <w:tcPr>
            <w:tcW w:w="1000" w:type="dxa"/>
            <w:vAlign w:val="bottom"/>
            <w:vMerge w:val="continue"/>
            <w:shd w:val="clear" w:color="auto" w:fill="CFF0FC"/>
          </w:tcPr>
          <w:p>
            <w:pPr>
              <w:spacing w:after="0"/>
              <w:rPr>
                <w:sz w:val="6"/>
                <w:szCs w:val="6"/>
                <w:color w:val="auto"/>
              </w:rPr>
            </w:pPr>
          </w:p>
        </w:tc>
        <w:tc>
          <w:tcPr>
            <w:tcW w:w="720" w:type="dxa"/>
            <w:vAlign w:val="bottom"/>
            <w:vMerge w:val="continue"/>
            <w:shd w:val="clear" w:color="auto" w:fill="CFF0FC"/>
          </w:tcPr>
          <w:p>
            <w:pPr>
              <w:spacing w:after="0"/>
              <w:rPr>
                <w:sz w:val="6"/>
                <w:szCs w:val="6"/>
                <w:color w:val="auto"/>
              </w:rPr>
            </w:pPr>
          </w:p>
        </w:tc>
        <w:tc>
          <w:tcPr>
            <w:tcW w:w="560" w:type="dxa"/>
            <w:vAlign w:val="bottom"/>
            <w:vMerge w:val="continue"/>
            <w:shd w:val="clear" w:color="auto" w:fill="CFF0FC"/>
          </w:tcPr>
          <w:p>
            <w:pPr>
              <w:spacing w:after="0"/>
              <w:rPr>
                <w:sz w:val="6"/>
                <w:szCs w:val="6"/>
                <w:color w:val="auto"/>
              </w:rPr>
            </w:pPr>
          </w:p>
        </w:tc>
        <w:tc>
          <w:tcPr>
            <w:tcW w:w="56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97</w:t>
            </w:r>
          </w:p>
        </w:tc>
        <w:tc>
          <w:tcPr>
            <w:tcW w:w="12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3460" w:type="dxa"/>
            <w:vAlign w:val="bottom"/>
            <w:tcBorders>
              <w:bottom w:val="single" w:sz="8" w:color="CFF0FC"/>
            </w:tcBorders>
            <w:shd w:val="clear" w:color="auto" w:fill="CFF0FC"/>
          </w:tcPr>
          <w:p>
            <w:pPr>
              <w:spacing w:after="0"/>
              <w:rPr>
                <w:sz w:val="5"/>
                <w:szCs w:val="5"/>
                <w:color w:val="auto"/>
              </w:rPr>
            </w:pPr>
          </w:p>
        </w:tc>
        <w:tc>
          <w:tcPr>
            <w:tcW w:w="1820" w:type="dxa"/>
            <w:vAlign w:val="bottom"/>
            <w:tcBorders>
              <w:bottom w:val="single" w:sz="8" w:color="CFF0FC"/>
            </w:tcBorders>
            <w:shd w:val="clear" w:color="auto" w:fill="CFF0FC"/>
          </w:tcPr>
          <w:p>
            <w:pPr>
              <w:spacing w:after="0"/>
              <w:rPr>
                <w:sz w:val="5"/>
                <w:szCs w:val="5"/>
                <w:color w:val="auto"/>
              </w:rPr>
            </w:pPr>
          </w:p>
        </w:tc>
        <w:tc>
          <w:tcPr>
            <w:tcW w:w="900" w:type="dxa"/>
            <w:vAlign w:val="bottom"/>
            <w:tcBorders>
              <w:bottom w:val="single" w:sz="8" w:color="CFF0FC"/>
            </w:tcBorders>
            <w:shd w:val="clear" w:color="auto" w:fill="CFF0FC"/>
          </w:tcPr>
          <w:p>
            <w:pPr>
              <w:spacing w:after="0"/>
              <w:rPr>
                <w:sz w:val="5"/>
                <w:szCs w:val="5"/>
                <w:color w:val="auto"/>
              </w:rPr>
            </w:pPr>
          </w:p>
        </w:tc>
        <w:tc>
          <w:tcPr>
            <w:tcW w:w="1000" w:type="dxa"/>
            <w:vAlign w:val="bottom"/>
            <w:tcBorders>
              <w:bottom w:val="single" w:sz="8" w:color="CFF0FC"/>
            </w:tcBorders>
            <w:shd w:val="clear" w:color="auto" w:fill="CFF0FC"/>
          </w:tcPr>
          <w:p>
            <w:pPr>
              <w:spacing w:after="0"/>
              <w:rPr>
                <w:sz w:val="5"/>
                <w:szCs w:val="5"/>
                <w:color w:val="auto"/>
              </w:rPr>
            </w:pPr>
          </w:p>
        </w:tc>
        <w:tc>
          <w:tcPr>
            <w:tcW w:w="720" w:type="dxa"/>
            <w:vAlign w:val="bottom"/>
            <w:tcBorders>
              <w:bottom w:val="single" w:sz="8" w:color="CFF0FC"/>
            </w:tcBorders>
            <w:shd w:val="clear" w:color="auto" w:fill="CFF0FC"/>
          </w:tcPr>
          <w:p>
            <w:pPr>
              <w:spacing w:after="0"/>
              <w:rPr>
                <w:sz w:val="5"/>
                <w:szCs w:val="5"/>
                <w:color w:val="auto"/>
              </w:rPr>
            </w:pPr>
          </w:p>
        </w:tc>
        <w:tc>
          <w:tcPr>
            <w:tcW w:w="560" w:type="dxa"/>
            <w:vAlign w:val="bottom"/>
            <w:tcBorders>
              <w:bottom w:val="single" w:sz="8" w:color="CFF0FC"/>
            </w:tcBorders>
            <w:shd w:val="clear" w:color="auto" w:fill="CFF0FC"/>
          </w:tcPr>
          <w:p>
            <w:pPr>
              <w:spacing w:after="0"/>
              <w:rPr>
                <w:sz w:val="5"/>
                <w:szCs w:val="5"/>
                <w:color w:val="auto"/>
              </w:rPr>
            </w:pPr>
          </w:p>
        </w:tc>
        <w:tc>
          <w:tcPr>
            <w:tcW w:w="560" w:type="dxa"/>
            <w:vAlign w:val="bottom"/>
            <w:tcBorders>
              <w:bottom w:val="single" w:sz="8" w:color="CFF0FC"/>
            </w:tcBorders>
            <w:vMerge w:val="continue"/>
            <w:shd w:val="clear" w:color="auto" w:fill="CFF0FC"/>
          </w:tcPr>
          <w:p>
            <w:pPr>
              <w:spacing w:after="0"/>
              <w:rPr>
                <w:sz w:val="5"/>
                <w:szCs w:val="5"/>
                <w:color w:val="auto"/>
              </w:rPr>
            </w:pPr>
          </w:p>
        </w:tc>
        <w:tc>
          <w:tcPr>
            <w:tcW w:w="120" w:type="dxa"/>
            <w:vAlign w:val="bottom"/>
            <w:tcBorders>
              <w:bottom w:val="single" w:sz="8" w:color="auto"/>
            </w:tcBorders>
            <w:shd w:val="clear" w:color="auto" w:fill="CFF0FC"/>
          </w:tcPr>
          <w:p>
            <w:pPr>
              <w:spacing w:after="0"/>
              <w:rPr>
                <w:sz w:val="5"/>
                <w:szCs w:val="5"/>
                <w:color w:val="auto"/>
              </w:rPr>
            </w:pPr>
          </w:p>
        </w:tc>
        <w:tc>
          <w:tcPr>
            <w:tcW w:w="460" w:type="dxa"/>
            <w:vAlign w:val="bottom"/>
            <w:tcBorders>
              <w:bottom w:val="single" w:sz="8" w:color="auto"/>
            </w:tcBorders>
            <w:shd w:val="clear" w:color="auto" w:fill="CFF0FC"/>
          </w:tcPr>
          <w:p>
            <w:pPr>
              <w:spacing w:after="0"/>
              <w:rPr>
                <w:sz w:val="5"/>
                <w:szCs w:val="5"/>
                <w:color w:val="auto"/>
              </w:rPr>
            </w:pPr>
          </w:p>
        </w:tc>
        <w:tc>
          <w:tcPr>
            <w:tcW w:w="220" w:type="dxa"/>
            <w:vAlign w:val="bottom"/>
            <w:tcBorders>
              <w:bottom w:val="single" w:sz="8" w:color="auto"/>
            </w:tcBorders>
            <w:shd w:val="clear" w:color="auto" w:fill="CFF0FC"/>
          </w:tcPr>
          <w:p>
            <w:pPr>
              <w:spacing w:after="0"/>
              <w:rPr>
                <w:sz w:val="5"/>
                <w:szCs w:val="5"/>
                <w:color w:val="auto"/>
              </w:rPr>
            </w:pPr>
          </w:p>
        </w:tc>
        <w:tc>
          <w:tcPr>
            <w:tcW w:w="560" w:type="dxa"/>
            <w:vAlign w:val="bottom"/>
            <w:tcBorders>
              <w:bottom w:val="single" w:sz="8" w:color="auto"/>
            </w:tcBorders>
            <w:shd w:val="clear" w:color="auto" w:fill="CFF0FC"/>
          </w:tcPr>
          <w:p>
            <w:pPr>
              <w:spacing w:after="0"/>
              <w:rPr>
                <w:sz w:val="5"/>
                <w:szCs w:val="5"/>
                <w:color w:val="auto"/>
              </w:rPr>
            </w:pPr>
          </w:p>
        </w:tc>
        <w:tc>
          <w:tcPr>
            <w:tcW w:w="860" w:type="dxa"/>
            <w:vAlign w:val="bottom"/>
            <w:tcBorders>
              <w:bottom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Stock and Membership Units</w:t>
            </w: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4,261</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Joint Ventures - 6.9%</w:t>
            </w:r>
          </w:p>
        </w:tc>
        <w:tc>
          <w:tcPr>
            <w:tcW w:w="18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KCAP Freedom 3 LLC</w:t>
            </w:r>
          </w:p>
        </w:tc>
        <w:tc>
          <w:tcPr>
            <w:tcW w:w="18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Joint Venture</w:t>
            </w:r>
          </w:p>
        </w:tc>
        <w:tc>
          <w:tcPr>
            <w:tcW w:w="9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26,446</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13,547</w:t>
            </w:r>
          </w:p>
        </w:tc>
        <w:tc>
          <w:tcPr>
            <w:tcW w:w="860" w:type="dxa"/>
            <w:vAlign w:val="bottom"/>
          </w:tcPr>
          <w:p>
            <w:pPr>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42"/>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Joint Ventures</w:t>
            </w:r>
          </w:p>
        </w:tc>
        <w:tc>
          <w:tcPr>
            <w:tcW w:w="18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26,446</w:t>
            </w:r>
          </w:p>
        </w:tc>
        <w:tc>
          <w:tcPr>
            <w:tcW w:w="2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13,547</w:t>
            </w:r>
          </w:p>
        </w:tc>
        <w:tc>
          <w:tcPr>
            <w:tcW w:w="8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 Manager Affiliates - 0.0%</w:t>
            </w: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Asset Management Company</w:t>
            </w:r>
          </w:p>
        </w:tc>
        <w:tc>
          <w:tcPr>
            <w:tcW w:w="1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Asset Management Company</w:t>
            </w:r>
          </w:p>
        </w:tc>
        <w:tc>
          <w:tcPr>
            <w:tcW w:w="900" w:type="dxa"/>
            <w:vAlign w:val="bottom"/>
            <w:tcBorders>
              <w:bottom w:val="single" w:sz="8" w:color="CFF0FC"/>
            </w:tcBorders>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FF0FC"/>
            </w:tcBorders>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FF0FC"/>
            </w:tcBorders>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Borders>
              <w:bottom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17,791</w:t>
            </w:r>
          </w:p>
        </w:tc>
        <w:tc>
          <w:tcPr>
            <w:tcW w:w="22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42"/>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 Manager Affiliates</w:t>
            </w: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17,791</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18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50,428</w:t>
            </w:r>
          </w:p>
        </w:tc>
        <w:tc>
          <w:tcPr>
            <w:tcW w:w="2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13,547</w:t>
            </w:r>
          </w:p>
        </w:tc>
        <w:tc>
          <w:tcPr>
            <w:tcW w:w="8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- 226.2%</w:t>
            </w: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522,683</w:t>
            </w:r>
          </w:p>
        </w:tc>
        <w:tc>
          <w:tcPr>
            <w:tcW w:w="2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444,370</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6588760</wp:posOffset>
            </wp:positionH>
            <wp:positionV relativeFrom="paragraph">
              <wp:posOffset>-2116455</wp:posOffset>
            </wp:positionV>
            <wp:extent cx="5486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-1851025</wp:posOffset>
            </wp:positionV>
            <wp:extent cx="5486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-1645285</wp:posOffset>
            </wp:positionV>
            <wp:extent cx="5486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-1182370</wp:posOffset>
            </wp:positionV>
            <wp:extent cx="5486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-916305</wp:posOffset>
            </wp:positionV>
            <wp:extent cx="5486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-513715</wp:posOffset>
            </wp:positionV>
            <wp:extent cx="5486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-316865</wp:posOffset>
            </wp:positionV>
            <wp:extent cx="5486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-111125</wp:posOffset>
            </wp:positionV>
            <wp:extent cx="5486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14230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80" w:right="160" w:hanging="372"/>
        <w:spacing w:after="0" w:line="228" w:lineRule="auto"/>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majority of the variable rate loans in the Company’s investment portfolio bear interest at a rate that may be determined by reference to either SOFR or an alternate Base Rate (commonly based on the Federal Funds Rate or the Prime Rate), which typically resets semi-annually, quarterly, or monthly at the borrower’s option. The Borrower may also elect to have multiple interest reset periods for each June 30, 2024 loan. SOFR loans are typically indexed to 12 month, 6 month, 3 month, 2 month or 1 month S rates. For each such loan, the Company has provided the weighted average annual stated interest rate in effect at June 30, 2024. As noted in the table above, 81.6% (based on par) of debt securities with floating rates contain floors which range between 0.50% and 3.25%.</w:t>
      </w:r>
    </w:p>
    <w:p>
      <w:pPr>
        <w:spacing w:after="0" w:line="79" w:lineRule="exact"/>
        <w:rPr>
          <w:rFonts w:ascii="Times New Roman" w:cs="Times New Roman" w:eastAsia="Times New Roman" w:hAnsi="Times New Roman"/>
          <w:sz w:val="13"/>
          <w:szCs w:val="13"/>
          <w:color w:val="auto"/>
        </w:rPr>
      </w:pPr>
    </w:p>
    <w:p>
      <w:pPr>
        <w:ind w:left="380" w:right="10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fair market value of all investments as of June 30, 2024 as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Non-U.S. company or principal place of business outside the U.S.</w:t>
      </w:r>
    </w:p>
    <w:p>
      <w:pPr>
        <w:spacing w:after="0" w:line="93" w:lineRule="exact"/>
        <w:rPr>
          <w:rFonts w:ascii="Times New Roman" w:cs="Times New Roman" w:eastAsia="Times New Roman" w:hAnsi="Times New Roman"/>
          <w:sz w:val="13"/>
          <w:szCs w:val="13"/>
          <w:color w:val="auto"/>
        </w:rPr>
      </w:pPr>
    </w:p>
    <w:p>
      <w:pPr>
        <w:ind w:left="380" w:right="40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cost of investments for federal income tax purposes is approximately $506.5 million. The aggregate gross unrealized appreciation is approximately $37.6 million, the aggregate gross unrealized depreciation is approximately $0.5 million, and the net unrealized depreciation is approximately $37.1 million.</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Loan or debt security is on non-accrual status and therefore is considered non-income producing.</w:t>
      </w:r>
    </w:p>
    <w:p>
      <w:pPr>
        <w:spacing w:after="0" w:line="93" w:lineRule="exact"/>
        <w:rPr>
          <w:rFonts w:ascii="Times New Roman" w:cs="Times New Roman" w:eastAsia="Times New Roman" w:hAnsi="Times New Roman"/>
          <w:sz w:val="13"/>
          <w:szCs w:val="13"/>
          <w:color w:val="auto"/>
        </w:rPr>
      </w:pPr>
    </w:p>
    <w:p>
      <w:pPr>
        <w:ind w:left="380" w:right="30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Held through Garrison Capital Equity Holdings II LLC and net of non-controlling member’s interest of 17.5% pursuant to the Amended and Restated Limited Liability Company Agreement of Garrison Capital Equity Holdings II LLC.</w:t>
      </w:r>
    </w:p>
    <w:p>
      <w:pPr>
        <w:spacing w:after="0" w:line="79" w:lineRule="exact"/>
        <w:rPr>
          <w:rFonts w:ascii="Times New Roman" w:cs="Times New Roman" w:eastAsia="Times New Roman" w:hAnsi="Times New Roman"/>
          <w:sz w:val="13"/>
          <w:szCs w:val="13"/>
          <w:color w:val="auto"/>
        </w:rPr>
      </w:pPr>
    </w:p>
    <w:p>
      <w:pPr>
        <w:ind w:left="380" w:right="40" w:hanging="372"/>
        <w:spacing w:after="0" w:line="280" w:lineRule="auto"/>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2024, qualifying assets represent 86.1% of the Company's total assets and non-qualifying assets represent 13.9% of the Company's total assets.</w:t>
      </w:r>
    </w:p>
    <w:p>
      <w:pPr>
        <w:spacing w:after="0" w:line="56" w:lineRule="exact"/>
        <w:rPr>
          <w:rFonts w:ascii="Times New Roman" w:cs="Times New Roman" w:eastAsia="Times New Roman" w:hAnsi="Times New Roman"/>
          <w:sz w:val="12"/>
          <w:szCs w:val="12"/>
          <w:color w:val="auto"/>
        </w:rPr>
      </w:pPr>
    </w:p>
    <w:p>
      <w:pPr>
        <w:ind w:left="380" w:right="34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Non-voting.</w:t>
      </w:r>
    </w:p>
    <w:p>
      <w:pPr>
        <w:spacing w:after="0" w:line="93" w:lineRule="exact"/>
        <w:rPr>
          <w:rFonts w:ascii="Times New Roman" w:cs="Times New Roman" w:eastAsia="Times New Roman" w:hAnsi="Times New Roman"/>
          <w:sz w:val="13"/>
          <w:szCs w:val="13"/>
          <w:color w:val="auto"/>
        </w:rPr>
      </w:pPr>
    </w:p>
    <w:p>
      <w:pPr>
        <w:ind w:left="380" w:right="20" w:hanging="372"/>
        <w:spacing w:after="0" w:line="232" w:lineRule="auto"/>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investment receives a 5% royalty interest on oil being produced on certain fields. All production payments received are being applied to the cost basis and are considered return of capital.</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investments valued using unobservable inputs (Level III), unless otherwise noted.</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June 30, 2024, this investment is pledged to secure the Company’s debt obligations.</w:t>
      </w:r>
    </w:p>
    <w:p>
      <w:pPr>
        <w:spacing w:after="0" w:line="93" w:lineRule="exact"/>
        <w:rPr>
          <w:rFonts w:ascii="Times New Roman" w:cs="Times New Roman" w:eastAsia="Times New Roman" w:hAnsi="Times New Roman"/>
          <w:sz w:val="13"/>
          <w:szCs w:val="13"/>
          <w:color w:val="auto"/>
        </w:rPr>
      </w:pPr>
    </w:p>
    <w:p>
      <w:pPr>
        <w:ind w:left="380" w:right="46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investment is classified as Level II.</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investment is held by the Company's wholly-owned subsidiary Garrison Capital Equity Holdings XI LLC.</w:t>
      </w:r>
    </w:p>
    <w:p>
      <w:pPr>
        <w:spacing w:after="0" w:line="93" w:lineRule="exact"/>
        <w:rPr>
          <w:rFonts w:ascii="Times New Roman" w:cs="Times New Roman" w:eastAsia="Times New Roman" w:hAnsi="Times New Roman"/>
          <w:sz w:val="13"/>
          <w:szCs w:val="13"/>
          <w:color w:val="auto"/>
        </w:rPr>
      </w:pPr>
    </w:p>
    <w:p>
      <w:pPr>
        <w:ind w:left="380" w:right="34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the 1940 Act, the Company is deemed to be an “Affiliated Person” of, as defined in the 1940 Act, this portfolio company as the Company owns at least 5% of the portfolio company’s outstanding voting securities or is under common control with such portfolio company.</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 to unaudited consolidated financial statements.</w:t>
      </w:r>
    </w:p>
    <w:p>
      <w:pPr>
        <w:sectPr>
          <w:pgSz w:w="11900" w:h="16838" w:orient="portrait"/>
          <w:cols w:equalWidth="0" w:num="1">
            <w:col w:w="11240"/>
          </w:cols>
          <w:pgMar w:left="320" w:top="7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As of June 30, 2024</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14"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related to the Company’s derivatives is presented below as of June 30, 2024:</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3300" w:type="dxa"/>
            <w:vAlign w:val="bottom"/>
          </w:tcPr>
          <w:p>
            <w:pPr>
              <w:spacing w:after="0"/>
              <w:rPr>
                <w:sz w:val="14"/>
                <w:szCs w:val="14"/>
                <w:color w:val="auto"/>
              </w:rPr>
            </w:pPr>
          </w:p>
        </w:tc>
        <w:tc>
          <w:tcPr>
            <w:tcW w:w="1280" w:type="dxa"/>
            <w:vAlign w:val="bottom"/>
            <w:vMerge w:val="restart"/>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33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280" w:type="dxa"/>
            <w:vAlign w:val="bottom"/>
            <w:tcBorders>
              <w:bottom w:val="single" w:sz="8" w:color="auto"/>
            </w:tcBorders>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400" w:type="dxa"/>
            <w:vAlign w:val="bottom"/>
            <w:tcBorders>
              <w:bottom w:val="single" w:sz="8" w:color="auto"/>
            </w:tcBorders>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14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5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Expiration date</w:t>
            </w:r>
          </w:p>
        </w:tc>
        <w:tc>
          <w:tcPr>
            <w:tcW w:w="12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57"/>
        </w:trPr>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Call option</w:t>
            </w:r>
          </w:p>
        </w:tc>
        <w:tc>
          <w:tcPr>
            <w:tcW w:w="3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HDNet Holdco LLC</w:t>
            </w:r>
          </w:p>
        </w:tc>
        <w:tc>
          <w:tcPr>
            <w:tcW w:w="1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0.2</w:t>
            </w:r>
          </w:p>
        </w:tc>
        <w:tc>
          <w:tcPr>
            <w:tcW w:w="58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8</w:t>
            </w:r>
          </w:p>
        </w:tc>
        <w:tc>
          <w:tcPr>
            <w:tcW w:w="1420" w:type="dxa"/>
            <w:vAlign w:val="bottom"/>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0.01</w:t>
            </w:r>
          </w:p>
        </w:tc>
        <w:tc>
          <w:tcPr>
            <w:tcW w:w="1560" w:type="dxa"/>
            <w:vAlign w:val="bottom"/>
            <w:shd w:val="clear" w:color="auto" w:fill="CFF0FC"/>
          </w:tcPr>
          <w:p>
            <w:pPr>
              <w:jc w:val="center"/>
              <w:ind w:right="77"/>
              <w:spacing w:after="0"/>
              <w:rPr>
                <w:sz w:val="20"/>
                <w:szCs w:val="20"/>
                <w:color w:val="auto"/>
              </w:rPr>
            </w:pPr>
            <w:r>
              <w:rPr>
                <w:rFonts w:ascii="Times New Roman" w:cs="Times New Roman" w:eastAsia="Times New Roman" w:hAnsi="Times New Roman"/>
                <w:sz w:val="13"/>
                <w:szCs w:val="13"/>
                <w:color w:val="auto"/>
                <w:w w:val="98"/>
              </w:rPr>
              <w:t>N/A</w:t>
            </w:r>
          </w:p>
        </w:tc>
        <w:tc>
          <w:tcPr>
            <w:tcW w:w="126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8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33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280" w:type="dxa"/>
            <w:vAlign w:val="bottom"/>
            <w:tcBorders>
              <w:bottom w:val="single" w:sz="8" w:color="auto"/>
            </w:tcBorders>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400" w:type="dxa"/>
            <w:vAlign w:val="bottom"/>
            <w:tcBorders>
              <w:bottom w:val="single" w:sz="8" w:color="auto"/>
            </w:tcBorders>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14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5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Expiration date</w:t>
            </w:r>
          </w:p>
        </w:tc>
        <w:tc>
          <w:tcPr>
            <w:tcW w:w="12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57"/>
        </w:trPr>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Put option</w:t>
            </w:r>
          </w:p>
        </w:tc>
        <w:tc>
          <w:tcPr>
            <w:tcW w:w="3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Advantage Capital Holdings LLC</w:t>
            </w:r>
          </w:p>
        </w:tc>
        <w:tc>
          <w:tcPr>
            <w:tcW w:w="1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164</w:t>
            </w:r>
          </w:p>
        </w:tc>
        <w:tc>
          <w:tcPr>
            <w:tcW w:w="58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563</w:t>
            </w:r>
          </w:p>
        </w:tc>
        <w:tc>
          <w:tcPr>
            <w:tcW w:w="1420" w:type="dxa"/>
            <w:vAlign w:val="bottom"/>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20</w:t>
            </w:r>
          </w:p>
        </w:tc>
        <w:tc>
          <w:tcPr>
            <w:tcW w:w="1560" w:type="dxa"/>
            <w:vAlign w:val="bottom"/>
            <w:shd w:val="clear" w:color="auto" w:fill="CFF0FC"/>
          </w:tcPr>
          <w:p>
            <w:pPr>
              <w:jc w:val="center"/>
              <w:ind w:right="77"/>
              <w:spacing w:after="0"/>
              <w:rPr>
                <w:sz w:val="20"/>
                <w:szCs w:val="20"/>
                <w:color w:val="auto"/>
              </w:rPr>
            </w:pPr>
            <w:r>
              <w:rPr>
                <w:rFonts w:ascii="Times New Roman" w:cs="Times New Roman" w:eastAsia="Times New Roman" w:hAnsi="Times New Roman"/>
                <w:sz w:val="13"/>
                <w:szCs w:val="13"/>
                <w:color w:val="auto"/>
                <w:w w:val="98"/>
              </w:rPr>
              <w:t>N/A</w:t>
            </w:r>
          </w:p>
        </w:tc>
        <w:tc>
          <w:tcPr>
            <w:tcW w:w="126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Put option</w:t>
            </w:r>
          </w:p>
        </w:tc>
        <w:tc>
          <w:tcPr>
            <w:tcW w:w="3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Epilog Partners LP (Care Connectors Medical Group)</w:t>
            </w:r>
          </w:p>
        </w:tc>
        <w:tc>
          <w:tcPr>
            <w:tcW w:w="1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1,166,667</w:t>
            </w:r>
          </w:p>
        </w:tc>
        <w:tc>
          <w:tcPr>
            <w:tcW w:w="5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8"/>
              </w:rPr>
              <w:t>N/A</w:t>
            </w:r>
          </w:p>
        </w:tc>
        <w:tc>
          <w:tcPr>
            <w:tcW w:w="126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Put option</w:t>
            </w:r>
          </w:p>
        </w:tc>
        <w:tc>
          <w:tcPr>
            <w:tcW w:w="3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Princeton Medspa Partners, LLC</w:t>
            </w:r>
          </w:p>
        </w:tc>
        <w:tc>
          <w:tcPr>
            <w:tcW w:w="1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1,000,000</w:t>
            </w:r>
          </w:p>
        </w:tc>
        <w:tc>
          <w:tcPr>
            <w:tcW w:w="58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1,000</w:t>
            </w:r>
          </w:p>
        </w:tc>
        <w:tc>
          <w:tcPr>
            <w:tcW w:w="1420" w:type="dxa"/>
            <w:vAlign w:val="bottom"/>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2</w:t>
            </w:r>
          </w:p>
        </w:tc>
        <w:tc>
          <w:tcPr>
            <w:tcW w:w="1560" w:type="dxa"/>
            <w:vAlign w:val="bottom"/>
            <w:shd w:val="clear" w:color="auto" w:fill="CFF0FC"/>
          </w:tcPr>
          <w:p>
            <w:pPr>
              <w:jc w:val="center"/>
              <w:ind w:right="77"/>
              <w:spacing w:after="0"/>
              <w:rPr>
                <w:sz w:val="20"/>
                <w:szCs w:val="20"/>
                <w:color w:val="auto"/>
              </w:rPr>
            </w:pPr>
            <w:r>
              <w:rPr>
                <w:rFonts w:ascii="Times New Roman" w:cs="Times New Roman" w:eastAsia="Times New Roman" w:hAnsi="Times New Roman"/>
                <w:sz w:val="13"/>
                <w:szCs w:val="13"/>
                <w:color w:val="auto"/>
                <w:w w:val="98"/>
              </w:rPr>
              <w:t>N/A</w:t>
            </w:r>
          </w:p>
        </w:tc>
        <w:tc>
          <w:tcPr>
            <w:tcW w:w="126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Debt security has an unfunded commitment in addition to the amounts shown in the Consolidated Schedule of Investments. See Note 8 for additional information on the Company’s commitments and contingencies.</w:t>
      </w:r>
    </w:p>
    <w:p>
      <w:pPr>
        <w:spacing w:after="0" w:line="118"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investment is owned by HCAP Equity Holdings, LLC, one of the Company’s taxable blocker subsidiaries.</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investment is held by PTMN Sub Holdings LLC, one of the Company's taxable blocker subsidiaries.</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debt investments are income producing, unless otherwise noted. Equity and warrant investments are non-income producing, unless otherwise noted.</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Percentages are based on net assets as of June 30, 2024.</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equity investment is income producing.</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investment is valued at the NAV of the underlying fund.</w:t>
      </w:r>
    </w:p>
    <w:p>
      <w:pPr>
        <w:spacing w:after="0" w:line="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Par amount is presented for debt investments, while the number of shares or units owned is presented for equity investments.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 to unaudited consolidated financial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4"/>
          <w:szCs w:val="14"/>
          <w:b w:val="1"/>
          <w:bCs w:val="1"/>
          <w:color w:val="auto"/>
        </w:rPr>
        <w:t>ORTMAN RIDGE FINANCE CORPORATION</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As of December 31, 2023</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2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Reference Rate</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(2), (4), (12), (14), (23), (24)</w:t>
            </w:r>
          </w:p>
        </w:tc>
        <w:tc>
          <w:tcPr>
            <w:tcW w:w="140" w:type="dxa"/>
            <w:vAlign w:val="bottom"/>
          </w:tcPr>
          <w:p>
            <w:pPr>
              <w:spacing w:after="0"/>
              <w:rPr>
                <w:sz w:val="12"/>
                <w:szCs w:val="12"/>
                <w:color w:val="auto"/>
              </w:rPr>
            </w:pPr>
          </w:p>
        </w:tc>
        <w:tc>
          <w:tcPr>
            <w:tcW w:w="17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14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120" w:type="dxa"/>
            <w:vAlign w:val="bottom"/>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and Spread (1)</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Floor (1)</w:t>
            </w:r>
          </w:p>
        </w:tc>
        <w:tc>
          <w:tcPr>
            <w:tcW w:w="120" w:type="dxa"/>
            <w:vAlign w:val="bottom"/>
          </w:tcPr>
          <w:p>
            <w:pPr>
              <w:spacing w:after="0"/>
              <w:rPr>
                <w:sz w:val="12"/>
                <w:szCs w:val="12"/>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120" w:type="dxa"/>
            <w:vAlign w:val="bottom"/>
          </w:tcPr>
          <w:p>
            <w:pPr>
              <w:spacing w:after="0"/>
              <w:rPr>
                <w:sz w:val="12"/>
                <w:szCs w:val="12"/>
                <w:color w:val="auto"/>
              </w:rPr>
            </w:pPr>
          </w:p>
        </w:tc>
        <w:tc>
          <w:tcPr>
            <w:tcW w:w="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46"/>
        </w:trPr>
        <w:tc>
          <w:tcPr>
            <w:tcW w:w="44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Investments in Non-Control, Non-Affiliate Portfolio Companies - 186.6%</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Lien/Senior Secured Debt - 157.6%</w:t>
            </w: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Accordion Partners LLC</w:t>
            </w:r>
          </w:p>
        </w:tc>
        <w:tc>
          <w:tcPr>
            <w:tcW w:w="140" w:type="dxa"/>
            <w:vAlign w:val="bottom"/>
            <w:shd w:val="clear" w:color="auto" w:fill="CFF0FC"/>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Finance</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11.60%</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+ 6.25%</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0.75%</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8/29/2029</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9,472</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9,315</w:t>
            </w:r>
          </w:p>
        </w:tc>
        <w:tc>
          <w:tcPr>
            <w:tcW w:w="26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9,468</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Accordion Partners LLC (Revolver)</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Finance</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0.50%</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+ 6.25%</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0.75%</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8/31/2028</w:t>
            </w:r>
          </w:p>
        </w:tc>
        <w:tc>
          <w:tcPr>
            <w:tcW w:w="100" w:type="dxa"/>
            <w:vAlign w:val="bottom"/>
          </w:tcPr>
          <w:p>
            <w:pPr>
              <w:spacing w:after="0"/>
              <w:rPr>
                <w:sz w:val="12"/>
                <w:szCs w:val="12"/>
                <w:color w:val="auto"/>
              </w:rPr>
            </w:pPr>
          </w:p>
        </w:tc>
        <w:tc>
          <w:tcPr>
            <w:tcW w:w="7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(2 )</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Accurate Background, LLC</w:t>
            </w:r>
          </w:p>
        </w:tc>
        <w:tc>
          <w:tcPr>
            <w:tcW w:w="140" w:type="dxa"/>
            <w:vAlign w:val="bottom"/>
            <w:shd w:val="clear" w:color="auto" w:fill="CFF0FC"/>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11.61%</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+ 6.00%</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3/26/2027</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4,412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4,162</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4,242</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21"/>
        </w:trPr>
        <w:tc>
          <w:tcPr>
            <w:tcW w:w="26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Advantage Capital Holdings LLC</w:t>
            </w:r>
          </w:p>
        </w:tc>
        <w:tc>
          <w:tcPr>
            <w:tcW w:w="140" w:type="dxa"/>
            <w:vAlign w:val="bottom"/>
          </w:tcPr>
          <w:p>
            <w:pPr>
              <w:spacing w:after="0"/>
              <w:rPr>
                <w:sz w:val="10"/>
                <w:szCs w:val="10"/>
                <w:color w:val="auto"/>
              </w:rPr>
            </w:pPr>
          </w:p>
        </w:tc>
        <w:tc>
          <w:tcPr>
            <w:tcW w:w="1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Banking, Finance, Insurance &amp; Real</w:t>
            </w:r>
          </w:p>
        </w:tc>
        <w:tc>
          <w:tcPr>
            <w:tcW w:w="7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4"/>
              </w:rPr>
              <w:t>13.00%</w:t>
            </w:r>
          </w:p>
        </w:tc>
        <w:tc>
          <w:tcPr>
            <w:tcW w:w="12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5.00% PIK</w:t>
            </w:r>
          </w:p>
        </w:tc>
        <w:tc>
          <w:tcPr>
            <w:tcW w:w="120" w:type="dxa"/>
            <w:vAlign w:val="bottom"/>
          </w:tcPr>
          <w:p>
            <w:pPr>
              <w:spacing w:after="0"/>
              <w:rPr>
                <w:sz w:val="10"/>
                <w:szCs w:val="10"/>
                <w:color w:val="auto"/>
              </w:rPr>
            </w:pPr>
          </w:p>
        </w:tc>
        <w:tc>
          <w:tcPr>
            <w:tcW w:w="4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4/14/2027</w:t>
            </w:r>
          </w:p>
        </w:tc>
        <w:tc>
          <w:tcPr>
            <w:tcW w:w="86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14,036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14,036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13,773</w:t>
            </w:r>
          </w:p>
        </w:tc>
        <w:tc>
          <w:tcPr>
            <w:tcW w:w="68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73"/>
        </w:trPr>
        <w:tc>
          <w:tcPr>
            <w:tcW w:w="2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Estate</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AIDC IntermediateCo 2, LLC (Peak Technologies)</w:t>
            </w:r>
          </w:p>
        </w:tc>
        <w:tc>
          <w:tcPr>
            <w:tcW w:w="140" w:type="dxa"/>
            <w:vAlign w:val="bottom"/>
            <w:shd w:val="clear" w:color="auto" w:fill="CFF0FC"/>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11.80%</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+ 6.40%</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7/22/2027</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990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977</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976</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21"/>
        </w:trPr>
        <w:tc>
          <w:tcPr>
            <w:tcW w:w="26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AIS Holdco, LLC</w:t>
            </w:r>
          </w:p>
        </w:tc>
        <w:tc>
          <w:tcPr>
            <w:tcW w:w="140" w:type="dxa"/>
            <w:vAlign w:val="bottom"/>
          </w:tcPr>
          <w:p>
            <w:pPr>
              <w:spacing w:after="0"/>
              <w:rPr>
                <w:sz w:val="10"/>
                <w:szCs w:val="10"/>
                <w:color w:val="auto"/>
              </w:rPr>
            </w:pPr>
          </w:p>
        </w:tc>
        <w:tc>
          <w:tcPr>
            <w:tcW w:w="1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Banking, Finance, Insurance &amp; Real</w:t>
            </w:r>
          </w:p>
        </w:tc>
        <w:tc>
          <w:tcPr>
            <w:tcW w:w="7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4"/>
              </w:rPr>
              <w:t>10.64%</w:t>
            </w:r>
          </w:p>
        </w:tc>
        <w:tc>
          <w:tcPr>
            <w:tcW w:w="12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SOFR + 5.00%</w:t>
            </w:r>
          </w:p>
        </w:tc>
        <w:tc>
          <w:tcPr>
            <w:tcW w:w="120" w:type="dxa"/>
            <w:vAlign w:val="bottom"/>
          </w:tcPr>
          <w:p>
            <w:pPr>
              <w:spacing w:after="0"/>
              <w:rPr>
                <w:sz w:val="10"/>
                <w:szCs w:val="10"/>
                <w:color w:val="auto"/>
              </w:rPr>
            </w:pPr>
          </w:p>
        </w:tc>
        <w:tc>
          <w:tcPr>
            <w:tcW w:w="4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8/15/2025</w:t>
            </w:r>
          </w:p>
        </w:tc>
        <w:tc>
          <w:tcPr>
            <w:tcW w:w="86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2,223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2,068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2,220</w:t>
            </w:r>
          </w:p>
        </w:tc>
        <w:tc>
          <w:tcPr>
            <w:tcW w:w="68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73"/>
        </w:trPr>
        <w:tc>
          <w:tcPr>
            <w:tcW w:w="2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Estate</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AMCP Pet Holdings, Inc.</w:t>
            </w:r>
          </w:p>
        </w:tc>
        <w:tc>
          <w:tcPr>
            <w:tcW w:w="140" w:type="dxa"/>
            <w:vAlign w:val="bottom"/>
            <w:shd w:val="clear" w:color="auto" w:fill="CFF0FC"/>
          </w:tcPr>
          <w:p>
            <w:pPr>
              <w:spacing w:after="0"/>
              <w:rPr>
                <w:sz w:val="10"/>
                <w:szCs w:val="10"/>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Beverage, Food and Tobacco</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12.50%</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SOFR + 6.25%,  0.75%</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10/6/2026</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4,869</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4,823</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4,766</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PIK</w:t>
            </w: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AMCP Pet Holdings, Inc. (Revolver)</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Beverage, Food and Tobacco</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12.43%</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+ 7.00%</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10/6/2026</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651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641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630</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American Academy Holdings, LLC</w:t>
            </w:r>
          </w:p>
        </w:tc>
        <w:tc>
          <w:tcPr>
            <w:tcW w:w="140" w:type="dxa"/>
            <w:vAlign w:val="bottom"/>
            <w:shd w:val="clear" w:color="auto" w:fill="CFF0FC"/>
          </w:tcPr>
          <w:p>
            <w:pPr>
              <w:spacing w:after="0"/>
              <w:rPr>
                <w:sz w:val="10"/>
                <w:szCs w:val="10"/>
                <w:color w:val="auto"/>
              </w:rPr>
            </w:pPr>
          </w:p>
        </w:tc>
        <w:tc>
          <w:tcPr>
            <w:tcW w:w="17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Healthcare &amp; Pharmaceuticals</w:t>
            </w:r>
          </w:p>
        </w:tc>
        <w:tc>
          <w:tcPr>
            <w:tcW w:w="780" w:type="dxa"/>
            <w:vAlign w:val="bottom"/>
            <w:gridSpan w:val="2"/>
            <w:shd w:val="clear" w:color="auto" w:fill="CFF0FC"/>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4"/>
              </w:rPr>
              <w:t>16.47%</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rPr>
              <w:t>SOFR + 5.75%, 5.25%</w:t>
            </w:r>
          </w:p>
        </w:tc>
        <w:tc>
          <w:tcPr>
            <w:tcW w:w="560" w:type="dxa"/>
            <w:vAlign w:val="bottom"/>
            <w:gridSpan w:val="2"/>
            <w:shd w:val="clear" w:color="auto" w:fill="CFF0FC"/>
          </w:tcPr>
          <w:p>
            <w:pPr>
              <w:jc w:val="right"/>
              <w:ind w:right="26"/>
              <w:spacing w:after="0" w:line="125" w:lineRule="exact"/>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shd w:val="clear" w:color="auto" w:fill="CFF0FC"/>
          </w:tcPr>
          <w:p>
            <w:pPr>
              <w:jc w:val="center"/>
              <w:ind w:left="26"/>
              <w:spacing w:after="0" w:line="125" w:lineRule="exact"/>
              <w:rPr>
                <w:sz w:val="20"/>
                <w:szCs w:val="20"/>
                <w:color w:val="auto"/>
              </w:rPr>
            </w:pPr>
            <w:r>
              <w:rPr>
                <w:rFonts w:ascii="Times New Roman" w:cs="Times New Roman" w:eastAsia="Times New Roman" w:hAnsi="Times New Roman"/>
                <w:sz w:val="11"/>
                <w:szCs w:val="11"/>
                <w:color w:val="auto"/>
                <w:w w:val="97"/>
              </w:rPr>
              <w:t>1/1/2025</w:t>
            </w:r>
          </w:p>
        </w:tc>
        <w:tc>
          <w:tcPr>
            <w:tcW w:w="860" w:type="dxa"/>
            <w:vAlign w:val="bottom"/>
            <w:gridSpan w:val="2"/>
            <w:shd w:val="clear" w:color="auto" w:fill="CFF0FC"/>
          </w:tcPr>
          <w:p>
            <w:pPr>
              <w:jc w:val="right"/>
              <w:ind w:right="86"/>
              <w:spacing w:after="0" w:line="125" w:lineRule="exact"/>
              <w:rPr>
                <w:sz w:val="20"/>
                <w:szCs w:val="20"/>
                <w:color w:val="auto"/>
              </w:rPr>
            </w:pPr>
            <w:r>
              <w:rPr>
                <w:rFonts w:ascii="Times New Roman" w:cs="Times New Roman" w:eastAsia="Times New Roman" w:hAnsi="Times New Roman"/>
                <w:sz w:val="11"/>
                <w:szCs w:val="11"/>
                <w:color w:val="auto"/>
              </w:rPr>
              <w:t>3,744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3,732</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3,768</w:t>
            </w:r>
          </w:p>
        </w:tc>
        <w:tc>
          <w:tcPr>
            <w:tcW w:w="680" w:type="dxa"/>
            <w:vAlign w:val="bottom"/>
            <w:gridSpan w:val="2"/>
            <w:shd w:val="clear" w:color="auto" w:fill="CFF0FC"/>
          </w:tcPr>
          <w:p>
            <w:pPr>
              <w:ind w:left="120"/>
              <w:spacing w:after="0" w:line="125"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PIK</w:t>
            </w: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Ancile Solutions, Inc.</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15.65%</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SOFR + 10.00%</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6/11/2026</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6,274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6,187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6,305</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Anthem Sports &amp; Entertainment Inc. (Revolver)</w:t>
            </w:r>
          </w:p>
        </w:tc>
        <w:tc>
          <w:tcPr>
            <w:tcW w:w="140" w:type="dxa"/>
            <w:vAlign w:val="bottom"/>
            <w:shd w:val="clear" w:color="auto" w:fill="CFF0FC"/>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Media: Broadcasting &amp; Subscription</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15.10%</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+ 9.50%</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5"/>
              </w:rPr>
              <w:t>11/15/2026</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1,084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1,068</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910</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Anthem Sports &amp; Entertainment Inc. (Revolver 2022)</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Media: Broadcasting &amp; Subscription</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15.07%</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+ 9.50%</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6/30/2024</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547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465</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Anthem Sports &amp; Entertainment Inc.</w:t>
            </w:r>
          </w:p>
        </w:tc>
        <w:tc>
          <w:tcPr>
            <w:tcW w:w="140" w:type="dxa"/>
            <w:vAlign w:val="bottom"/>
            <w:shd w:val="clear" w:color="auto" w:fill="CFF0FC"/>
          </w:tcPr>
          <w:p>
            <w:pPr>
              <w:spacing w:after="0"/>
              <w:rPr>
                <w:sz w:val="10"/>
                <w:szCs w:val="10"/>
                <w:color w:val="auto"/>
              </w:rPr>
            </w:pPr>
          </w:p>
        </w:tc>
        <w:tc>
          <w:tcPr>
            <w:tcW w:w="17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Media: Broadcasting &amp; Subscription</w:t>
            </w:r>
          </w:p>
        </w:tc>
        <w:tc>
          <w:tcPr>
            <w:tcW w:w="780" w:type="dxa"/>
            <w:vAlign w:val="bottom"/>
            <w:gridSpan w:val="2"/>
            <w:shd w:val="clear" w:color="auto" w:fill="CFF0FC"/>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4"/>
              </w:rPr>
              <w:t>15.11%</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rPr>
              <w:t>SOFR + 9.50%, 12.11%</w:t>
            </w:r>
          </w:p>
        </w:tc>
        <w:tc>
          <w:tcPr>
            <w:tcW w:w="560" w:type="dxa"/>
            <w:vAlign w:val="bottom"/>
            <w:gridSpan w:val="2"/>
            <w:shd w:val="clear" w:color="auto" w:fill="CFF0FC"/>
          </w:tcPr>
          <w:p>
            <w:pPr>
              <w:jc w:val="right"/>
              <w:ind w:right="26"/>
              <w:spacing w:after="0" w:line="125" w:lineRule="exact"/>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shd w:val="clear" w:color="auto" w:fill="CFF0FC"/>
          </w:tcPr>
          <w:p>
            <w:pPr>
              <w:jc w:val="center"/>
              <w:ind w:left="46"/>
              <w:spacing w:after="0" w:line="125" w:lineRule="exact"/>
              <w:rPr>
                <w:sz w:val="20"/>
                <w:szCs w:val="20"/>
                <w:color w:val="auto"/>
              </w:rPr>
            </w:pPr>
            <w:r>
              <w:rPr>
                <w:rFonts w:ascii="Times New Roman" w:cs="Times New Roman" w:eastAsia="Times New Roman" w:hAnsi="Times New Roman"/>
                <w:sz w:val="11"/>
                <w:szCs w:val="11"/>
                <w:color w:val="auto"/>
                <w:w w:val="95"/>
              </w:rPr>
              <w:t>11/15/2026</w:t>
            </w:r>
          </w:p>
        </w:tc>
        <w:tc>
          <w:tcPr>
            <w:tcW w:w="860" w:type="dxa"/>
            <w:vAlign w:val="bottom"/>
            <w:gridSpan w:val="2"/>
            <w:shd w:val="clear" w:color="auto" w:fill="CFF0FC"/>
          </w:tcPr>
          <w:p>
            <w:pPr>
              <w:jc w:val="right"/>
              <w:ind w:right="86"/>
              <w:spacing w:after="0" w:line="125" w:lineRule="exact"/>
              <w:rPr>
                <w:sz w:val="20"/>
                <w:szCs w:val="20"/>
                <w:color w:val="auto"/>
              </w:rPr>
            </w:pPr>
            <w:r>
              <w:rPr>
                <w:rFonts w:ascii="Times New Roman" w:cs="Times New Roman" w:eastAsia="Times New Roman" w:hAnsi="Times New Roman"/>
                <w:sz w:val="11"/>
                <w:szCs w:val="11"/>
                <w:color w:val="auto"/>
              </w:rPr>
              <w:t>12,880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12,718</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10,965</w:t>
            </w:r>
          </w:p>
        </w:tc>
        <w:tc>
          <w:tcPr>
            <w:tcW w:w="680" w:type="dxa"/>
            <w:vAlign w:val="bottom"/>
            <w:gridSpan w:val="2"/>
            <w:shd w:val="clear" w:color="auto" w:fill="CFF0FC"/>
          </w:tcPr>
          <w:p>
            <w:pPr>
              <w:ind w:left="120"/>
              <w:spacing w:after="0" w:line="125"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PIK</w:t>
            </w: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Appfire Technologies, LLC</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10.99%</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+ 5.50%</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3/9/2027</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5,894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5,887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5,859</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Aventiv Technologies, LLC</w:t>
            </w:r>
          </w:p>
        </w:tc>
        <w:tc>
          <w:tcPr>
            <w:tcW w:w="140" w:type="dxa"/>
            <w:vAlign w:val="bottom"/>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Alternative Carriers</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10.50%</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+ 4.89%</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11/1/2024</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989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971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937</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BetaNXT, Inc. (Revolver)</w:t>
            </w:r>
          </w:p>
        </w:tc>
        <w:tc>
          <w:tcPr>
            <w:tcW w:w="140" w:type="dxa"/>
            <w:vAlign w:val="bottom"/>
          </w:tcPr>
          <w:p>
            <w:pPr>
              <w:spacing w:after="0"/>
              <w:rPr>
                <w:sz w:val="10"/>
                <w:szCs w:val="10"/>
                <w:color w:val="auto"/>
              </w:rPr>
            </w:pPr>
          </w:p>
        </w:tc>
        <w:tc>
          <w:tcPr>
            <w:tcW w:w="1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Banking, Finance, Insurance &amp; Real</w:t>
            </w:r>
          </w:p>
        </w:tc>
        <w:tc>
          <w:tcPr>
            <w:tcW w:w="7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8"/>
              </w:rPr>
              <w:t>9.60%</w:t>
            </w:r>
          </w:p>
        </w:tc>
        <w:tc>
          <w:tcPr>
            <w:tcW w:w="12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SOFR + 4.25%</w:t>
            </w:r>
          </w:p>
        </w:tc>
        <w:tc>
          <w:tcPr>
            <w:tcW w:w="120" w:type="dxa"/>
            <w:vAlign w:val="bottom"/>
          </w:tcPr>
          <w:p>
            <w:pPr>
              <w:spacing w:after="0"/>
              <w:rPr>
                <w:sz w:val="10"/>
                <w:szCs w:val="10"/>
                <w:color w:val="auto"/>
              </w:rPr>
            </w:pPr>
          </w:p>
        </w:tc>
        <w:tc>
          <w:tcPr>
            <w:tcW w:w="4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7/1/2027</w:t>
            </w:r>
          </w:p>
        </w:tc>
        <w:tc>
          <w:tcPr>
            <w:tcW w:w="86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242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242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145</w:t>
            </w:r>
          </w:p>
        </w:tc>
        <w:tc>
          <w:tcPr>
            <w:tcW w:w="68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73"/>
        </w:trPr>
        <w:tc>
          <w:tcPr>
            <w:tcW w:w="2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Estate</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BetaNXT, Inc.</w:t>
            </w:r>
          </w:p>
        </w:tc>
        <w:tc>
          <w:tcPr>
            <w:tcW w:w="140" w:type="dxa"/>
            <w:vAlign w:val="bottom"/>
            <w:shd w:val="clear" w:color="auto" w:fill="CFF0FC"/>
          </w:tcPr>
          <w:p>
            <w:pPr>
              <w:spacing w:after="0"/>
              <w:rPr>
                <w:sz w:val="10"/>
                <w:szCs w:val="10"/>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Banking, Finance, Insurance &amp; Real</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11.10%</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1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7/1/2029</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12,608</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11,964</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12,104</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73"/>
        </w:trPr>
        <w:tc>
          <w:tcPr>
            <w:tcW w:w="26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7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Estate</w:t>
            </w:r>
          </w:p>
        </w:tc>
        <w:tc>
          <w:tcPr>
            <w:tcW w:w="14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4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6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700" w:type="dxa"/>
            <w:vAlign w:val="bottom"/>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4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Bradshaw International Parent Corp.</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 goods: Durable</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11.21%</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10/21/2027</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482</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Bradshaw International Parent Corp. (Revolver)</w:t>
            </w:r>
          </w:p>
        </w:tc>
        <w:tc>
          <w:tcPr>
            <w:tcW w:w="140" w:type="dxa"/>
            <w:vAlign w:val="bottom"/>
            <w:shd w:val="clear" w:color="auto" w:fill="CFF0FC"/>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Consumer goods: Durable</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0.50%</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9"/>
              </w:rPr>
              <w:t>10/21/2026</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(22 )</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(25 )</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Bristol Hospice</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11.96%</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+ 6.50%</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12/22/2026</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2,809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2,735</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BW NHHC Holdco Inc.</w:t>
            </w:r>
          </w:p>
        </w:tc>
        <w:tc>
          <w:tcPr>
            <w:tcW w:w="140" w:type="dxa"/>
            <w:vAlign w:val="bottom"/>
            <w:shd w:val="clear" w:color="auto" w:fill="CFF0FC"/>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12.85%</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+ 7.50%</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2.00%</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1/15/2026</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952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946</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969</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21"/>
        </w:trPr>
        <w:tc>
          <w:tcPr>
            <w:tcW w:w="26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C.P. Converters, Inc.</w:t>
            </w:r>
          </w:p>
        </w:tc>
        <w:tc>
          <w:tcPr>
            <w:tcW w:w="140" w:type="dxa"/>
            <w:vAlign w:val="bottom"/>
          </w:tcPr>
          <w:p>
            <w:pPr>
              <w:spacing w:after="0"/>
              <w:rPr>
                <w:sz w:val="10"/>
                <w:szCs w:val="10"/>
                <w:color w:val="auto"/>
              </w:rPr>
            </w:pPr>
          </w:p>
        </w:tc>
        <w:tc>
          <w:tcPr>
            <w:tcW w:w="1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Chemicals, Plastics and Rubber</w:t>
            </w:r>
          </w:p>
        </w:tc>
        <w:tc>
          <w:tcPr>
            <w:tcW w:w="7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4"/>
              </w:rPr>
              <w:t>13.25%</w:t>
            </w:r>
          </w:p>
        </w:tc>
        <w:tc>
          <w:tcPr>
            <w:tcW w:w="12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SOFR + 6.50%, 1.00%</w:t>
            </w:r>
          </w:p>
        </w:tc>
        <w:tc>
          <w:tcPr>
            <w:tcW w:w="560" w:type="dxa"/>
            <w:vAlign w:val="bottom"/>
            <w:gridSpan w:val="2"/>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9/30/2024</w:t>
            </w:r>
          </w:p>
        </w:tc>
        <w:tc>
          <w:tcPr>
            <w:tcW w:w="86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9,738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9,738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9,835</w:t>
            </w:r>
          </w:p>
        </w:tc>
        <w:tc>
          <w:tcPr>
            <w:tcW w:w="68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PIK</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CB MIDCO, LLC</w:t>
            </w:r>
          </w:p>
        </w:tc>
        <w:tc>
          <w:tcPr>
            <w:tcW w:w="140" w:type="dxa"/>
            <w:vAlign w:val="bottom"/>
            <w:shd w:val="clear" w:color="auto" w:fill="CFF0FC"/>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Consumer goods: Durable</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11.21%</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9/27/2027</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3,802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3,778</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3,525</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Cenexel Clinical Research, Inc.</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11.22%</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11/8/2025</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5,773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5,773</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Centric Brands Inc.</w:t>
            </w:r>
          </w:p>
        </w:tc>
        <w:tc>
          <w:tcPr>
            <w:tcW w:w="140" w:type="dxa"/>
            <w:vAlign w:val="bottom"/>
            <w:shd w:val="clear" w:color="auto" w:fill="CFF0FC"/>
          </w:tcPr>
          <w:p>
            <w:pPr>
              <w:spacing w:after="0"/>
              <w:rPr>
                <w:sz w:val="10"/>
                <w:szCs w:val="10"/>
                <w:color w:val="auto"/>
              </w:rPr>
            </w:pPr>
          </w:p>
        </w:tc>
        <w:tc>
          <w:tcPr>
            <w:tcW w:w="17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Machinery (Non-</w:t>
            </w:r>
          </w:p>
        </w:tc>
        <w:tc>
          <w:tcPr>
            <w:tcW w:w="780" w:type="dxa"/>
            <w:vAlign w:val="bottom"/>
            <w:gridSpan w:val="2"/>
            <w:shd w:val="clear" w:color="auto" w:fill="CFF0FC"/>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4"/>
              </w:rPr>
              <w:t>14.87%</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rPr>
              <w:t>SOFR + 2.50%, 7.00%</w:t>
            </w:r>
          </w:p>
        </w:tc>
        <w:tc>
          <w:tcPr>
            <w:tcW w:w="1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center"/>
              <w:ind w:left="46"/>
              <w:spacing w:after="0" w:line="125" w:lineRule="exact"/>
              <w:rPr>
                <w:sz w:val="20"/>
                <w:szCs w:val="20"/>
                <w:color w:val="auto"/>
              </w:rPr>
            </w:pPr>
            <w:r>
              <w:rPr>
                <w:rFonts w:ascii="Times New Roman" w:cs="Times New Roman" w:eastAsia="Times New Roman" w:hAnsi="Times New Roman"/>
                <w:sz w:val="11"/>
                <w:szCs w:val="11"/>
                <w:color w:val="auto"/>
                <w:w w:val="98"/>
              </w:rPr>
              <w:t>10/9/2025</w:t>
            </w:r>
          </w:p>
        </w:tc>
        <w:tc>
          <w:tcPr>
            <w:tcW w:w="860" w:type="dxa"/>
            <w:vAlign w:val="bottom"/>
            <w:gridSpan w:val="2"/>
            <w:shd w:val="clear" w:color="auto" w:fill="CFF0FC"/>
          </w:tcPr>
          <w:p>
            <w:pPr>
              <w:jc w:val="right"/>
              <w:ind w:right="86"/>
              <w:spacing w:after="0" w:line="125" w:lineRule="exact"/>
              <w:rPr>
                <w:sz w:val="20"/>
                <w:szCs w:val="20"/>
                <w:color w:val="auto"/>
              </w:rPr>
            </w:pPr>
            <w:r>
              <w:rPr>
                <w:rFonts w:ascii="Times New Roman" w:cs="Times New Roman" w:eastAsia="Times New Roman" w:hAnsi="Times New Roman"/>
                <w:sz w:val="11"/>
                <w:szCs w:val="11"/>
                <w:color w:val="auto"/>
              </w:rPr>
              <w:t>10,487</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9,851</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9,976</w:t>
            </w:r>
          </w:p>
        </w:tc>
        <w:tc>
          <w:tcPr>
            <w:tcW w:w="680" w:type="dxa"/>
            <w:vAlign w:val="bottom"/>
            <w:gridSpan w:val="2"/>
            <w:shd w:val="clear" w:color="auto" w:fill="CFF0FC"/>
          </w:tcPr>
          <w:p>
            <w:pPr>
              <w:ind w:left="120"/>
              <w:spacing w:after="0" w:line="125"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73"/>
        </w:trPr>
        <w:tc>
          <w:tcPr>
            <w:tcW w:w="26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7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Agrclt/Constr/Electr)</w:t>
            </w:r>
          </w:p>
        </w:tc>
        <w:tc>
          <w:tcPr>
            <w:tcW w:w="14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PIK</w:t>
            </w:r>
          </w:p>
        </w:tc>
        <w:tc>
          <w:tcPr>
            <w:tcW w:w="120" w:type="dxa"/>
            <w:vAlign w:val="bottom"/>
            <w:shd w:val="clear" w:color="auto" w:fill="CFF0FC"/>
          </w:tcPr>
          <w:p>
            <w:pPr>
              <w:spacing w:after="0"/>
              <w:rPr>
                <w:sz w:val="6"/>
                <w:szCs w:val="6"/>
                <w:color w:val="auto"/>
              </w:rPr>
            </w:pPr>
          </w:p>
        </w:tc>
        <w:tc>
          <w:tcPr>
            <w:tcW w:w="4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6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700" w:type="dxa"/>
            <w:vAlign w:val="bottom"/>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12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4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Centric Brands Inc. (Revolver)</w:t>
            </w:r>
          </w:p>
        </w:tc>
        <w:tc>
          <w:tcPr>
            <w:tcW w:w="140" w:type="dxa"/>
            <w:vAlign w:val="bottom"/>
          </w:tcPr>
          <w:p>
            <w:pPr>
              <w:spacing w:after="0"/>
              <w:rPr>
                <w:sz w:val="10"/>
                <w:szCs w:val="10"/>
                <w:color w:val="auto"/>
              </w:rPr>
            </w:pPr>
          </w:p>
        </w:tc>
        <w:tc>
          <w:tcPr>
            <w:tcW w:w="1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Machinery (Non-</w:t>
            </w:r>
          </w:p>
        </w:tc>
        <w:tc>
          <w:tcPr>
            <w:tcW w:w="7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8"/>
              </w:rPr>
              <w:t>0.75%</w:t>
            </w:r>
          </w:p>
        </w:tc>
        <w:tc>
          <w:tcPr>
            <w:tcW w:w="12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SOFR + 2.50%</w:t>
            </w:r>
          </w:p>
        </w:tc>
        <w:tc>
          <w:tcPr>
            <w:tcW w:w="560" w:type="dxa"/>
            <w:vAlign w:val="bottom"/>
            <w:gridSpan w:val="2"/>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10/9/2024</w:t>
            </w:r>
          </w:p>
        </w:tc>
        <w:tc>
          <w:tcPr>
            <w:tcW w:w="100" w:type="dxa"/>
            <w:vAlign w:val="bottom"/>
          </w:tcPr>
          <w:p>
            <w:pPr>
              <w:spacing w:after="0"/>
              <w:rPr>
                <w:sz w:val="10"/>
                <w:szCs w:val="10"/>
                <w:color w:val="auto"/>
              </w:rPr>
            </w:pPr>
          </w:p>
        </w:tc>
        <w:tc>
          <w:tcPr>
            <w:tcW w:w="7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(15 )</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Agrclt/Constr/Electr)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Colonnade Intermediate, LLC</w:t>
            </w:r>
          </w:p>
        </w:tc>
        <w:tc>
          <w:tcPr>
            <w:tcW w:w="140" w:type="dxa"/>
            <w:vAlign w:val="bottom"/>
            <w:shd w:val="clear" w:color="auto" w:fill="CFF0FC"/>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12.45%</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+ 7.00%</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2/27/2024</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7,185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7,184</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7,137</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Colonnade Intermediate, LLC (Revolver)</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12.60%</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SOFR +7.00%</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2/27/2024</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576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571</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Colonnade Intermediate, LLC (Revolver)</w:t>
            </w:r>
          </w:p>
        </w:tc>
        <w:tc>
          <w:tcPr>
            <w:tcW w:w="140" w:type="dxa"/>
            <w:vAlign w:val="bottom"/>
            <w:shd w:val="clear" w:color="auto" w:fill="CFF0FC"/>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12.60%</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PRIME +7.00%</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2/27/2024</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41</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Critical Nurse Staffing, LLC</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12.03%</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+ 6.50%</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10/30/2026</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12,697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12,533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12,506</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Critical Nurse Staffing, LLC (Revolver)</w:t>
            </w:r>
          </w:p>
        </w:tc>
        <w:tc>
          <w:tcPr>
            <w:tcW w:w="140" w:type="dxa"/>
            <w:vAlign w:val="bottom"/>
            <w:shd w:val="clear" w:color="auto" w:fill="CFF0FC"/>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0.50%</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+ 6.50%</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9"/>
              </w:rPr>
              <w:t>10/30/2026</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(35 )</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(30 )</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Datalink, LLC</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12.21%</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+ 6.75%</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11/23/2026</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2,715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2,715</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Dentive, LLC</w:t>
            </w:r>
          </w:p>
        </w:tc>
        <w:tc>
          <w:tcPr>
            <w:tcW w:w="140" w:type="dxa"/>
            <w:vAlign w:val="bottom"/>
            <w:shd w:val="clear" w:color="auto" w:fill="CFF0FC"/>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12.35%</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+ 7.00%</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0.75%</w:t>
            </w:r>
          </w:p>
        </w:tc>
        <w:tc>
          <w:tcPr>
            <w:tcW w:w="78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9"/>
              </w:rPr>
              <w:t>12/26/2028</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1,824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1,777</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1,786</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Dentive, LLC (Revolver)</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12.39%</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+ 7.00%</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0.75%</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12/23/2028</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Dodge Data &amp; Analytics LLC</w:t>
            </w:r>
          </w:p>
        </w:tc>
        <w:tc>
          <w:tcPr>
            <w:tcW w:w="140" w:type="dxa"/>
            <w:vAlign w:val="bottom"/>
            <w:shd w:val="clear" w:color="auto" w:fill="CFF0FC"/>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Construction &amp; Building</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10.25%</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+ 4.75%</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0.50%</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2/10/2029</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1,478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1,461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1,165</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ELO Touch Solutions, Inc.</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11.97%</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+ 6.50%</w:t>
            </w:r>
          </w:p>
        </w:tc>
        <w:tc>
          <w:tcPr>
            <w:tcW w:w="120" w:type="dxa"/>
            <w:vAlign w:val="bottom"/>
          </w:tcPr>
          <w:p>
            <w:pPr>
              <w:spacing w:after="0"/>
              <w:rPr>
                <w:sz w:val="12"/>
                <w:szCs w:val="12"/>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12/14/2025</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2,049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1,983</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Florida Food Products, LLC</w:t>
            </w:r>
          </w:p>
        </w:tc>
        <w:tc>
          <w:tcPr>
            <w:tcW w:w="140" w:type="dxa"/>
            <w:vAlign w:val="bottom"/>
            <w:shd w:val="clear" w:color="auto" w:fill="CFF0FC"/>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Beverage, Food and Tobacco</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10.44%</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+ 5.00%</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0.75%</w:t>
            </w:r>
          </w:p>
        </w:tc>
        <w:tc>
          <w:tcPr>
            <w:tcW w:w="78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9"/>
              </w:rPr>
              <w:t>10/18/2028</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6,893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6,756</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6,048</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Franchise Group, Inc.</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Retail</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10.44%</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+ 4.75%</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0.75%</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2/25/2026</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2,900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2,890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2,350</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(7)(13)(15)</w:t>
            </w: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Global Integrated Flooring Systems Inc.</w:t>
            </w:r>
          </w:p>
        </w:tc>
        <w:tc>
          <w:tcPr>
            <w:tcW w:w="140" w:type="dxa"/>
            <w:vAlign w:val="bottom"/>
            <w:shd w:val="clear" w:color="auto" w:fill="CFF0FC"/>
          </w:tcPr>
          <w:p>
            <w:pPr>
              <w:spacing w:after="0"/>
              <w:rPr>
                <w:sz w:val="10"/>
                <w:szCs w:val="10"/>
                <w:color w:val="auto"/>
              </w:rPr>
            </w:pPr>
          </w:p>
        </w:tc>
        <w:tc>
          <w:tcPr>
            <w:tcW w:w="17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Consumer goods: Durable</w:t>
            </w:r>
          </w:p>
        </w:tc>
        <w:tc>
          <w:tcPr>
            <w:tcW w:w="780" w:type="dxa"/>
            <w:vAlign w:val="bottom"/>
            <w:gridSpan w:val="2"/>
            <w:shd w:val="clear" w:color="auto" w:fill="CFF0FC"/>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4"/>
              </w:rPr>
              <w:t>14.76%</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rPr>
              <w:t>SOFR + 8.36%, 1.00%</w:t>
            </w:r>
          </w:p>
        </w:tc>
        <w:tc>
          <w:tcPr>
            <w:tcW w:w="1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center"/>
              <w:ind w:left="46"/>
              <w:spacing w:after="0" w:line="125" w:lineRule="exact"/>
              <w:rPr>
                <w:sz w:val="20"/>
                <w:szCs w:val="20"/>
                <w:color w:val="auto"/>
              </w:rPr>
            </w:pPr>
            <w:r>
              <w:rPr>
                <w:rFonts w:ascii="Times New Roman" w:cs="Times New Roman" w:eastAsia="Times New Roman" w:hAnsi="Times New Roman"/>
                <w:sz w:val="11"/>
                <w:szCs w:val="11"/>
                <w:color w:val="auto"/>
                <w:w w:val="98"/>
              </w:rPr>
              <w:t>5/15/2024</w:t>
            </w:r>
          </w:p>
        </w:tc>
        <w:tc>
          <w:tcPr>
            <w:tcW w:w="860" w:type="dxa"/>
            <w:vAlign w:val="bottom"/>
            <w:gridSpan w:val="2"/>
            <w:shd w:val="clear" w:color="auto" w:fill="CFF0FC"/>
          </w:tcPr>
          <w:p>
            <w:pPr>
              <w:jc w:val="right"/>
              <w:ind w:right="86"/>
              <w:spacing w:after="0" w:line="125" w:lineRule="exact"/>
              <w:rPr>
                <w:sz w:val="20"/>
                <w:szCs w:val="20"/>
                <w:color w:val="auto"/>
              </w:rPr>
            </w:pPr>
            <w:r>
              <w:rPr>
                <w:rFonts w:ascii="Times New Roman" w:cs="Times New Roman" w:eastAsia="Times New Roman" w:hAnsi="Times New Roman"/>
                <w:sz w:val="11"/>
                <w:szCs w:val="11"/>
                <w:color w:val="auto"/>
              </w:rPr>
              <w:t>6,852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6,124</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4,127</w:t>
            </w: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6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7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PIK</w:t>
            </w:r>
          </w:p>
        </w:tc>
        <w:tc>
          <w:tcPr>
            <w:tcW w:w="120" w:type="dxa"/>
            <w:vAlign w:val="bottom"/>
            <w:shd w:val="clear" w:color="auto" w:fill="CFF0FC"/>
          </w:tcPr>
          <w:p>
            <w:pPr>
              <w:spacing w:after="0"/>
              <w:rPr>
                <w:sz w:val="6"/>
                <w:szCs w:val="6"/>
                <w:color w:val="auto"/>
              </w:rPr>
            </w:pPr>
          </w:p>
        </w:tc>
        <w:tc>
          <w:tcPr>
            <w:tcW w:w="4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6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7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12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4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Integrated Flooring Systems Inc. (Revolver)</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 goods: Durable</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13.72%</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+ 8.36%</w:t>
            </w:r>
          </w:p>
        </w:tc>
        <w:tc>
          <w:tcPr>
            <w:tcW w:w="120" w:type="dxa"/>
            <w:vAlign w:val="bottom"/>
          </w:tcPr>
          <w:p>
            <w:pPr>
              <w:spacing w:after="0"/>
              <w:rPr>
                <w:sz w:val="12"/>
                <w:szCs w:val="12"/>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5/15/2024</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H.W. Lochner, Inc.</w:t>
            </w:r>
          </w:p>
        </w:tc>
        <w:tc>
          <w:tcPr>
            <w:tcW w:w="140" w:type="dxa"/>
            <w:vAlign w:val="bottom"/>
            <w:shd w:val="clear" w:color="auto" w:fill="CFF0FC"/>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11.81%</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+ 6.25%</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7/2/2027</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14,663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14,491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14,149</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Lochner, Inc. (Revolver)</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11.76%</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+ 6.25%</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7/2/2027</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3,858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3,764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3,578</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H-CA II, LLC</w:t>
            </w:r>
          </w:p>
        </w:tc>
        <w:tc>
          <w:tcPr>
            <w:tcW w:w="140" w:type="dxa"/>
            <w:vAlign w:val="bottom"/>
            <w:shd w:val="clear" w:color="auto" w:fill="CFF0FC"/>
          </w:tcPr>
          <w:p>
            <w:pPr>
              <w:spacing w:after="0"/>
              <w:rPr>
                <w:sz w:val="10"/>
                <w:szCs w:val="10"/>
                <w:color w:val="auto"/>
              </w:rPr>
            </w:pPr>
          </w:p>
        </w:tc>
        <w:tc>
          <w:tcPr>
            <w:tcW w:w="17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Banking, Finance, Insurance &amp; Real</w:t>
            </w:r>
          </w:p>
        </w:tc>
        <w:tc>
          <w:tcPr>
            <w:tcW w:w="780" w:type="dxa"/>
            <w:vAlign w:val="bottom"/>
            <w:gridSpan w:val="2"/>
            <w:shd w:val="clear" w:color="auto" w:fill="CFF0FC"/>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4"/>
              </w:rPr>
              <w:t>16.00%</w:t>
            </w:r>
          </w:p>
        </w:tc>
        <w:tc>
          <w:tcPr>
            <w:tcW w:w="12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center"/>
              <w:ind w:left="26"/>
              <w:spacing w:after="0" w:line="125" w:lineRule="exact"/>
              <w:rPr>
                <w:sz w:val="20"/>
                <w:szCs w:val="20"/>
                <w:color w:val="auto"/>
              </w:rPr>
            </w:pPr>
            <w:r>
              <w:rPr>
                <w:rFonts w:ascii="Times New Roman" w:cs="Times New Roman" w:eastAsia="Times New Roman" w:hAnsi="Times New Roman"/>
                <w:sz w:val="11"/>
                <w:szCs w:val="11"/>
                <w:color w:val="auto"/>
                <w:w w:val="97"/>
              </w:rPr>
              <w:t>4/1/2024</w:t>
            </w:r>
          </w:p>
        </w:tc>
        <w:tc>
          <w:tcPr>
            <w:tcW w:w="860" w:type="dxa"/>
            <w:vAlign w:val="bottom"/>
            <w:gridSpan w:val="2"/>
            <w:shd w:val="clear" w:color="auto" w:fill="CFF0FC"/>
          </w:tcPr>
          <w:p>
            <w:pPr>
              <w:jc w:val="right"/>
              <w:ind w:right="86"/>
              <w:spacing w:after="0" w:line="125" w:lineRule="exact"/>
              <w:rPr>
                <w:sz w:val="20"/>
                <w:szCs w:val="20"/>
                <w:color w:val="auto"/>
              </w:rPr>
            </w:pPr>
            <w:r>
              <w:rPr>
                <w:rFonts w:ascii="Times New Roman" w:cs="Times New Roman" w:eastAsia="Times New Roman" w:hAnsi="Times New Roman"/>
                <w:sz w:val="11"/>
                <w:szCs w:val="11"/>
                <w:color w:val="auto"/>
              </w:rPr>
              <w:t>1,854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1,854</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1,854</w:t>
            </w: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6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7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Estate</w:t>
            </w:r>
          </w:p>
        </w:tc>
        <w:tc>
          <w:tcPr>
            <w:tcW w:w="14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12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4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6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700" w:type="dxa"/>
            <w:vAlign w:val="bottom"/>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4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6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HDC/HW Intermediate Holdings, LLC (Term Loan A)</w:t>
            </w:r>
          </w:p>
        </w:tc>
        <w:tc>
          <w:tcPr>
            <w:tcW w:w="140" w:type="dxa"/>
            <w:vAlign w:val="bottom"/>
          </w:tcPr>
          <w:p>
            <w:pPr>
              <w:spacing w:after="0"/>
              <w:rPr>
                <w:sz w:val="10"/>
                <w:szCs w:val="10"/>
                <w:color w:val="auto"/>
              </w:rPr>
            </w:pPr>
          </w:p>
        </w:tc>
        <w:tc>
          <w:tcPr>
            <w:tcW w:w="1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High Tech Industries</w:t>
            </w:r>
          </w:p>
        </w:tc>
        <w:tc>
          <w:tcPr>
            <w:tcW w:w="7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4"/>
              </w:rPr>
              <w:t>14.83%</w:t>
            </w:r>
          </w:p>
        </w:tc>
        <w:tc>
          <w:tcPr>
            <w:tcW w:w="12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SOFR + 7.50%, 2.00%</w:t>
            </w:r>
          </w:p>
        </w:tc>
        <w:tc>
          <w:tcPr>
            <w:tcW w:w="560" w:type="dxa"/>
            <w:vAlign w:val="bottom"/>
            <w:gridSpan w:val="2"/>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9"/>
              </w:rPr>
              <w:t>12/21/2023</w:t>
            </w:r>
          </w:p>
        </w:tc>
        <w:tc>
          <w:tcPr>
            <w:tcW w:w="86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7,525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7,087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4,252</w:t>
            </w:r>
          </w:p>
        </w:tc>
        <w:tc>
          <w:tcPr>
            <w:tcW w:w="68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(5)(13)</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PIK</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HDC/HW Intermediate Holdings, LLC (Revolver)</w:t>
            </w:r>
          </w:p>
        </w:tc>
        <w:tc>
          <w:tcPr>
            <w:tcW w:w="140" w:type="dxa"/>
            <w:vAlign w:val="bottom"/>
            <w:shd w:val="clear" w:color="auto" w:fill="CFF0FC"/>
          </w:tcPr>
          <w:p>
            <w:pPr>
              <w:spacing w:after="0"/>
              <w:rPr>
                <w:sz w:val="10"/>
                <w:szCs w:val="10"/>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14.83%</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SOFR + 7.50%, 2.00%</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9"/>
              </w:rPr>
              <w:t>12/21/2023</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773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728</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437</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(5)(13)</w:t>
            </w: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PIK</w:t>
            </w: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Help Systems Holdings, Inc.</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9.48%</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+ 4.00%</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0.75%</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11/19/2026</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1,974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1,849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1,876</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Hollander Intermediate LLC</w:t>
            </w:r>
          </w:p>
        </w:tc>
        <w:tc>
          <w:tcPr>
            <w:tcW w:w="140" w:type="dxa"/>
            <w:vAlign w:val="bottom"/>
            <w:shd w:val="clear" w:color="auto" w:fill="CFF0FC"/>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Consumer goods: Durable</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14.22%</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+ 8.75%</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2.00%</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9/19/2026</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5,508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5,395</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5,260</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IDC Infusion Services</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11.98%</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+ 6.50%</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0.50%</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7/7/2028</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2,928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2,863</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Intermedia Holdings, INC.</w:t>
            </w:r>
          </w:p>
        </w:tc>
        <w:tc>
          <w:tcPr>
            <w:tcW w:w="140" w:type="dxa"/>
            <w:vAlign w:val="bottom"/>
            <w:shd w:val="clear" w:color="auto" w:fill="CFF0FC"/>
          </w:tcPr>
          <w:p>
            <w:pPr>
              <w:spacing w:after="0"/>
              <w:rPr>
                <w:sz w:val="13"/>
                <w:szCs w:val="13"/>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11.47%</w:t>
            </w: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+ 6.00%</w:t>
            </w:r>
          </w:p>
        </w:tc>
        <w:tc>
          <w:tcPr>
            <w:tcW w:w="5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7/21/2025</w:t>
            </w:r>
          </w:p>
        </w:tc>
        <w:tc>
          <w:tcPr>
            <w:tcW w:w="8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2,613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2,498</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2,531</w:t>
            </w:r>
          </w:p>
        </w:tc>
        <w:tc>
          <w:tcPr>
            <w:tcW w:w="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Ivanti Software, Inc.</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9.91%</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+ 4.25%</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0.75%</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12/1/2027</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987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940</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JO ET Holdings Limited</w:t>
            </w:r>
          </w:p>
        </w:tc>
        <w:tc>
          <w:tcPr>
            <w:tcW w:w="140" w:type="dxa"/>
            <w:vAlign w:val="bottom"/>
            <w:shd w:val="clear" w:color="auto" w:fill="CFF0FC"/>
          </w:tcPr>
          <w:p>
            <w:pPr>
              <w:spacing w:after="0"/>
              <w:rPr>
                <w:sz w:val="10"/>
                <w:szCs w:val="10"/>
                <w:color w:val="auto"/>
              </w:rPr>
            </w:pPr>
          </w:p>
        </w:tc>
        <w:tc>
          <w:tcPr>
            <w:tcW w:w="17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Telecommunications</w:t>
            </w:r>
          </w:p>
        </w:tc>
        <w:tc>
          <w:tcPr>
            <w:tcW w:w="780" w:type="dxa"/>
            <w:vAlign w:val="bottom"/>
            <w:gridSpan w:val="2"/>
            <w:shd w:val="clear" w:color="auto" w:fill="CFF0FC"/>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4"/>
              </w:rPr>
              <w:t>18.38%</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rPr>
              <w:t>SOFR + 6.00%, 7.00%</w:t>
            </w:r>
          </w:p>
        </w:tc>
        <w:tc>
          <w:tcPr>
            <w:tcW w:w="560" w:type="dxa"/>
            <w:vAlign w:val="bottom"/>
            <w:gridSpan w:val="2"/>
            <w:shd w:val="clear" w:color="auto" w:fill="CFF0FC"/>
          </w:tcPr>
          <w:p>
            <w:pPr>
              <w:jc w:val="right"/>
              <w:ind w:right="26"/>
              <w:spacing w:after="0" w:line="125" w:lineRule="exact"/>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shd w:val="clear" w:color="auto" w:fill="CFF0FC"/>
          </w:tcPr>
          <w:p>
            <w:pPr>
              <w:jc w:val="center"/>
              <w:ind w:left="26"/>
              <w:spacing w:after="0" w:line="125" w:lineRule="exact"/>
              <w:rPr>
                <w:sz w:val="20"/>
                <w:szCs w:val="20"/>
                <w:color w:val="auto"/>
              </w:rPr>
            </w:pPr>
            <w:r>
              <w:rPr>
                <w:rFonts w:ascii="Times New Roman" w:cs="Times New Roman" w:eastAsia="Times New Roman" w:hAnsi="Times New Roman"/>
                <w:sz w:val="11"/>
                <w:szCs w:val="11"/>
                <w:color w:val="auto"/>
                <w:w w:val="99"/>
              </w:rPr>
              <w:t>12/15/2026</w:t>
            </w:r>
          </w:p>
        </w:tc>
        <w:tc>
          <w:tcPr>
            <w:tcW w:w="860" w:type="dxa"/>
            <w:vAlign w:val="bottom"/>
            <w:gridSpan w:val="2"/>
            <w:shd w:val="clear" w:color="auto" w:fill="CFF0FC"/>
          </w:tcPr>
          <w:p>
            <w:pPr>
              <w:jc w:val="right"/>
              <w:ind w:right="86"/>
              <w:spacing w:after="0" w:line="125" w:lineRule="exact"/>
              <w:rPr>
                <w:sz w:val="20"/>
                <w:szCs w:val="20"/>
                <w:color w:val="auto"/>
              </w:rPr>
            </w:pPr>
            <w:r>
              <w:rPr>
                <w:rFonts w:ascii="Times New Roman" w:cs="Times New Roman" w:eastAsia="Times New Roman" w:hAnsi="Times New Roman"/>
                <w:sz w:val="11"/>
                <w:szCs w:val="11"/>
                <w:color w:val="auto"/>
              </w:rPr>
              <w:t>2,260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2,236</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2,254</w:t>
            </w:r>
          </w:p>
        </w:tc>
        <w:tc>
          <w:tcPr>
            <w:tcW w:w="680" w:type="dxa"/>
            <w:vAlign w:val="bottom"/>
            <w:gridSpan w:val="2"/>
            <w:shd w:val="clear" w:color="auto" w:fill="CFF0FC"/>
          </w:tcPr>
          <w:p>
            <w:pPr>
              <w:ind w:left="120"/>
              <w:spacing w:after="0" w:line="125" w:lineRule="exact"/>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PIK</w:t>
            </w: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Keg Logistics LLC</w:t>
            </w:r>
          </w:p>
        </w:tc>
        <w:tc>
          <w:tcPr>
            <w:tcW w:w="140" w:type="dxa"/>
            <w:vAlign w:val="bottom"/>
          </w:tcPr>
          <w:p>
            <w:pPr>
              <w:spacing w:after="0"/>
              <w:rPr>
                <w:sz w:val="12"/>
                <w:szCs w:val="12"/>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11.53%</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+ 6.00%</w:t>
            </w:r>
          </w:p>
        </w:tc>
        <w:tc>
          <w:tcPr>
            <w:tcW w:w="5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11/23/2027</w:t>
            </w:r>
          </w:p>
        </w:tc>
        <w:tc>
          <w:tcPr>
            <w:tcW w:w="8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11,999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11,882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11,579</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accompanying notes to unaudited consolidated financial statements.</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469900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763" w:right="4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4"/>
          <w:szCs w:val="14"/>
          <w:b w:val="1"/>
          <w:bCs w:val="1"/>
          <w:color w:val="auto"/>
        </w:rPr>
        <w:t>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As of December 31,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Interest Rate</w:t>
            </w:r>
          </w:p>
        </w:tc>
        <w:tc>
          <w:tcPr>
            <w:tcW w:w="12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Reference Rate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Fair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(2), (4), (12), (14), (23), (24)</w:t>
            </w:r>
          </w:p>
        </w:tc>
        <w:tc>
          <w:tcPr>
            <w:tcW w:w="140" w:type="dxa"/>
            <w:vAlign w:val="bottom"/>
          </w:tcPr>
          <w:p>
            <w:pPr>
              <w:spacing w:after="0"/>
              <w:rPr>
                <w:sz w:val="12"/>
                <w:szCs w:val="12"/>
                <w:color w:val="auto"/>
              </w:rPr>
            </w:pPr>
          </w:p>
        </w:tc>
        <w:tc>
          <w:tcPr>
            <w:tcW w:w="17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and Spread (1)</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Floor (1)</w:t>
            </w:r>
          </w:p>
        </w:tc>
        <w:tc>
          <w:tcPr>
            <w:tcW w:w="120" w:type="dxa"/>
            <w:vAlign w:val="bottom"/>
          </w:tcPr>
          <w:p>
            <w:pPr>
              <w:spacing w:after="0"/>
              <w:rPr>
                <w:sz w:val="12"/>
                <w:szCs w:val="12"/>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40" w:type="dxa"/>
            <w:vAlign w:val="bottom"/>
          </w:tcPr>
          <w:p>
            <w:pPr>
              <w:spacing w:after="0"/>
              <w:rPr>
                <w:sz w:val="12"/>
                <w:szCs w:val="12"/>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4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Keg Logistics LLC (Revolver)</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11.53%</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+ 6.00%</w:t>
            </w: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11/23/2027</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872</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859</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842</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Lifescan Global Corporation</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11.98%</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+ 6.50%</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12/31/2026</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2,381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1,792</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Lucky Bucks, LLC (Second Out)</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Hotel, Gaming &amp; Leisure</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13.03%</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+ 7.65%</w:t>
            </w: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10/2/2029</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892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892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853</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Lucky Bucks, LLC (First Out)</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Hotel, Gaming &amp; Leisure</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13.03%</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+ 7.65%</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10/2/2028</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469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473</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Luminii LLC</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Construction &amp; Building</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12.74%</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+ 7.25%</w:t>
            </w: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4/11/2025</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5,933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5,933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5,933</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Luminii LLC (Revolver)</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Construction &amp; Building</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12.74%</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+ 7.35%</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4/11/2025</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343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343</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Aerospace and Defense</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10.95%</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+ 5.50%</w:t>
            </w: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4/1/2027</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3,664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3,347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3,520</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Money Transfer Acquisition Inc.</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Finance</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13.71%</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+ 8.25%</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12/14/2027</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9,750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9,596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9,506</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Morae Global Corporation</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IT Consulting &amp; Other Services</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13.53%</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+ 8.00%</w:t>
            </w: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2.00%</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10/26/2026</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2,277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2,138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2,169</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Morae Global Corporation (Revolver)</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IT Consulting &amp; Other Services</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0.50%</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2.00%</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10/26/2026</w:t>
            </w:r>
          </w:p>
        </w:tc>
        <w:tc>
          <w:tcPr>
            <w:tcW w:w="100" w:type="dxa"/>
            <w:vAlign w:val="bottom"/>
          </w:tcPr>
          <w:p>
            <w:pPr>
              <w:spacing w:after="0"/>
              <w:rPr>
                <w:sz w:val="12"/>
                <w:szCs w:val="12"/>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(10 )</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MSM Acquisitions, Inc.</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11.50%</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+ 6.00%</w:t>
            </w: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12/9/2026</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9,828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9,787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9,423</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Neptune Bidco US Inc.</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Media: Broadcasting &amp; Subscription</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10.51%</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+ 5.00%</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0.50%</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4/11/2029</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2,488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2,279</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Netwrix Corporation</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10.39%</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+ 5.00%</w:t>
            </w: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0.75%</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6/9/2029</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3,379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3,358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3,364</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Netwrix Corporation (Revolver)</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0.25%</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+ 5.00%</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0.75%</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6/9/2029</w:t>
            </w:r>
          </w:p>
        </w:tc>
        <w:tc>
          <w:tcPr>
            <w:tcW w:w="100" w:type="dxa"/>
            <w:vAlign w:val="bottom"/>
          </w:tcPr>
          <w:p>
            <w:pPr>
              <w:spacing w:after="0"/>
              <w:rPr>
                <w:sz w:val="12"/>
                <w:szCs w:val="12"/>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(4 )</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Transportation: Consumer</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11.72%</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+ 6.25%</w:t>
            </w: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4/29/2027</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7,550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7,465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7,409</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PhyNet Dermatology LLC</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11.99%</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+ 6.50%</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10/20/2029</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1,307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1,287</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Pomeroy Technologies, LLC (Super Senior A)</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10.00% PIK</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4/4/2026</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422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420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398</w:t>
            </w: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Pomeroy Technologies, LLC (Super Senior B)</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9.00% PIK</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4/4/2026</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1,261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1,170</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Pomeroy Technologies, LLC (Senior A)</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5.17% PIK</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4/4/2026</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1,766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1,608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1,043</w:t>
            </w: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Pomeroy Technologies, LLC (Senior B)</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7.00% PIK</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4/4/2026</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1,593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193</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Premier Imaging, LLC</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11.61%</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+ 6.00%</w:t>
            </w: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1/2/2025</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2,570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2,558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2,471</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Priority Holdings, LLC</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11.21%</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4/22/2027</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5,612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5,590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5,591</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Project Castle, Inc.</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Transportation: Cargo</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10.90%</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+ 5.50%</w:t>
            </w: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0.50%</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6/8/2029</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7,900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7,249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7,018</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Project Leopard Holdings, Inc.</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10.73%</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+ 5.25%</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0.50%</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7/20/2029</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7,920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7,481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7,201</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25"/>
        </w:trPr>
        <w:tc>
          <w:tcPr>
            <w:tcW w:w="27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PVHC Holding Corp</w:t>
            </w:r>
          </w:p>
        </w:tc>
        <w:tc>
          <w:tcPr>
            <w:tcW w:w="140" w:type="dxa"/>
            <w:vAlign w:val="bottom"/>
            <w:shd w:val="clear" w:color="auto" w:fill="CFF0FC"/>
          </w:tcPr>
          <w:p>
            <w:pPr>
              <w:spacing w:after="0"/>
              <w:rPr>
                <w:sz w:val="10"/>
                <w:szCs w:val="10"/>
                <w:color w:val="auto"/>
              </w:rPr>
            </w:pPr>
          </w:p>
        </w:tc>
        <w:tc>
          <w:tcPr>
            <w:tcW w:w="178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Containers, Packaging and Glass</w:t>
            </w:r>
          </w:p>
        </w:tc>
        <w:tc>
          <w:tcPr>
            <w:tcW w:w="800" w:type="dxa"/>
            <w:vAlign w:val="bottom"/>
            <w:gridSpan w:val="2"/>
            <w:shd w:val="clear" w:color="auto" w:fill="CFF0FC"/>
          </w:tcPr>
          <w:p>
            <w:pPr>
              <w:jc w:val="center"/>
              <w:ind w:left="66"/>
              <w:spacing w:after="0" w:line="125" w:lineRule="exact"/>
              <w:rPr>
                <w:sz w:val="20"/>
                <w:szCs w:val="20"/>
                <w:color w:val="auto"/>
              </w:rPr>
            </w:pPr>
            <w:r>
              <w:rPr>
                <w:rFonts w:ascii="Times New Roman" w:cs="Times New Roman" w:eastAsia="Times New Roman" w:hAnsi="Times New Roman"/>
                <w:sz w:val="11"/>
                <w:szCs w:val="11"/>
                <w:color w:val="auto"/>
                <w:w w:val="94"/>
              </w:rPr>
              <w:t>11.75%</w:t>
            </w: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rPr>
              <w:t>SOFR + 5.50%, 0.75%</w:t>
            </w:r>
          </w:p>
        </w:tc>
        <w:tc>
          <w:tcPr>
            <w:tcW w:w="700" w:type="dxa"/>
            <w:vAlign w:val="bottom"/>
            <w:gridSpan w:val="2"/>
            <w:shd w:val="clear" w:color="auto" w:fill="CFF0FC"/>
          </w:tcPr>
          <w:p>
            <w:pPr>
              <w:jc w:val="right"/>
              <w:ind w:right="106"/>
              <w:spacing w:after="0" w:line="125" w:lineRule="exact"/>
              <w:rPr>
                <w:sz w:val="20"/>
                <w:szCs w:val="20"/>
                <w:color w:val="auto"/>
              </w:rPr>
            </w:pPr>
            <w:r>
              <w:rPr>
                <w:rFonts w:ascii="Times New Roman" w:cs="Times New Roman" w:eastAsia="Times New Roman" w:hAnsi="Times New Roman"/>
                <w:sz w:val="11"/>
                <w:szCs w:val="11"/>
                <w:color w:val="auto"/>
              </w:rPr>
              <w:t>2.50%</w:t>
            </w:r>
          </w:p>
        </w:tc>
        <w:tc>
          <w:tcPr>
            <w:tcW w:w="760" w:type="dxa"/>
            <w:vAlign w:val="bottom"/>
            <w:gridSpan w:val="2"/>
            <w:shd w:val="clear" w:color="auto" w:fill="CFF0FC"/>
          </w:tcPr>
          <w:p>
            <w:pPr>
              <w:jc w:val="center"/>
              <w:ind w:left="66"/>
              <w:spacing w:after="0" w:line="125" w:lineRule="exact"/>
              <w:rPr>
                <w:sz w:val="20"/>
                <w:szCs w:val="20"/>
                <w:color w:val="auto"/>
              </w:rPr>
            </w:pPr>
            <w:r>
              <w:rPr>
                <w:rFonts w:ascii="Times New Roman" w:cs="Times New Roman" w:eastAsia="Times New Roman" w:hAnsi="Times New Roman"/>
                <w:sz w:val="11"/>
                <w:szCs w:val="11"/>
                <w:color w:val="auto"/>
                <w:w w:val="98"/>
              </w:rPr>
              <w:t>2/17/2027</w:t>
            </w:r>
          </w:p>
        </w:tc>
        <w:tc>
          <w:tcPr>
            <w:tcW w:w="900" w:type="dxa"/>
            <w:vAlign w:val="bottom"/>
            <w:gridSpan w:val="2"/>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2,736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2,734</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2,665</w:t>
            </w:r>
          </w:p>
        </w:tc>
        <w:tc>
          <w:tcPr>
            <w:tcW w:w="700" w:type="dxa"/>
            <w:vAlign w:val="bottom"/>
            <w:gridSpan w:val="2"/>
            <w:shd w:val="clear" w:color="auto" w:fill="CFF0FC"/>
          </w:tcPr>
          <w:p>
            <w:pPr>
              <w:ind w:left="160"/>
              <w:spacing w:after="0" w:line="125"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9"/>
        </w:trPr>
        <w:tc>
          <w:tcPr>
            <w:tcW w:w="2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PIK</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Qualtek LLC</w:t>
            </w:r>
          </w:p>
        </w:tc>
        <w:tc>
          <w:tcPr>
            <w:tcW w:w="140" w:type="dxa"/>
            <w:vAlign w:val="bottom"/>
          </w:tcPr>
          <w:p>
            <w:pPr>
              <w:spacing w:after="0"/>
              <w:rPr>
                <w:sz w:val="10"/>
                <w:szCs w:val="10"/>
                <w:color w:val="auto"/>
              </w:rPr>
            </w:pPr>
          </w:p>
        </w:tc>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High Tech Industries</w:t>
            </w:r>
          </w:p>
        </w:tc>
        <w:tc>
          <w:tcPr>
            <w:tcW w:w="80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15.39%</w:t>
            </w:r>
          </w:p>
        </w:tc>
        <w:tc>
          <w:tcPr>
            <w:tcW w:w="120" w:type="dxa"/>
            <w:vAlign w:val="bottom"/>
          </w:tcPr>
          <w:p>
            <w:pPr>
              <w:spacing w:after="0"/>
              <w:rPr>
                <w:sz w:val="10"/>
                <w:szCs w:val="10"/>
                <w:color w:val="auto"/>
              </w:rPr>
            </w:pPr>
          </w:p>
        </w:tc>
        <w:tc>
          <w:tcPr>
            <w:tcW w:w="11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SOFR + 1.00%, 9.00%</w:t>
            </w:r>
          </w:p>
        </w:tc>
        <w:tc>
          <w:tcPr>
            <w:tcW w:w="700" w:type="dxa"/>
            <w:vAlign w:val="bottom"/>
            <w:gridSpan w:val="2"/>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8"/>
              </w:rPr>
              <w:t>7/14/2025</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4,373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4,373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4,209</w:t>
            </w:r>
          </w:p>
        </w:tc>
        <w:tc>
          <w:tcPr>
            <w:tcW w:w="70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PIK</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Radiology Partners, Inc</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10.18%</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+ 4.25%</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7/9/2025</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6,966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6,575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5,654</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Aerospace and Defense</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11.25%</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3/29/2025</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6,131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6,064</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Transportation: Cargo</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11.50%</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+ 6.00%</w:t>
            </w: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0.75%</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3/24/2028</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4,439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4,357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3,285</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21"/>
        </w:trPr>
        <w:tc>
          <w:tcPr>
            <w:tcW w:w="2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South Street Securities Holdings, Inc</w:t>
            </w:r>
          </w:p>
        </w:tc>
        <w:tc>
          <w:tcPr>
            <w:tcW w:w="140" w:type="dxa"/>
            <w:vAlign w:val="bottom"/>
          </w:tcPr>
          <w:p>
            <w:pPr>
              <w:spacing w:after="0"/>
              <w:rPr>
                <w:sz w:val="10"/>
                <w:szCs w:val="10"/>
                <w:color w:val="auto"/>
              </w:rPr>
            </w:pPr>
          </w:p>
        </w:tc>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Banking, Finance, Insurance &amp; Real</w:t>
            </w:r>
          </w:p>
        </w:tc>
        <w:tc>
          <w:tcPr>
            <w:tcW w:w="80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8"/>
              </w:rPr>
              <w:t>9.00%</w:t>
            </w:r>
          </w:p>
        </w:tc>
        <w:tc>
          <w:tcPr>
            <w:tcW w:w="120" w:type="dxa"/>
            <w:vAlign w:val="bottom"/>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8"/>
              </w:rPr>
              <w:t>9/20/2027</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3,150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2,760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2,528</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Estate</w:t>
            </w: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Sundance Holdings Group, LLC</w:t>
            </w:r>
          </w:p>
        </w:tc>
        <w:tc>
          <w:tcPr>
            <w:tcW w:w="140" w:type="dxa"/>
            <w:vAlign w:val="bottom"/>
            <w:shd w:val="clear" w:color="auto" w:fill="CFF0FC"/>
          </w:tcPr>
          <w:p>
            <w:pPr>
              <w:spacing w:after="0"/>
              <w:rPr>
                <w:sz w:val="10"/>
                <w:szCs w:val="10"/>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Retail</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23.03%</w:t>
            </w: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SOFR + 8.00%, 9.50%</w:t>
            </w: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5/1/2024</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6,528</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6,445</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6,313</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9"/>
        </w:trPr>
        <w:tc>
          <w:tcPr>
            <w:tcW w:w="2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PIK</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Symplr Software, Inc.</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9.98%</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+ 4.50%</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0.75%</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12/22/2027</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1,670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1,502</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Synamedia Americas Holdings, Inc.</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Interactive Media &amp; Services</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13.10%</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+ 7.75%</w:t>
            </w: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12/5/2028</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2,759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2,663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2,662</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21"/>
        </w:trPr>
        <w:tc>
          <w:tcPr>
            <w:tcW w:w="2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TA/WEG Holdings, LLC</w:t>
            </w:r>
          </w:p>
        </w:tc>
        <w:tc>
          <w:tcPr>
            <w:tcW w:w="140" w:type="dxa"/>
            <w:vAlign w:val="bottom"/>
          </w:tcPr>
          <w:p>
            <w:pPr>
              <w:spacing w:after="0"/>
              <w:rPr>
                <w:sz w:val="10"/>
                <w:szCs w:val="10"/>
                <w:color w:val="auto"/>
              </w:rPr>
            </w:pPr>
          </w:p>
        </w:tc>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Banking, Finance, Insurance &amp; Real</w:t>
            </w:r>
          </w:p>
        </w:tc>
        <w:tc>
          <w:tcPr>
            <w:tcW w:w="80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10.99%</w:t>
            </w:r>
          </w:p>
        </w:tc>
        <w:tc>
          <w:tcPr>
            <w:tcW w:w="120" w:type="dxa"/>
            <w:vAlign w:val="bottom"/>
          </w:tcPr>
          <w:p>
            <w:pPr>
              <w:spacing w:after="0"/>
              <w:rPr>
                <w:sz w:val="10"/>
                <w:szCs w:val="10"/>
                <w:color w:val="auto"/>
              </w:rPr>
            </w:pPr>
          </w:p>
        </w:tc>
        <w:tc>
          <w:tcPr>
            <w:tcW w:w="11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SOFR + 5.50%</w:t>
            </w:r>
          </w:p>
        </w:tc>
        <w:tc>
          <w:tcPr>
            <w:tcW w:w="700" w:type="dxa"/>
            <w:vAlign w:val="bottom"/>
            <w:gridSpan w:val="2"/>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8"/>
              </w:rPr>
              <w:t>10/2/2027</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12,092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12,071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12,092</w:t>
            </w:r>
          </w:p>
        </w:tc>
        <w:tc>
          <w:tcPr>
            <w:tcW w:w="70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Estate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TA/WEG Holdings, LLC (Revolver)</w:t>
            </w:r>
          </w:p>
        </w:tc>
        <w:tc>
          <w:tcPr>
            <w:tcW w:w="140" w:type="dxa"/>
            <w:vAlign w:val="bottom"/>
            <w:shd w:val="clear" w:color="auto" w:fill="CFF0FC"/>
          </w:tcPr>
          <w:p>
            <w:pPr>
              <w:spacing w:after="0"/>
              <w:rPr>
                <w:sz w:val="10"/>
                <w:szCs w:val="10"/>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Banking, Finance, Insurance &amp; Real</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0.50%</w:t>
            </w: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+ 5.75%</w:t>
            </w: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10/2/2027</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9"/>
        </w:trPr>
        <w:tc>
          <w:tcPr>
            <w:tcW w:w="2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Estate</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Tactical Air Support, Inc.</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Aerospace and Defense</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13.96%</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+ 8.50%</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12/22/2028</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1,714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1,671</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TLE Holdings, LLC</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 Education and Childcare</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10.96%</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+ 5.50%</w:t>
            </w: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6/28/2024</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6,180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6,175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6,162</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VBC Spine Opco LLC (DxTx Pain and Spine LLC)</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13.54%</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+ 8.00%</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2.00%</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6/14/2028</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3,500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3,432</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(13)(20)</w:t>
            </w:r>
          </w:p>
        </w:tc>
        <w:tc>
          <w:tcPr>
            <w:tcW w:w="0" w:type="dxa"/>
            <w:vAlign w:val="bottom"/>
          </w:tcPr>
          <w:p>
            <w:pPr>
              <w:spacing w:after="0"/>
              <w:rPr>
                <w:sz w:val="1"/>
                <w:szCs w:val="1"/>
                <w:color w:val="auto"/>
              </w:rPr>
            </w:pPr>
          </w:p>
        </w:tc>
      </w:tr>
      <w:tr>
        <w:trPr>
          <w:trHeight w:val="125"/>
        </w:trPr>
        <w:tc>
          <w:tcPr>
            <w:tcW w:w="27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VBC Spine Opco LLC (DxTx Pain and Spine LLC)</w:t>
            </w:r>
          </w:p>
        </w:tc>
        <w:tc>
          <w:tcPr>
            <w:tcW w:w="140" w:type="dxa"/>
            <w:vAlign w:val="bottom"/>
            <w:shd w:val="clear" w:color="auto" w:fill="CFF0FC"/>
          </w:tcPr>
          <w:p>
            <w:pPr>
              <w:spacing w:after="0"/>
              <w:rPr>
                <w:sz w:val="10"/>
                <w:szCs w:val="10"/>
                <w:color w:val="auto"/>
              </w:rPr>
            </w:pPr>
          </w:p>
        </w:tc>
        <w:tc>
          <w:tcPr>
            <w:tcW w:w="178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Healthcare &amp; Pharmaceuticals</w:t>
            </w:r>
          </w:p>
        </w:tc>
        <w:tc>
          <w:tcPr>
            <w:tcW w:w="800" w:type="dxa"/>
            <w:vAlign w:val="bottom"/>
            <w:gridSpan w:val="2"/>
            <w:shd w:val="clear" w:color="auto" w:fill="CFF0FC"/>
          </w:tcPr>
          <w:p>
            <w:pPr>
              <w:jc w:val="center"/>
              <w:ind w:left="66"/>
              <w:spacing w:after="0" w:line="125" w:lineRule="exact"/>
              <w:rPr>
                <w:sz w:val="20"/>
                <w:szCs w:val="20"/>
                <w:color w:val="auto"/>
              </w:rPr>
            </w:pPr>
            <w:r>
              <w:rPr>
                <w:rFonts w:ascii="Times New Roman" w:cs="Times New Roman" w:eastAsia="Times New Roman" w:hAnsi="Times New Roman"/>
                <w:sz w:val="11"/>
                <w:szCs w:val="11"/>
                <w:color w:val="auto"/>
                <w:w w:val="94"/>
              </w:rPr>
              <w:t>13.52%</w:t>
            </w: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7"/>
              </w:rPr>
              <w:t>SOFR + 8.00%</w:t>
            </w:r>
          </w:p>
        </w:tc>
        <w:tc>
          <w:tcPr>
            <w:tcW w:w="700" w:type="dxa"/>
            <w:vAlign w:val="bottom"/>
            <w:gridSpan w:val="2"/>
            <w:shd w:val="clear" w:color="auto" w:fill="CFF0FC"/>
          </w:tcPr>
          <w:p>
            <w:pPr>
              <w:jc w:val="right"/>
              <w:ind w:right="106"/>
              <w:spacing w:after="0" w:line="125" w:lineRule="exact"/>
              <w:rPr>
                <w:sz w:val="20"/>
                <w:szCs w:val="20"/>
                <w:color w:val="auto"/>
              </w:rPr>
            </w:pPr>
            <w:r>
              <w:rPr>
                <w:rFonts w:ascii="Times New Roman" w:cs="Times New Roman" w:eastAsia="Times New Roman" w:hAnsi="Times New Roman"/>
                <w:sz w:val="11"/>
                <w:szCs w:val="11"/>
                <w:color w:val="auto"/>
              </w:rPr>
              <w:t>2.00%</w:t>
            </w:r>
          </w:p>
        </w:tc>
        <w:tc>
          <w:tcPr>
            <w:tcW w:w="760" w:type="dxa"/>
            <w:vAlign w:val="bottom"/>
            <w:gridSpan w:val="2"/>
            <w:shd w:val="clear" w:color="auto" w:fill="CFF0FC"/>
          </w:tcPr>
          <w:p>
            <w:pPr>
              <w:jc w:val="center"/>
              <w:ind w:left="66"/>
              <w:spacing w:after="0" w:line="125" w:lineRule="exact"/>
              <w:rPr>
                <w:sz w:val="20"/>
                <w:szCs w:val="20"/>
                <w:color w:val="auto"/>
              </w:rPr>
            </w:pPr>
            <w:r>
              <w:rPr>
                <w:rFonts w:ascii="Times New Roman" w:cs="Times New Roman" w:eastAsia="Times New Roman" w:hAnsi="Times New Roman"/>
                <w:sz w:val="11"/>
                <w:szCs w:val="11"/>
                <w:color w:val="auto"/>
                <w:w w:val="98"/>
              </w:rPr>
              <w:t>6/14/2028</w:t>
            </w:r>
          </w:p>
        </w:tc>
        <w:tc>
          <w:tcPr>
            <w:tcW w:w="900" w:type="dxa"/>
            <w:vAlign w:val="bottom"/>
            <w:gridSpan w:val="2"/>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129</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122</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124</w:t>
            </w:r>
          </w:p>
        </w:tc>
        <w:tc>
          <w:tcPr>
            <w:tcW w:w="700" w:type="dxa"/>
            <w:vAlign w:val="bottom"/>
            <w:gridSpan w:val="2"/>
            <w:shd w:val="clear" w:color="auto" w:fill="CFF0FC"/>
          </w:tcPr>
          <w:p>
            <w:pPr>
              <w:ind w:left="160"/>
              <w:spacing w:after="0" w:line="125" w:lineRule="exact"/>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(Revolver)</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Wonder Love, Inc.</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Media: Diversified &amp; Production</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10.35%</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+ 5.00%</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1.00%</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11/18/2024</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1,125</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1,121</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1,124</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19"/>
        </w:trPr>
        <w:tc>
          <w:tcPr>
            <w:tcW w:w="2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66"/>
              <w:spacing w:after="0" w:line="119" w:lineRule="exact"/>
              <w:rPr>
                <w:sz w:val="20"/>
                <w:szCs w:val="20"/>
                <w:color w:val="auto"/>
              </w:rPr>
            </w:pPr>
            <w:r>
              <w:rPr>
                <w:rFonts w:ascii="Times New Roman" w:cs="Times New Roman" w:eastAsia="Times New Roman" w:hAnsi="Times New Roman"/>
                <w:sz w:val="11"/>
                <w:szCs w:val="11"/>
                <w:color w:val="auto"/>
              </w:rPr>
              <w:t>336,59</w:t>
            </w: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Lien/Senior Secured Debt</w:t>
            </w:r>
          </w:p>
        </w:tc>
        <w:tc>
          <w:tcPr>
            <w:tcW w:w="140" w:type="dxa"/>
            <w:vAlign w:val="bottom"/>
            <w:tcBorders>
              <w:bottom w:val="single" w:sz="8" w:color="CFF0FC"/>
            </w:tcBorders>
            <w:shd w:val="clear" w:color="auto" w:fill="CFF0FC"/>
          </w:tcPr>
          <w:p>
            <w:pPr>
              <w:spacing w:after="0"/>
              <w:rPr>
                <w:sz w:val="12"/>
                <w:szCs w:val="12"/>
                <w:color w:val="auto"/>
              </w:rPr>
            </w:pPr>
          </w:p>
        </w:tc>
        <w:tc>
          <w:tcPr>
            <w:tcW w:w="17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351,858</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Lien/Senior Secured Debt - 17.7%</w:t>
            </w: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American Academy Holdings, LLC</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14.50% PIK</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3/1/2028</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5,909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5,814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5,237</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Confluence Technologies, Inc.</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12.00%</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+ 6.50%</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0.50%</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7/23/2029</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4,000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3,605</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Dcert Buyer, Inc.</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12.36%</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+ 7.00%</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2/16/2029</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5,400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5,391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4,941</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Tel*Link Corporation</w:t>
            </w:r>
          </w:p>
        </w:tc>
        <w:tc>
          <w:tcPr>
            <w:tcW w:w="140" w:type="dxa"/>
            <w:vAlign w:val="bottom"/>
          </w:tcPr>
          <w:p>
            <w:pPr>
              <w:spacing w:after="0"/>
              <w:rPr>
                <w:sz w:val="12"/>
                <w:szCs w:val="12"/>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Telecommunications</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15.53%</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SOFR + 10.00%</w:t>
            </w:r>
          </w:p>
        </w:tc>
        <w:tc>
          <w:tcPr>
            <w:tcW w:w="120" w:type="dxa"/>
            <w:vAlign w:val="bottom"/>
          </w:tcPr>
          <w:p>
            <w:pPr>
              <w:spacing w:after="0"/>
              <w:rPr>
                <w:sz w:val="12"/>
                <w:szCs w:val="12"/>
                <w:color w:val="auto"/>
              </w:rPr>
            </w:pPr>
          </w:p>
        </w:tc>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11/29/2026</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1,336</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Idera, Inc.</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8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12.28%</w:t>
            </w: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+ 6.75%</w:t>
            </w: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0.75%</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2/4/2029</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6,000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5,960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5,811</w:t>
            </w:r>
          </w:p>
        </w:tc>
        <w:tc>
          <w:tcPr>
            <w:tcW w:w="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-574040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-574040</wp:posOffset>
            </wp:positionV>
            <wp:extent cx="939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 to unaudited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4"/>
          <w:szCs w:val="14"/>
          <w:b w:val="1"/>
          <w:bCs w:val="1"/>
          <w:color w:val="auto"/>
        </w:rPr>
        <w:t>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As of December 31,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Reference Rate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(2), (4), (12), (14), (23), (24)</w:t>
            </w:r>
          </w:p>
        </w:tc>
        <w:tc>
          <w:tcPr>
            <w:tcW w:w="140" w:type="dxa"/>
            <w:vAlign w:val="bottom"/>
          </w:tcPr>
          <w:p>
            <w:pPr>
              <w:spacing w:after="0"/>
              <w:rPr>
                <w:sz w:val="12"/>
                <w:szCs w:val="12"/>
                <w:color w:val="auto"/>
              </w:rPr>
            </w:pPr>
          </w:p>
        </w:tc>
        <w:tc>
          <w:tcPr>
            <w:tcW w:w="15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18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Interest Rate (1)</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and Spread (1)</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Floor (1)</w:t>
            </w:r>
          </w:p>
        </w:tc>
        <w:tc>
          <w:tcPr>
            <w:tcW w:w="120" w:type="dxa"/>
            <w:vAlign w:val="bottom"/>
          </w:tcPr>
          <w:p>
            <w:pPr>
              <w:spacing w:after="0"/>
              <w:rPr>
                <w:sz w:val="12"/>
                <w:szCs w:val="12"/>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9"/>
              </w:rPr>
              <w:t>Par/Shares (++)</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2"/>
                <w:szCs w:val="12"/>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0" w:type="dxa"/>
            <w:vAlign w:val="bottom"/>
          </w:tcPr>
          <w:p>
            <w:pPr>
              <w:spacing w:after="0"/>
              <w:rPr>
                <w:sz w:val="12"/>
                <w:szCs w:val="12"/>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4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Ivanti Software, Inc.</w:t>
            </w:r>
          </w:p>
        </w:tc>
        <w:tc>
          <w:tcPr>
            <w:tcW w:w="140" w:type="dxa"/>
            <w:vAlign w:val="bottom"/>
            <w:shd w:val="clear" w:color="auto" w:fill="CFF0FC"/>
          </w:tcPr>
          <w:p>
            <w:pPr>
              <w:spacing w:after="0"/>
              <w:rPr>
                <w:sz w:val="12"/>
                <w:szCs w:val="12"/>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980" w:type="dxa"/>
            <w:vAlign w:val="bottom"/>
            <w:gridSpan w:val="2"/>
            <w:shd w:val="clear" w:color="auto" w:fill="CFF0FC"/>
          </w:tcPr>
          <w:p>
            <w:pPr>
              <w:jc w:val="center"/>
              <w:ind w:left="106"/>
              <w:spacing w:after="0"/>
              <w:rPr>
                <w:sz w:val="20"/>
                <w:szCs w:val="20"/>
                <w:color w:val="auto"/>
              </w:rPr>
            </w:pPr>
            <w:r>
              <w:rPr>
                <w:rFonts w:ascii="Times New Roman" w:cs="Times New Roman" w:eastAsia="Times New Roman" w:hAnsi="Times New Roman"/>
                <w:sz w:val="11"/>
                <w:szCs w:val="11"/>
                <w:color w:val="auto"/>
              </w:rPr>
              <w:t>12.91%</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+ 7.25%</w:t>
            </w:r>
          </w:p>
        </w:tc>
        <w:tc>
          <w:tcPr>
            <w:tcW w:w="70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0.50%</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12/1/2028</w:t>
            </w: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6,000</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5,965</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4,870</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Phoenix Guarantor Inc.</w:t>
            </w:r>
          </w:p>
        </w:tc>
        <w:tc>
          <w:tcPr>
            <w:tcW w:w="14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9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rPr>
              <w:t>13.97%</w:t>
            </w: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+ 8.50%</w:t>
            </w:r>
          </w:p>
        </w:tc>
        <w:tc>
          <w:tcPr>
            <w:tcW w:w="7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3/5/2027</w:t>
            </w:r>
          </w:p>
        </w:tc>
        <w:tc>
          <w:tcPr>
            <w:tcW w:w="10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1,200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1,149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1,131</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Project Leopard Holdings, Inc.</w:t>
            </w:r>
          </w:p>
        </w:tc>
        <w:tc>
          <w:tcPr>
            <w:tcW w:w="140" w:type="dxa"/>
            <w:vAlign w:val="bottom"/>
            <w:shd w:val="clear" w:color="auto" w:fill="CFF0FC"/>
          </w:tcPr>
          <w:p>
            <w:pPr>
              <w:spacing w:after="0"/>
              <w:rPr>
                <w:sz w:val="13"/>
                <w:szCs w:val="13"/>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980" w:type="dxa"/>
            <w:vAlign w:val="bottom"/>
            <w:gridSpan w:val="2"/>
            <w:shd w:val="clear" w:color="auto" w:fill="CFF0FC"/>
          </w:tcPr>
          <w:p>
            <w:pPr>
              <w:jc w:val="center"/>
              <w:ind w:left="106"/>
              <w:spacing w:after="0"/>
              <w:rPr>
                <w:sz w:val="20"/>
                <w:szCs w:val="20"/>
                <w:color w:val="auto"/>
              </w:rPr>
            </w:pPr>
            <w:r>
              <w:rPr>
                <w:rFonts w:ascii="Times New Roman" w:cs="Times New Roman" w:eastAsia="Times New Roman" w:hAnsi="Times New Roman"/>
                <w:sz w:val="11"/>
                <w:szCs w:val="11"/>
                <w:color w:val="auto"/>
              </w:rPr>
              <w:t>13.13%</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+ 7.75%</w:t>
            </w:r>
          </w:p>
        </w:tc>
        <w:tc>
          <w:tcPr>
            <w:tcW w:w="70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0.50%</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7/20/2030</w:t>
            </w: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5,000</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4,918</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4,719</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21"/>
        </w:trPr>
        <w:tc>
          <w:tcPr>
            <w:tcW w:w="2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Qualtek LLC</w:t>
            </w:r>
          </w:p>
        </w:tc>
        <w:tc>
          <w:tcPr>
            <w:tcW w:w="140" w:type="dxa"/>
            <w:vAlign w:val="bottom"/>
          </w:tcPr>
          <w:p>
            <w:pPr>
              <w:spacing w:after="0"/>
              <w:rPr>
                <w:sz w:val="10"/>
                <w:szCs w:val="10"/>
                <w:color w:val="auto"/>
              </w:rPr>
            </w:pPr>
          </w:p>
        </w:tc>
        <w:tc>
          <w:tcPr>
            <w:tcW w:w="15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High Tech Industries</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rPr>
              <w:t>15.39%</w:t>
            </w:r>
          </w:p>
        </w:tc>
        <w:tc>
          <w:tcPr>
            <w:tcW w:w="140" w:type="dxa"/>
            <w:vAlign w:val="bottom"/>
          </w:tcPr>
          <w:p>
            <w:pPr>
              <w:spacing w:after="0"/>
              <w:rPr>
                <w:sz w:val="10"/>
                <w:szCs w:val="10"/>
                <w:color w:val="auto"/>
              </w:rPr>
            </w:pPr>
          </w:p>
        </w:tc>
        <w:tc>
          <w:tcPr>
            <w:tcW w:w="9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color w:val="auto"/>
                <w:w w:val="99"/>
              </w:rPr>
              <w:t>SOFR + 1.00%,</w:t>
            </w:r>
          </w:p>
        </w:tc>
        <w:tc>
          <w:tcPr>
            <w:tcW w:w="70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1/14/2027</w:t>
            </w:r>
          </w:p>
        </w:tc>
        <w:tc>
          <w:tcPr>
            <w:tcW w:w="10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4,146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4,146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2,913</w:t>
            </w:r>
          </w:p>
        </w:tc>
        <w:tc>
          <w:tcPr>
            <w:tcW w:w="68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9.00% PIK</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Redstone Holdco 2 LP</w:t>
            </w:r>
          </w:p>
        </w:tc>
        <w:tc>
          <w:tcPr>
            <w:tcW w:w="140" w:type="dxa"/>
            <w:vAlign w:val="bottom"/>
            <w:shd w:val="clear" w:color="auto" w:fill="CFF0FC"/>
          </w:tcPr>
          <w:p>
            <w:pPr>
              <w:spacing w:after="0"/>
              <w:rPr>
                <w:sz w:val="13"/>
                <w:szCs w:val="13"/>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980" w:type="dxa"/>
            <w:vAlign w:val="bottom"/>
            <w:gridSpan w:val="2"/>
            <w:shd w:val="clear" w:color="auto" w:fill="CFF0FC"/>
          </w:tcPr>
          <w:p>
            <w:pPr>
              <w:jc w:val="center"/>
              <w:ind w:left="106"/>
              <w:spacing w:after="0"/>
              <w:rPr>
                <w:sz w:val="20"/>
                <w:szCs w:val="20"/>
                <w:color w:val="auto"/>
              </w:rPr>
            </w:pPr>
            <w:r>
              <w:rPr>
                <w:rFonts w:ascii="Times New Roman" w:cs="Times New Roman" w:eastAsia="Times New Roman" w:hAnsi="Times New Roman"/>
                <w:sz w:val="11"/>
                <w:szCs w:val="11"/>
                <w:color w:val="auto"/>
              </w:rPr>
              <w:t>13.22%</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+ 7.75%</w:t>
            </w:r>
          </w:p>
        </w:tc>
        <w:tc>
          <w:tcPr>
            <w:tcW w:w="70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0.75%</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4/16/2029</w:t>
            </w: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4,566</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4,509</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2,831</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Robertshaw US Holding Corp.</w:t>
            </w:r>
          </w:p>
        </w:tc>
        <w:tc>
          <w:tcPr>
            <w:tcW w:w="14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Capital Equipment</w:t>
            </w:r>
          </w:p>
        </w:tc>
        <w:tc>
          <w:tcPr>
            <w:tcW w:w="9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rPr>
              <w:t>13.45%</w:t>
            </w: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SOFR + 8.00%</w:t>
            </w:r>
          </w:p>
        </w:tc>
        <w:tc>
          <w:tcPr>
            <w:tcW w:w="7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2/28/2026</w:t>
            </w:r>
          </w:p>
        </w:tc>
        <w:tc>
          <w:tcPr>
            <w:tcW w:w="10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3,000</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2,992</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300</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Lien/Senior Secured Debt</w:t>
            </w:r>
          </w:p>
        </w:tc>
        <w:tc>
          <w:tcPr>
            <w:tcW w:w="140" w:type="dxa"/>
            <w:vAlign w:val="bottom"/>
            <w:tcBorders>
              <w:bottom w:val="single" w:sz="8" w:color="CFF0FC"/>
            </w:tcBorders>
            <w:shd w:val="clear" w:color="auto" w:fill="CFF0FC"/>
          </w:tcPr>
          <w:p>
            <w:pPr>
              <w:spacing w:after="0"/>
              <w:rPr>
                <w:sz w:val="12"/>
                <w:szCs w:val="12"/>
                <w:color w:val="auto"/>
              </w:rPr>
            </w:pPr>
          </w:p>
        </w:tc>
        <w:tc>
          <w:tcPr>
            <w:tcW w:w="15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46,314</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37,694</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 - 0.6%</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Lucky Bucks Holdings LLC</w:t>
            </w:r>
          </w:p>
        </w:tc>
        <w:tc>
          <w:tcPr>
            <w:tcW w:w="140" w:type="dxa"/>
            <w:vAlign w:val="bottom"/>
            <w:shd w:val="clear" w:color="auto" w:fill="CFF0FC"/>
          </w:tcPr>
          <w:p>
            <w:pPr>
              <w:spacing w:after="0"/>
              <w:rPr>
                <w:sz w:val="13"/>
                <w:szCs w:val="13"/>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Hotel, Gaming &amp; Leisure</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12.50% PIK</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5/29/2028</w:t>
            </w: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6,198</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5,568</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1,181</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TRSO II, Inc.</w:t>
            </w:r>
          </w:p>
        </w:tc>
        <w:tc>
          <w:tcPr>
            <w:tcW w:w="14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Energy: Oil &amp; Gas</w:t>
            </w: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1.69% PIK</w:t>
            </w: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1/24/2025</w:t>
            </w:r>
          </w:p>
        </w:tc>
        <w:tc>
          <w:tcPr>
            <w:tcW w:w="10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46"/>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140" w:type="dxa"/>
            <w:vAlign w:val="bottom"/>
            <w:tcBorders>
              <w:bottom w:val="single" w:sz="8" w:color="CFF0FC"/>
            </w:tcBorders>
            <w:shd w:val="clear" w:color="auto" w:fill="CFF0FC"/>
          </w:tcPr>
          <w:p>
            <w:pPr>
              <w:spacing w:after="0"/>
              <w:rPr>
                <w:sz w:val="12"/>
                <w:szCs w:val="12"/>
                <w:color w:val="auto"/>
              </w:rPr>
            </w:pPr>
          </w:p>
        </w:tc>
        <w:tc>
          <w:tcPr>
            <w:tcW w:w="15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5,643</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1,181</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Collateralized Loan Obligations - 4.2%</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Catamaran CLO 2014-1 Ltd.</w:t>
            </w:r>
          </w:p>
        </w:tc>
        <w:tc>
          <w:tcPr>
            <w:tcW w:w="140" w:type="dxa"/>
            <w:vAlign w:val="bottom"/>
            <w:shd w:val="clear" w:color="auto" w:fill="CFF0FC"/>
          </w:tcPr>
          <w:p>
            <w:pPr>
              <w:spacing w:after="0"/>
              <w:rPr>
                <w:sz w:val="13"/>
                <w:szCs w:val="13"/>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CLO Fund Securities</w:t>
            </w:r>
          </w:p>
        </w:tc>
        <w:tc>
          <w:tcPr>
            <w:tcW w:w="980" w:type="dxa"/>
            <w:vAlign w:val="bottom"/>
            <w:gridSpan w:val="2"/>
            <w:shd w:val="clear" w:color="auto" w:fill="CFF0FC"/>
          </w:tcPr>
          <w:p>
            <w:pPr>
              <w:jc w:val="center"/>
              <w:ind w:left="106"/>
              <w:spacing w:after="0"/>
              <w:rPr>
                <w:sz w:val="20"/>
                <w:szCs w:val="20"/>
                <w:color w:val="auto"/>
              </w:rPr>
            </w:pPr>
            <w:r>
              <w:rPr>
                <w:rFonts w:ascii="Times New Roman" w:cs="Times New Roman" w:eastAsia="Times New Roman" w:hAnsi="Times New Roman"/>
                <w:sz w:val="11"/>
                <w:szCs w:val="11"/>
                <w:color w:val="auto"/>
              </w:rPr>
              <w:t>13.70%</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4/20/2030</w:t>
            </w: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15,161</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1,024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904</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(3)(7)(10)</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Catamaran CLO 2018-1 Ltd</w:t>
            </w:r>
          </w:p>
        </w:tc>
        <w:tc>
          <w:tcPr>
            <w:tcW w:w="14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CLO Fund Securities</w:t>
            </w:r>
          </w:p>
        </w:tc>
        <w:tc>
          <w:tcPr>
            <w:tcW w:w="9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rPr>
              <w:t>25.00%</w:t>
            </w: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10/27/2031</w:t>
            </w:r>
          </w:p>
        </w:tc>
        <w:tc>
          <w:tcPr>
            <w:tcW w:w="10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3,923</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(3)(7)(10)</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Dryden 30 Senior Loan Fund</w:t>
            </w:r>
          </w:p>
        </w:tc>
        <w:tc>
          <w:tcPr>
            <w:tcW w:w="140" w:type="dxa"/>
            <w:vAlign w:val="bottom"/>
            <w:shd w:val="clear" w:color="auto" w:fill="CFF0FC"/>
          </w:tcPr>
          <w:p>
            <w:pPr>
              <w:spacing w:after="0"/>
              <w:rPr>
                <w:sz w:val="13"/>
                <w:szCs w:val="13"/>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CLO Fund Securities</w:t>
            </w:r>
          </w:p>
        </w:tc>
        <w:tc>
          <w:tcPr>
            <w:tcW w:w="980" w:type="dxa"/>
            <w:vAlign w:val="bottom"/>
            <w:gridSpan w:val="2"/>
            <w:shd w:val="clear" w:color="auto" w:fill="CFF0FC"/>
          </w:tcPr>
          <w:p>
            <w:pPr>
              <w:jc w:val="center"/>
              <w:ind w:left="106"/>
              <w:spacing w:after="0"/>
              <w:rPr>
                <w:sz w:val="20"/>
                <w:szCs w:val="20"/>
                <w:color w:val="auto"/>
              </w:rPr>
            </w:pPr>
            <w:r>
              <w:rPr>
                <w:rFonts w:ascii="Times New Roman" w:cs="Times New Roman" w:eastAsia="Times New Roman" w:hAnsi="Times New Roman"/>
                <w:sz w:val="11"/>
                <w:szCs w:val="11"/>
                <w:color w:val="auto"/>
              </w:rPr>
              <w:t>25.40%</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11/1/2028</w:t>
            </w: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3,250</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424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409</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(3)(7)(10)</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JMP Credit Advisors CLO IV LTD</w:t>
            </w:r>
          </w:p>
        </w:tc>
        <w:tc>
          <w:tcPr>
            <w:tcW w:w="14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CLO Fund Securities</w:t>
            </w:r>
          </w:p>
        </w:tc>
        <w:tc>
          <w:tcPr>
            <w:tcW w:w="9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rPr>
              <w:t>19.80%</w:t>
            </w: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7/17/2029</w:t>
            </w:r>
          </w:p>
        </w:tc>
        <w:tc>
          <w:tcPr>
            <w:tcW w:w="10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18,407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683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683</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(3)(7)(10)</w:t>
            </w:r>
          </w:p>
        </w:tc>
        <w:tc>
          <w:tcPr>
            <w:tcW w:w="0" w:type="dxa"/>
            <w:vAlign w:val="bottom"/>
          </w:tcPr>
          <w:p>
            <w:pPr>
              <w:spacing w:after="0"/>
              <w:rPr>
                <w:sz w:val="1"/>
                <w:szCs w:val="1"/>
                <w:color w:val="auto"/>
              </w:rPr>
            </w:pPr>
          </w:p>
        </w:tc>
      </w:tr>
      <w:tr>
        <w:trPr>
          <w:trHeight w:val="148"/>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JMP Credit Advisors CLO V LTD</w:t>
            </w:r>
          </w:p>
        </w:tc>
        <w:tc>
          <w:tcPr>
            <w:tcW w:w="140" w:type="dxa"/>
            <w:vAlign w:val="bottom"/>
            <w:tcBorders>
              <w:bottom w:val="single" w:sz="8" w:color="CFF0FC"/>
            </w:tcBorders>
            <w:shd w:val="clear" w:color="auto" w:fill="CFF0FC"/>
          </w:tcPr>
          <w:p>
            <w:pPr>
              <w:spacing w:after="0"/>
              <w:rPr>
                <w:sz w:val="12"/>
                <w:szCs w:val="12"/>
                <w:color w:val="auto"/>
              </w:rPr>
            </w:pPr>
          </w:p>
        </w:tc>
        <w:tc>
          <w:tcPr>
            <w:tcW w:w="1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CLO Fund Securities</w:t>
            </w:r>
          </w:p>
        </w:tc>
        <w:tc>
          <w:tcPr>
            <w:tcW w:w="980" w:type="dxa"/>
            <w:vAlign w:val="bottom"/>
            <w:tcBorders>
              <w:bottom w:val="single" w:sz="8" w:color="CFF0FC"/>
            </w:tcBorders>
            <w:gridSpan w:val="2"/>
            <w:shd w:val="clear" w:color="auto" w:fill="CFF0FC"/>
          </w:tcPr>
          <w:p>
            <w:pPr>
              <w:jc w:val="center"/>
              <w:ind w:left="106"/>
              <w:spacing w:after="0"/>
              <w:rPr>
                <w:sz w:val="20"/>
                <w:szCs w:val="20"/>
                <w:color w:val="auto"/>
              </w:rPr>
            </w:pPr>
            <w:r>
              <w:rPr>
                <w:rFonts w:ascii="Times New Roman" w:cs="Times New Roman" w:eastAsia="Times New Roman" w:hAnsi="Times New Roman"/>
                <w:sz w:val="11"/>
                <w:szCs w:val="11"/>
                <w:color w:val="auto"/>
              </w:rPr>
              <w:t>25.30%</w:t>
            </w: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FF0FC"/>
            </w:tcBorders>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7/17/2030</w:t>
            </w:r>
          </w:p>
        </w:tc>
        <w:tc>
          <w:tcPr>
            <w:tcW w:w="1000" w:type="dxa"/>
            <w:vAlign w:val="bottom"/>
            <w:tcBorders>
              <w:bottom w:val="single" w:sz="8" w:color="CFF0FC"/>
            </w:tcBorders>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17,074</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3,049</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3,049</w:t>
            </w:r>
          </w:p>
        </w:tc>
        <w:tc>
          <w:tcPr>
            <w:tcW w:w="6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(3)(7)(10)</w:t>
            </w:r>
          </w:p>
        </w:tc>
        <w:tc>
          <w:tcPr>
            <w:tcW w:w="0" w:type="dxa"/>
            <w:vAlign w:val="bottom"/>
          </w:tcPr>
          <w:p>
            <w:pPr>
              <w:spacing w:after="0"/>
              <w:rPr>
                <w:sz w:val="1"/>
                <w:szCs w:val="1"/>
                <w:color w:val="auto"/>
              </w:rPr>
            </w:pPr>
          </w:p>
        </w:tc>
      </w:tr>
      <w:tr>
        <w:trPr>
          <w:trHeight w:val="146"/>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Collateralized Loan Obligations</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9,103</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8,968</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Preferred Stock and Units - 3.1%</w:t>
            </w:r>
          </w:p>
        </w:tc>
        <w:tc>
          <w:tcPr>
            <w:tcW w:w="14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4L Ultimate Topco Corporation</w:t>
            </w:r>
          </w:p>
        </w:tc>
        <w:tc>
          <w:tcPr>
            <w:tcW w:w="14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321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AAPC Holdings, LLC</w:t>
            </w:r>
          </w:p>
        </w:tc>
        <w:tc>
          <w:tcPr>
            <w:tcW w:w="140" w:type="dxa"/>
            <w:vAlign w:val="bottom"/>
            <w:shd w:val="clear" w:color="auto" w:fill="CFF0FC"/>
          </w:tcPr>
          <w:p>
            <w:pPr>
              <w:spacing w:after="0"/>
              <w:rPr>
                <w:sz w:val="13"/>
                <w:szCs w:val="13"/>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18.00% PIK</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146,214</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195</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(22)(25)</w:t>
            </w:r>
          </w:p>
        </w:tc>
        <w:tc>
          <w:tcPr>
            <w:tcW w:w="0" w:type="dxa"/>
            <w:vAlign w:val="bottom"/>
          </w:tcPr>
          <w:p>
            <w:pPr>
              <w:spacing w:after="0"/>
              <w:rPr>
                <w:sz w:val="1"/>
                <w:szCs w:val="1"/>
                <w:color w:val="auto"/>
              </w:rPr>
            </w:pPr>
          </w:p>
        </w:tc>
      </w:tr>
      <w:tr>
        <w:trPr>
          <w:trHeight w:val="121"/>
        </w:trPr>
        <w:tc>
          <w:tcPr>
            <w:tcW w:w="2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Advantage Capital Holdings LLC</w:t>
            </w:r>
          </w:p>
        </w:tc>
        <w:tc>
          <w:tcPr>
            <w:tcW w:w="140" w:type="dxa"/>
            <w:vAlign w:val="bottom"/>
          </w:tcPr>
          <w:p>
            <w:pPr>
              <w:spacing w:after="0"/>
              <w:rPr>
                <w:sz w:val="10"/>
                <w:szCs w:val="10"/>
                <w:color w:val="auto"/>
              </w:rPr>
            </w:pPr>
          </w:p>
        </w:tc>
        <w:tc>
          <w:tcPr>
            <w:tcW w:w="15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Banking, Finance, Insurance &amp;</w:t>
            </w:r>
          </w:p>
        </w:tc>
        <w:tc>
          <w:tcPr>
            <w:tcW w:w="1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12.50% PIK</w:t>
            </w:r>
          </w:p>
        </w:tc>
        <w:tc>
          <w:tcPr>
            <w:tcW w:w="1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2,470,210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2,470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2,733</w:t>
            </w:r>
          </w:p>
        </w:tc>
        <w:tc>
          <w:tcPr>
            <w:tcW w:w="68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1"/>
                <w:szCs w:val="11"/>
                <w:color w:val="auto"/>
              </w:rPr>
              <w:t>(13)(25)</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Real Estate</w:t>
            </w: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Aperture Dodge 18 LLC</w:t>
            </w:r>
          </w:p>
        </w:tc>
        <w:tc>
          <w:tcPr>
            <w:tcW w:w="140" w:type="dxa"/>
            <w:vAlign w:val="bottom"/>
            <w:shd w:val="clear" w:color="auto" w:fill="CFF0FC"/>
          </w:tcPr>
          <w:p>
            <w:pPr>
              <w:spacing w:after="0"/>
              <w:rPr>
                <w:sz w:val="10"/>
                <w:szCs w:val="10"/>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Banking, Finance, Insurance &amp;</w:t>
            </w:r>
          </w:p>
        </w:tc>
        <w:tc>
          <w:tcPr>
            <w:tcW w:w="1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3,067,908</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3,068</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3,237</w:t>
            </w: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7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5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Real Estate</w:t>
            </w:r>
          </w:p>
        </w:tc>
        <w:tc>
          <w:tcPr>
            <w:tcW w:w="180" w:type="dxa"/>
            <w:vAlign w:val="bottom"/>
            <w:shd w:val="clear" w:color="auto" w:fill="CFF0FC"/>
          </w:tcPr>
          <w:p>
            <w:pPr>
              <w:spacing w:after="0"/>
              <w:rPr>
                <w:sz w:val="6"/>
                <w:szCs w:val="6"/>
                <w:color w:val="auto"/>
              </w:rPr>
            </w:pPr>
          </w:p>
        </w:tc>
        <w:tc>
          <w:tcPr>
            <w:tcW w:w="800" w:type="dxa"/>
            <w:vAlign w:val="bottom"/>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92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7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580" w:type="dxa"/>
            <w:vAlign w:val="bottom"/>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Prosper Marketplace</w:t>
            </w:r>
          </w:p>
        </w:tc>
        <w:tc>
          <w:tcPr>
            <w:tcW w:w="14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 goods: Durable</w:t>
            </w: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912,865</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279</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324</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46"/>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Stock and Units</w:t>
            </w:r>
          </w:p>
        </w:tc>
        <w:tc>
          <w:tcPr>
            <w:tcW w:w="140" w:type="dxa"/>
            <w:vAlign w:val="bottom"/>
            <w:tcBorders>
              <w:bottom w:val="single" w:sz="8" w:color="CFF0FC"/>
            </w:tcBorders>
            <w:shd w:val="clear" w:color="auto" w:fill="CFF0FC"/>
          </w:tcPr>
          <w:p>
            <w:pPr>
              <w:spacing w:after="0"/>
              <w:rPr>
                <w:sz w:val="12"/>
                <w:szCs w:val="12"/>
                <w:color w:val="auto"/>
              </w:rPr>
            </w:pPr>
          </w:p>
        </w:tc>
        <w:tc>
          <w:tcPr>
            <w:tcW w:w="15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5,850</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6,518</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Common Stock and Membership Units - 3.4%</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7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Advantage Capital Holdings LLC</w:t>
            </w:r>
          </w:p>
        </w:tc>
        <w:tc>
          <w:tcPr>
            <w:tcW w:w="140" w:type="dxa"/>
            <w:vAlign w:val="bottom"/>
            <w:shd w:val="clear" w:color="auto" w:fill="CFF0FC"/>
          </w:tcPr>
          <w:p>
            <w:pPr>
              <w:spacing w:after="0"/>
              <w:rPr>
                <w:sz w:val="10"/>
                <w:szCs w:val="10"/>
                <w:color w:val="auto"/>
              </w:rPr>
            </w:pPr>
          </w:p>
        </w:tc>
        <w:tc>
          <w:tcPr>
            <w:tcW w:w="158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Banking, Finance, Insurance &amp;</w:t>
            </w:r>
          </w:p>
        </w:tc>
        <w:tc>
          <w:tcPr>
            <w:tcW w:w="1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822</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502</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2,828</w:t>
            </w:r>
          </w:p>
        </w:tc>
        <w:tc>
          <w:tcPr>
            <w:tcW w:w="680" w:type="dxa"/>
            <w:vAlign w:val="bottom"/>
            <w:gridSpan w:val="2"/>
            <w:shd w:val="clear" w:color="auto" w:fill="CFF0FC"/>
          </w:tcPr>
          <w:p>
            <w:pPr>
              <w:ind w:left="140"/>
              <w:spacing w:after="0" w:line="125" w:lineRule="exact"/>
              <w:rPr>
                <w:sz w:val="20"/>
                <w:szCs w:val="20"/>
                <w:color w:val="auto"/>
              </w:rPr>
            </w:pPr>
            <w:r>
              <w:rPr>
                <w:rFonts w:ascii="Times New Roman" w:cs="Times New Roman" w:eastAsia="Times New Roman" w:hAnsi="Times New Roman"/>
                <w:sz w:val="11"/>
                <w:szCs w:val="11"/>
                <w:color w:val="auto"/>
              </w:rPr>
              <w:t>(13)(22)</w:t>
            </w:r>
          </w:p>
        </w:tc>
        <w:tc>
          <w:tcPr>
            <w:tcW w:w="0" w:type="dxa"/>
            <w:vAlign w:val="bottom"/>
          </w:tcPr>
          <w:p>
            <w:pPr>
              <w:spacing w:after="0"/>
              <w:rPr>
                <w:sz w:val="1"/>
                <w:szCs w:val="1"/>
                <w:color w:val="auto"/>
              </w:rPr>
            </w:pPr>
          </w:p>
        </w:tc>
      </w:tr>
      <w:tr>
        <w:trPr>
          <w:trHeight w:val="73"/>
        </w:trPr>
        <w:tc>
          <w:tcPr>
            <w:tcW w:w="27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5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Real Estate</w:t>
            </w:r>
          </w:p>
        </w:tc>
        <w:tc>
          <w:tcPr>
            <w:tcW w:w="180" w:type="dxa"/>
            <w:vAlign w:val="bottom"/>
            <w:shd w:val="clear" w:color="auto" w:fill="CFF0FC"/>
          </w:tcPr>
          <w:p>
            <w:pPr>
              <w:spacing w:after="0"/>
              <w:rPr>
                <w:sz w:val="6"/>
                <w:szCs w:val="6"/>
                <w:color w:val="auto"/>
              </w:rPr>
            </w:pPr>
          </w:p>
        </w:tc>
        <w:tc>
          <w:tcPr>
            <w:tcW w:w="800" w:type="dxa"/>
            <w:vAlign w:val="bottom"/>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92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7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580" w:type="dxa"/>
            <w:vAlign w:val="bottom"/>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Anthem Sports &amp; Entertainment Inc. - Class A Warrant</w:t>
            </w:r>
          </w:p>
        </w:tc>
        <w:tc>
          <w:tcPr>
            <w:tcW w:w="140" w:type="dxa"/>
            <w:vAlign w:val="bottom"/>
          </w:tcPr>
          <w:p>
            <w:pPr>
              <w:spacing w:after="0"/>
              <w:rPr>
                <w:sz w:val="10"/>
                <w:szCs w:val="10"/>
                <w:color w:val="auto"/>
              </w:rPr>
            </w:pPr>
          </w:p>
        </w:tc>
        <w:tc>
          <w:tcPr>
            <w:tcW w:w="15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Media: Broadcasting &amp;</w:t>
            </w:r>
          </w:p>
        </w:tc>
        <w:tc>
          <w:tcPr>
            <w:tcW w:w="18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510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Subscription</w:t>
            </w: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Anthem Sports &amp; Entertainment Inc. - Class B Warrant</w:t>
            </w:r>
          </w:p>
        </w:tc>
        <w:tc>
          <w:tcPr>
            <w:tcW w:w="140" w:type="dxa"/>
            <w:vAlign w:val="bottom"/>
            <w:shd w:val="clear" w:color="auto" w:fill="CFF0FC"/>
          </w:tcPr>
          <w:p>
            <w:pPr>
              <w:spacing w:after="0"/>
              <w:rPr>
                <w:sz w:val="10"/>
                <w:szCs w:val="10"/>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Media: Broadcasting &amp;</w:t>
            </w:r>
          </w:p>
        </w:tc>
        <w:tc>
          <w:tcPr>
            <w:tcW w:w="1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7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5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Subscription</w:t>
            </w:r>
          </w:p>
        </w:tc>
        <w:tc>
          <w:tcPr>
            <w:tcW w:w="180" w:type="dxa"/>
            <w:vAlign w:val="bottom"/>
            <w:shd w:val="clear" w:color="auto" w:fill="CFF0FC"/>
          </w:tcPr>
          <w:p>
            <w:pPr>
              <w:spacing w:after="0"/>
              <w:rPr>
                <w:sz w:val="6"/>
                <w:szCs w:val="6"/>
                <w:color w:val="auto"/>
              </w:rPr>
            </w:pPr>
          </w:p>
        </w:tc>
        <w:tc>
          <w:tcPr>
            <w:tcW w:w="800" w:type="dxa"/>
            <w:vAlign w:val="bottom"/>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92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7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580" w:type="dxa"/>
            <w:vAlign w:val="bottom"/>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Anthem Sports &amp; Entertainment Inc. - Warrant for CS</w:t>
            </w:r>
          </w:p>
        </w:tc>
        <w:tc>
          <w:tcPr>
            <w:tcW w:w="140" w:type="dxa"/>
            <w:vAlign w:val="bottom"/>
          </w:tcPr>
          <w:p>
            <w:pPr>
              <w:spacing w:after="0"/>
              <w:rPr>
                <w:sz w:val="10"/>
                <w:szCs w:val="10"/>
                <w:color w:val="auto"/>
              </w:rPr>
            </w:pPr>
          </w:p>
        </w:tc>
        <w:tc>
          <w:tcPr>
            <w:tcW w:w="15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Media: Broadcasting &amp;</w:t>
            </w:r>
          </w:p>
        </w:tc>
        <w:tc>
          <w:tcPr>
            <w:tcW w:w="18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1,644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Subscription</w:t>
            </w: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AAPC Holdings, LLC Equity</w:t>
            </w:r>
          </w:p>
        </w:tc>
        <w:tc>
          <w:tcPr>
            <w:tcW w:w="140" w:type="dxa"/>
            <w:vAlign w:val="bottom"/>
            <w:shd w:val="clear" w:color="auto" w:fill="CFF0FC"/>
          </w:tcPr>
          <w:p>
            <w:pPr>
              <w:spacing w:after="0"/>
              <w:rPr>
                <w:sz w:val="13"/>
                <w:szCs w:val="13"/>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493</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ATP Oil &amp; Gas Corporation</w:t>
            </w:r>
          </w:p>
        </w:tc>
        <w:tc>
          <w:tcPr>
            <w:tcW w:w="14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Energy: Oil &amp; Gas</w:t>
            </w: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2"/>
                <w:szCs w:val="12"/>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Carestream Health Holdings, Inc.</w:t>
            </w:r>
          </w:p>
        </w:tc>
        <w:tc>
          <w:tcPr>
            <w:tcW w:w="140" w:type="dxa"/>
            <w:vAlign w:val="bottom"/>
            <w:shd w:val="clear" w:color="auto" w:fill="CFF0FC"/>
          </w:tcPr>
          <w:p>
            <w:pPr>
              <w:spacing w:after="0"/>
              <w:rPr>
                <w:sz w:val="13"/>
                <w:szCs w:val="13"/>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4,099</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53</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93</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Centric Brands Inc.</w:t>
            </w:r>
          </w:p>
        </w:tc>
        <w:tc>
          <w:tcPr>
            <w:tcW w:w="140" w:type="dxa"/>
            <w:vAlign w:val="bottom"/>
          </w:tcPr>
          <w:p>
            <w:pPr>
              <w:spacing w:after="0"/>
              <w:rPr>
                <w:sz w:val="10"/>
                <w:szCs w:val="10"/>
                <w:color w:val="auto"/>
              </w:rPr>
            </w:pPr>
          </w:p>
        </w:tc>
        <w:tc>
          <w:tcPr>
            <w:tcW w:w="15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Machinery (Non-</w:t>
            </w:r>
          </w:p>
        </w:tc>
        <w:tc>
          <w:tcPr>
            <w:tcW w:w="18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36,342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121</w:t>
            </w:r>
          </w:p>
        </w:tc>
        <w:tc>
          <w:tcPr>
            <w:tcW w:w="68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Agrclt/Constr/Electr)</w:t>
            </w: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DxTx Pain and Spine LLC</w:t>
            </w:r>
          </w:p>
        </w:tc>
        <w:tc>
          <w:tcPr>
            <w:tcW w:w="140" w:type="dxa"/>
            <w:vAlign w:val="bottom"/>
            <w:shd w:val="clear" w:color="auto" w:fill="CFF0FC"/>
          </w:tcPr>
          <w:p>
            <w:pPr>
              <w:spacing w:after="0"/>
              <w:rPr>
                <w:sz w:val="13"/>
                <w:szCs w:val="13"/>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158,166</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258</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258</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Everyware Global, Inc.</w:t>
            </w:r>
          </w:p>
        </w:tc>
        <w:tc>
          <w:tcPr>
            <w:tcW w:w="14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 goods: Durable</w:t>
            </w: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1,085,565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174</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FP WRCA Coinvestment Fund VII, Ltd. - Class A</w:t>
            </w:r>
          </w:p>
        </w:tc>
        <w:tc>
          <w:tcPr>
            <w:tcW w:w="140" w:type="dxa"/>
            <w:vAlign w:val="bottom"/>
            <w:shd w:val="clear" w:color="auto" w:fill="CFF0FC"/>
          </w:tcPr>
          <w:p>
            <w:pPr>
              <w:spacing w:after="0"/>
              <w:rPr>
                <w:sz w:val="13"/>
                <w:szCs w:val="13"/>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Capital Equipment</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1,500</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903</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Fusion Connect, Inc.</w:t>
            </w:r>
          </w:p>
        </w:tc>
        <w:tc>
          <w:tcPr>
            <w:tcW w:w="14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Telecommunications</w:t>
            </w: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121,871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866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LB NewHoldCo LLC</w:t>
            </w:r>
          </w:p>
        </w:tc>
        <w:tc>
          <w:tcPr>
            <w:tcW w:w="140" w:type="dxa"/>
            <w:vAlign w:val="bottom"/>
            <w:shd w:val="clear" w:color="auto" w:fill="CFF0FC"/>
          </w:tcPr>
          <w:p>
            <w:pPr>
              <w:spacing w:after="0"/>
              <w:rPr>
                <w:sz w:val="13"/>
                <w:szCs w:val="13"/>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Hotel, Gaming &amp; Leisure</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96,523</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1,441</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1,442</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Morae Global Holdings Inc. - Warrant</w:t>
            </w:r>
          </w:p>
        </w:tc>
        <w:tc>
          <w:tcPr>
            <w:tcW w:w="14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IT Consulting &amp; Other Services</w:t>
            </w: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99</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Ohene Holdings B.V. - Warrant</w:t>
            </w:r>
          </w:p>
        </w:tc>
        <w:tc>
          <w:tcPr>
            <w:tcW w:w="140" w:type="dxa"/>
            <w:vAlign w:val="bottom"/>
            <w:shd w:val="clear" w:color="auto" w:fill="CFF0FC"/>
          </w:tcPr>
          <w:p>
            <w:pPr>
              <w:spacing w:after="0"/>
              <w:rPr>
                <w:sz w:val="13"/>
                <w:szCs w:val="13"/>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Qualtek LLC</w:t>
            </w:r>
          </w:p>
        </w:tc>
        <w:tc>
          <w:tcPr>
            <w:tcW w:w="14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150,262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1,277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(13)(15)</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Roscoe Investors, LLC - Class A</w:t>
            </w:r>
          </w:p>
        </w:tc>
        <w:tc>
          <w:tcPr>
            <w:tcW w:w="140" w:type="dxa"/>
            <w:vAlign w:val="bottom"/>
            <w:shd w:val="clear" w:color="auto" w:fill="CFF0FC"/>
          </w:tcPr>
          <w:p>
            <w:pPr>
              <w:spacing w:after="0"/>
              <w:rPr>
                <w:sz w:val="13"/>
                <w:szCs w:val="13"/>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1,000</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425</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South Street Securities Holdings, Inc - Warrant</w:t>
            </w:r>
          </w:p>
        </w:tc>
        <w:tc>
          <w:tcPr>
            <w:tcW w:w="140" w:type="dxa"/>
            <w:vAlign w:val="bottom"/>
          </w:tcPr>
          <w:p>
            <w:pPr>
              <w:spacing w:after="0"/>
              <w:rPr>
                <w:sz w:val="10"/>
                <w:szCs w:val="10"/>
                <w:color w:val="auto"/>
              </w:rPr>
            </w:pPr>
          </w:p>
        </w:tc>
        <w:tc>
          <w:tcPr>
            <w:tcW w:w="15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Banking, Finance, Insurance &amp;</w:t>
            </w:r>
          </w:p>
        </w:tc>
        <w:tc>
          <w:tcPr>
            <w:tcW w:w="18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3,966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455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403</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Real Estate</w:t>
            </w: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Sundance Holdings Group, LLC</w:t>
            </w:r>
          </w:p>
        </w:tc>
        <w:tc>
          <w:tcPr>
            <w:tcW w:w="140" w:type="dxa"/>
            <w:vAlign w:val="bottom"/>
            <w:shd w:val="clear" w:color="auto" w:fill="CFF0FC"/>
          </w:tcPr>
          <w:p>
            <w:pPr>
              <w:spacing w:after="0"/>
              <w:rPr>
                <w:sz w:val="13"/>
                <w:szCs w:val="13"/>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Retail</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14,603</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69</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21"/>
        </w:trPr>
        <w:tc>
          <w:tcPr>
            <w:tcW w:w="2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World Business Lenders, LLC</w:t>
            </w:r>
          </w:p>
        </w:tc>
        <w:tc>
          <w:tcPr>
            <w:tcW w:w="140" w:type="dxa"/>
            <w:vAlign w:val="bottom"/>
          </w:tcPr>
          <w:p>
            <w:pPr>
              <w:spacing w:after="0"/>
              <w:rPr>
                <w:sz w:val="10"/>
                <w:szCs w:val="10"/>
                <w:color w:val="auto"/>
              </w:rPr>
            </w:pPr>
          </w:p>
        </w:tc>
        <w:tc>
          <w:tcPr>
            <w:tcW w:w="15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Banking, Finance, Insurance &amp;</w:t>
            </w:r>
          </w:p>
        </w:tc>
        <w:tc>
          <w:tcPr>
            <w:tcW w:w="18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49,209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Real Estate</w:t>
            </w: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Stock and Membership Units</w:t>
            </w:r>
          </w:p>
        </w:tc>
        <w:tc>
          <w:tcPr>
            <w:tcW w:w="140" w:type="dxa"/>
            <w:vAlign w:val="bottom"/>
            <w:tcBorders>
              <w:bottom w:val="single" w:sz="8" w:color="CFF0FC"/>
            </w:tcBorders>
            <w:shd w:val="clear" w:color="auto" w:fill="CFF0FC"/>
          </w:tcPr>
          <w:p>
            <w:pPr>
              <w:spacing w:after="0"/>
              <w:rPr>
                <w:sz w:val="12"/>
                <w:szCs w:val="12"/>
                <w:color w:val="auto"/>
              </w:rPr>
            </w:pPr>
          </w:p>
        </w:tc>
        <w:tc>
          <w:tcPr>
            <w:tcW w:w="15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7,831</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7,365</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-4533900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-4533900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-4139565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-4139565</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-3565525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-3565525</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-2630805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-2630805</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-8255</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4"/>
          <w:szCs w:val="14"/>
          <w:b w:val="1"/>
          <w:bCs w:val="1"/>
          <w:color w:val="auto"/>
        </w:rPr>
        <w:t>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As of December 31,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5949950</wp:posOffset>
            </wp:positionH>
            <wp:positionV relativeFrom="paragraph">
              <wp:posOffset>78105</wp:posOffset>
            </wp:positionV>
            <wp:extent cx="137160" cy="2051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205105"/>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78105</wp:posOffset>
            </wp:positionV>
            <wp:extent cx="102870" cy="2051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20510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200" w:type="dxa"/>
            <w:vAlign w:val="bottom"/>
          </w:tcPr>
          <w:p>
            <w:pPr>
              <w:spacing w:after="0"/>
              <w:rPr>
                <w:sz w:val="10"/>
                <w:szCs w:val="10"/>
                <w:color w:val="auto"/>
              </w:rPr>
            </w:pP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7"/>
              </w:rPr>
              <w:t>Reference Rate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146"/>
              <w:spacing w:after="0" w:line="120" w:lineRule="exact"/>
              <w:rPr>
                <w:sz w:val="20"/>
                <w:szCs w:val="20"/>
                <w:color w:val="auto"/>
              </w:rPr>
            </w:pPr>
            <w:r>
              <w:rPr>
                <w:rFonts w:ascii="Times New Roman" w:cs="Times New Roman" w:eastAsia="Times New Roman" w:hAnsi="Times New Roman"/>
                <w:sz w:val="11"/>
                <w:szCs w:val="11"/>
                <w:b w:val="1"/>
                <w:bCs w:val="1"/>
                <w:color w:val="auto"/>
              </w:rPr>
              <w:t>Par/Shares</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(2), (4), (12), (14), (23), (24)</w:t>
            </w:r>
          </w:p>
        </w:tc>
        <w:tc>
          <w:tcPr>
            <w:tcW w:w="140" w:type="dxa"/>
            <w:vAlign w:val="bottom"/>
          </w:tcPr>
          <w:p>
            <w:pPr>
              <w:spacing w:after="0"/>
              <w:rPr>
                <w:sz w:val="12"/>
                <w:szCs w:val="12"/>
                <w:color w:val="auto"/>
              </w:rPr>
            </w:pPr>
          </w:p>
        </w:tc>
        <w:tc>
          <w:tcPr>
            <w:tcW w:w="1540" w:type="dxa"/>
            <w:vAlign w:val="bottom"/>
          </w:tcPr>
          <w:p>
            <w:pPr>
              <w:ind w:left="58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2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Rate (1)</w:t>
            </w:r>
          </w:p>
        </w:tc>
        <w:tc>
          <w:tcPr>
            <w:tcW w:w="2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and Spread (1)</w:t>
            </w:r>
          </w:p>
        </w:tc>
        <w:tc>
          <w:tcPr>
            <w:tcW w:w="1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Floor (1)</w:t>
            </w:r>
          </w:p>
        </w:tc>
        <w:tc>
          <w:tcPr>
            <w:tcW w:w="120" w:type="dxa"/>
            <w:vAlign w:val="bottom"/>
          </w:tcPr>
          <w:p>
            <w:pPr>
              <w:spacing w:after="0"/>
              <w:rPr>
                <w:sz w:val="12"/>
                <w:szCs w:val="12"/>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880" w:type="dxa"/>
            <w:vAlign w:val="bottom"/>
            <w:gridSpan w:val="2"/>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2"/>
                <w:szCs w:val="12"/>
                <w:color w:val="auto"/>
              </w:rPr>
            </w:pPr>
          </w:p>
        </w:tc>
        <w:tc>
          <w:tcPr>
            <w:tcW w:w="6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0" w:type="dxa"/>
            <w:vAlign w:val="bottom"/>
          </w:tcPr>
          <w:p>
            <w:pPr>
              <w:spacing w:after="0"/>
              <w:rPr>
                <w:sz w:val="12"/>
                <w:szCs w:val="12"/>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46"/>
        </w:trPr>
        <w:tc>
          <w:tcPr>
            <w:tcW w:w="2700" w:type="dxa"/>
            <w:vAlign w:val="bottom"/>
            <w:tcBorders>
              <w:top w:val="single" w:sz="8" w:color="auto"/>
            </w:tcBorders>
            <w:shd w:val="clear" w:color="auto" w:fill="CFF0FC"/>
          </w:tcPr>
          <w:p>
            <w:pPr>
              <w:ind w:left="20"/>
              <w:spacing w:after="0" w:line="147" w:lineRule="exact"/>
              <w:rPr>
                <w:sz w:val="20"/>
                <w:szCs w:val="20"/>
                <w:color w:val="auto"/>
              </w:rPr>
            </w:pPr>
            <w:r>
              <w:rPr>
                <w:rFonts w:ascii="Times New Roman" w:cs="Times New Roman" w:eastAsia="Times New Roman" w:hAnsi="Times New Roman"/>
                <w:sz w:val="11"/>
                <w:szCs w:val="11"/>
                <w:b w:val="1"/>
                <w:bCs w:val="1"/>
                <w:color w:val="auto"/>
              </w:rPr>
              <w:t>Derivatives - 0.0%</w:t>
            </w:r>
            <w:r>
              <w:rPr>
                <w:rFonts w:ascii="Times New Roman" w:cs="Times New Roman" w:eastAsia="Times New Roman" w:hAnsi="Times New Roman"/>
                <w:sz w:val="14"/>
                <w:szCs w:val="14"/>
                <w:b w:val="1"/>
                <w:bCs w:val="1"/>
                <w:color w:val="auto"/>
                <w:vertAlign w:val="superscript"/>
              </w:rPr>
              <w:t>(19)</w:t>
            </w:r>
          </w:p>
        </w:tc>
        <w:tc>
          <w:tcPr>
            <w:tcW w:w="140" w:type="dxa"/>
            <w:vAlign w:val="bottom"/>
            <w:shd w:val="clear" w:color="auto" w:fill="CFF0FC"/>
          </w:tcPr>
          <w:p>
            <w:pPr>
              <w:spacing w:after="0"/>
              <w:rPr>
                <w:sz w:val="12"/>
                <w:szCs w:val="12"/>
                <w:color w:val="auto"/>
              </w:rPr>
            </w:pPr>
          </w:p>
        </w:tc>
        <w:tc>
          <w:tcPr>
            <w:tcW w:w="15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Advantage Capital Holdings LLC</w:t>
            </w:r>
          </w:p>
        </w:tc>
        <w:tc>
          <w:tcPr>
            <w:tcW w:w="140" w:type="dxa"/>
            <w:vAlign w:val="bottom"/>
          </w:tcPr>
          <w:p>
            <w:pPr>
              <w:spacing w:after="0"/>
              <w:rPr>
                <w:sz w:val="10"/>
                <w:szCs w:val="10"/>
                <w:color w:val="auto"/>
              </w:rPr>
            </w:pPr>
          </w:p>
        </w:tc>
        <w:tc>
          <w:tcPr>
            <w:tcW w:w="15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Banking, Finance, Insurance &amp;</w:t>
            </w:r>
          </w:p>
        </w:tc>
        <w:tc>
          <w:tcPr>
            <w:tcW w:w="220" w:type="dxa"/>
            <w:vAlign w:val="bottom"/>
          </w:tcPr>
          <w:p>
            <w:pPr>
              <w:spacing w:after="0"/>
              <w:rPr>
                <w:sz w:val="10"/>
                <w:szCs w:val="10"/>
                <w:color w:val="auto"/>
              </w:rPr>
            </w:pPr>
          </w:p>
        </w:tc>
        <w:tc>
          <w:tcPr>
            <w:tcW w:w="60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164</w:t>
            </w:r>
          </w:p>
        </w:tc>
        <w:tc>
          <w:tcPr>
            <w:tcW w:w="30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1"/>
                <w:szCs w:val="11"/>
                <w:color w:val="auto"/>
              </w:rPr>
              <w:t>(7)(22)</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Real Estate</w:t>
            </w:r>
          </w:p>
        </w:tc>
        <w:tc>
          <w:tcPr>
            <w:tcW w:w="2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HDNet Holdco LLC (Anthem Sports &amp; Entertainment Inc.)</w:t>
            </w:r>
          </w:p>
        </w:tc>
        <w:tc>
          <w:tcPr>
            <w:tcW w:w="140" w:type="dxa"/>
            <w:vAlign w:val="bottom"/>
            <w:shd w:val="clear" w:color="auto" w:fill="CFF0FC"/>
          </w:tcPr>
          <w:p>
            <w:pPr>
              <w:spacing w:after="0"/>
              <w:rPr>
                <w:sz w:val="10"/>
                <w:szCs w:val="10"/>
                <w:color w:val="auto"/>
              </w:rPr>
            </w:pPr>
          </w:p>
        </w:tc>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Media: Broadcasting &amp;</w:t>
            </w:r>
          </w:p>
        </w:tc>
        <w:tc>
          <w:tcPr>
            <w:tcW w:w="2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0.2</w:t>
            </w: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31</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(7)(19)</w:t>
            </w:r>
          </w:p>
        </w:tc>
        <w:tc>
          <w:tcPr>
            <w:tcW w:w="0" w:type="dxa"/>
            <w:vAlign w:val="bottom"/>
          </w:tcPr>
          <w:p>
            <w:pPr>
              <w:spacing w:after="0"/>
              <w:rPr>
                <w:sz w:val="1"/>
                <w:szCs w:val="1"/>
                <w:color w:val="auto"/>
              </w:rPr>
            </w:pPr>
          </w:p>
        </w:tc>
      </w:tr>
      <w:tr>
        <w:trPr>
          <w:trHeight w:val="73"/>
        </w:trPr>
        <w:tc>
          <w:tcPr>
            <w:tcW w:w="27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5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Subscription</w:t>
            </w:r>
          </w:p>
        </w:tc>
        <w:tc>
          <w:tcPr>
            <w:tcW w:w="220" w:type="dxa"/>
            <w:vAlign w:val="bottom"/>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900" w:type="dxa"/>
            <w:vAlign w:val="bottom"/>
            <w:vMerge w:val="continue"/>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4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8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700" w:type="dxa"/>
            <w:vAlign w:val="bottom"/>
            <w:tcBorders>
              <w:bottom w:val="single" w:sz="8" w:color="CFF0FC"/>
            </w:tcBorders>
            <w:shd w:val="clear" w:color="auto" w:fill="CFF0FC"/>
          </w:tcPr>
          <w:p>
            <w:pPr>
              <w:spacing w:after="0"/>
              <w:rPr>
                <w:sz w:val="5"/>
                <w:szCs w:val="5"/>
                <w:color w:val="auto"/>
              </w:rPr>
            </w:pPr>
          </w:p>
        </w:tc>
        <w:tc>
          <w:tcPr>
            <w:tcW w:w="140" w:type="dxa"/>
            <w:vAlign w:val="bottom"/>
            <w:tcBorders>
              <w:bottom w:val="single" w:sz="8" w:color="CFF0FC"/>
            </w:tcBorders>
            <w:shd w:val="clear" w:color="auto" w:fill="CFF0FC"/>
          </w:tcPr>
          <w:p>
            <w:pPr>
              <w:spacing w:after="0"/>
              <w:rPr>
                <w:sz w:val="5"/>
                <w:szCs w:val="5"/>
                <w:color w:val="auto"/>
              </w:rPr>
            </w:pPr>
          </w:p>
        </w:tc>
        <w:tc>
          <w:tcPr>
            <w:tcW w:w="1540" w:type="dxa"/>
            <w:vAlign w:val="bottom"/>
            <w:tcBorders>
              <w:bottom w:val="single" w:sz="8" w:color="CFF0FC"/>
            </w:tcBorders>
            <w:vMerge w:val="continue"/>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600" w:type="dxa"/>
            <w:vAlign w:val="bottom"/>
            <w:tcBorders>
              <w:bottom w:val="single" w:sz="8" w:color="CFF0FC"/>
            </w:tcBorders>
            <w:shd w:val="clear" w:color="auto" w:fill="CFF0FC"/>
          </w:tcPr>
          <w:p>
            <w:pPr>
              <w:spacing w:after="0"/>
              <w:rPr>
                <w:sz w:val="5"/>
                <w:szCs w:val="5"/>
                <w:color w:val="auto"/>
              </w:rPr>
            </w:pPr>
          </w:p>
        </w:tc>
        <w:tc>
          <w:tcPr>
            <w:tcW w:w="200" w:type="dxa"/>
            <w:vAlign w:val="bottom"/>
            <w:tcBorders>
              <w:bottom w:val="single" w:sz="8" w:color="CFF0FC"/>
            </w:tcBorders>
            <w:shd w:val="clear" w:color="auto" w:fill="CFF0FC"/>
          </w:tcPr>
          <w:p>
            <w:pPr>
              <w:spacing w:after="0"/>
              <w:rPr>
                <w:sz w:val="5"/>
                <w:szCs w:val="5"/>
                <w:color w:val="auto"/>
              </w:rPr>
            </w:pPr>
          </w:p>
        </w:tc>
        <w:tc>
          <w:tcPr>
            <w:tcW w:w="900" w:type="dxa"/>
            <w:vAlign w:val="bottom"/>
            <w:tcBorders>
              <w:bottom w:val="single" w:sz="8" w:color="CFF0FC"/>
            </w:tcBorders>
            <w:shd w:val="clear" w:color="auto" w:fill="CFF0FC"/>
          </w:tcPr>
          <w:p>
            <w:pPr>
              <w:spacing w:after="0"/>
              <w:rPr>
                <w:sz w:val="5"/>
                <w:szCs w:val="5"/>
                <w:color w:val="auto"/>
              </w:rPr>
            </w:pPr>
          </w:p>
        </w:tc>
        <w:tc>
          <w:tcPr>
            <w:tcW w:w="160" w:type="dxa"/>
            <w:vAlign w:val="bottom"/>
            <w:tcBorders>
              <w:bottom w:val="single" w:sz="8" w:color="CFF0FC"/>
            </w:tcBorders>
            <w:shd w:val="clear" w:color="auto" w:fill="CFF0FC"/>
          </w:tcPr>
          <w:p>
            <w:pPr>
              <w:spacing w:after="0"/>
              <w:rPr>
                <w:sz w:val="5"/>
                <w:szCs w:val="5"/>
                <w:color w:val="auto"/>
              </w:rPr>
            </w:pPr>
          </w:p>
        </w:tc>
        <w:tc>
          <w:tcPr>
            <w:tcW w:w="580" w:type="dxa"/>
            <w:vAlign w:val="bottom"/>
            <w:tcBorders>
              <w:bottom w:val="single" w:sz="8" w:color="CFF0FC"/>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480" w:type="dxa"/>
            <w:vAlign w:val="bottom"/>
            <w:tcBorders>
              <w:bottom w:val="single" w:sz="8" w:color="CFF0FC"/>
            </w:tcBorders>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780" w:type="dxa"/>
            <w:vAlign w:val="bottom"/>
            <w:tcBorders>
              <w:bottom w:val="single" w:sz="8" w:color="CFF0FC"/>
            </w:tcBorders>
            <w:shd w:val="clear" w:color="auto" w:fill="CFF0FC"/>
          </w:tcPr>
          <w:p>
            <w:pPr>
              <w:spacing w:after="0"/>
              <w:rPr>
                <w:sz w:val="5"/>
                <w:szCs w:val="5"/>
                <w:color w:val="auto"/>
              </w:rPr>
            </w:pPr>
          </w:p>
        </w:tc>
        <w:tc>
          <w:tcPr>
            <w:tcW w:w="180" w:type="dxa"/>
            <w:vAlign w:val="bottom"/>
            <w:tcBorders>
              <w:bottom w:val="single" w:sz="8" w:color="CFF0FC"/>
            </w:tcBorders>
            <w:shd w:val="clear" w:color="auto" w:fill="CFF0FC"/>
          </w:tcPr>
          <w:p>
            <w:pPr>
              <w:spacing w:after="0"/>
              <w:rPr>
                <w:sz w:val="5"/>
                <w:szCs w:val="5"/>
                <w:color w:val="auto"/>
              </w:rPr>
            </w:pPr>
          </w:p>
        </w:tc>
        <w:tc>
          <w:tcPr>
            <w:tcW w:w="120" w:type="dxa"/>
            <w:vAlign w:val="bottom"/>
            <w:tcBorders>
              <w:bottom w:val="single" w:sz="8" w:color="auto"/>
            </w:tcBorders>
            <w:shd w:val="clear" w:color="auto" w:fill="CFF0FC"/>
          </w:tcPr>
          <w:p>
            <w:pPr>
              <w:spacing w:after="0"/>
              <w:rPr>
                <w:sz w:val="5"/>
                <w:szCs w:val="5"/>
                <w:color w:val="auto"/>
              </w:rPr>
            </w:pPr>
          </w:p>
        </w:tc>
        <w:tc>
          <w:tcPr>
            <w:tcW w:w="580" w:type="dxa"/>
            <w:vAlign w:val="bottom"/>
            <w:tcBorders>
              <w:bottom w:val="single" w:sz="8" w:color="auto"/>
            </w:tcBorders>
            <w:shd w:val="clear" w:color="auto" w:fill="CFF0FC"/>
          </w:tcPr>
          <w:p>
            <w:pPr>
              <w:spacing w:after="0"/>
              <w:rPr>
                <w:sz w:val="5"/>
                <w:szCs w:val="5"/>
                <w:color w:val="auto"/>
              </w:rPr>
            </w:pPr>
          </w:p>
        </w:tc>
        <w:tc>
          <w:tcPr>
            <w:tcW w:w="160" w:type="dxa"/>
            <w:vAlign w:val="bottom"/>
            <w:tcBorders>
              <w:bottom w:val="single" w:sz="8" w:color="CFF0FC"/>
            </w:tcBorders>
            <w:shd w:val="clear" w:color="auto" w:fill="CFF0FC"/>
          </w:tcPr>
          <w:p>
            <w:pPr>
              <w:spacing w:after="0"/>
              <w:rPr>
                <w:sz w:val="5"/>
                <w:szCs w:val="5"/>
                <w:color w:val="auto"/>
              </w:rPr>
            </w:pPr>
          </w:p>
        </w:tc>
        <w:tc>
          <w:tcPr>
            <w:tcW w:w="140" w:type="dxa"/>
            <w:vAlign w:val="bottom"/>
            <w:tcBorders>
              <w:bottom w:val="single" w:sz="8" w:color="auto"/>
            </w:tcBorders>
            <w:shd w:val="clear" w:color="auto" w:fill="CFF0FC"/>
          </w:tcPr>
          <w:p>
            <w:pPr>
              <w:spacing w:after="0"/>
              <w:rPr>
                <w:sz w:val="5"/>
                <w:szCs w:val="5"/>
                <w:color w:val="auto"/>
              </w:rPr>
            </w:pPr>
          </w:p>
        </w:tc>
        <w:tc>
          <w:tcPr>
            <w:tcW w:w="540" w:type="dxa"/>
            <w:vAlign w:val="bottom"/>
            <w:tcBorders>
              <w:bottom w:val="single" w:sz="8" w:color="auto"/>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880" w:type="dxa"/>
            <w:vAlign w:val="bottom"/>
            <w:tcBorders>
              <w:bottom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Derivatives</w:t>
            </w: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7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Total Investments in Non-Control, Non-Affiliate Portfolio</w:t>
            </w:r>
          </w:p>
        </w:tc>
        <w:tc>
          <w:tcPr>
            <w:tcW w:w="1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426,630</w:t>
            </w:r>
          </w:p>
        </w:tc>
        <w:tc>
          <w:tcPr>
            <w:tcW w:w="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398,325</w:t>
            </w:r>
          </w:p>
        </w:tc>
        <w:tc>
          <w:tcPr>
            <w:tcW w:w="1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40" w:type="dxa"/>
            <w:vAlign w:val="bottom"/>
            <w:tcBorders>
              <w:bottom w:val="single" w:sz="8" w:color="CFF0FC"/>
            </w:tcBorders>
            <w:shd w:val="clear" w:color="auto" w:fill="CFF0FC"/>
          </w:tcPr>
          <w:p>
            <w:pPr>
              <w:spacing w:after="0"/>
              <w:rPr>
                <w:sz w:val="11"/>
                <w:szCs w:val="11"/>
                <w:color w:val="auto"/>
              </w:rPr>
            </w:pPr>
          </w:p>
        </w:tc>
        <w:tc>
          <w:tcPr>
            <w:tcW w:w="15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vMerge w:val="continue"/>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00" w:type="dxa"/>
            <w:vAlign w:val="bottom"/>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Investments in Affiliate Portfolio Companies - 25.9%</w:t>
            </w:r>
            <w:r>
              <w:rPr>
                <w:rFonts w:ascii="Times New Roman" w:cs="Times New Roman" w:eastAsia="Times New Roman" w:hAnsi="Times New Roman"/>
                <w:sz w:val="14"/>
                <w:szCs w:val="14"/>
                <w:b w:val="1"/>
                <w:bCs w:val="1"/>
                <w:color w:val="auto"/>
                <w:vertAlign w:val="superscript"/>
              </w:rPr>
              <w:t>(17)</w:t>
            </w: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Lien/Senior Secured Debt - 1.7%</w:t>
            </w:r>
          </w:p>
        </w:tc>
        <w:tc>
          <w:tcPr>
            <w:tcW w:w="1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Northeast Metal Works LLC</w:t>
            </w:r>
          </w:p>
        </w:tc>
        <w:tc>
          <w:tcPr>
            <w:tcW w:w="140" w:type="dxa"/>
            <w:vAlign w:val="bottom"/>
          </w:tcPr>
          <w:p>
            <w:pPr>
              <w:spacing w:after="0"/>
              <w:rPr>
                <w:sz w:val="12"/>
                <w:szCs w:val="12"/>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Metals &amp; Mining</w:t>
            </w:r>
          </w:p>
        </w:tc>
        <w:tc>
          <w:tcPr>
            <w:tcW w:w="82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8.00%</w:t>
            </w:r>
          </w:p>
        </w:tc>
        <w:tc>
          <w:tcPr>
            <w:tcW w:w="2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6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4/5/2028</w:t>
            </w:r>
          </w:p>
        </w:tc>
        <w:tc>
          <w:tcPr>
            <w:tcW w:w="8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4,500</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4,500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3,560</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Lien/Senior Secured Debt</w:t>
            </w:r>
          </w:p>
        </w:tc>
        <w:tc>
          <w:tcPr>
            <w:tcW w:w="140" w:type="dxa"/>
            <w:vAlign w:val="bottom"/>
            <w:tcBorders>
              <w:bottom w:val="single" w:sz="8" w:color="CFF0FC"/>
            </w:tcBorders>
            <w:shd w:val="clear" w:color="auto" w:fill="CFF0FC"/>
          </w:tcPr>
          <w:p>
            <w:pPr>
              <w:spacing w:after="0"/>
              <w:rPr>
                <w:sz w:val="12"/>
                <w:szCs w:val="12"/>
                <w:color w:val="auto"/>
              </w:rPr>
            </w:pPr>
          </w:p>
        </w:tc>
        <w:tc>
          <w:tcPr>
            <w:tcW w:w="1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4,500</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3,560</w:t>
            </w:r>
          </w:p>
        </w:tc>
        <w:tc>
          <w:tcPr>
            <w:tcW w:w="1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Joint Ventures - 21.1%</w:t>
            </w: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Series A-Great Lakes Funding II LLC</w:t>
            </w:r>
          </w:p>
        </w:tc>
        <w:tc>
          <w:tcPr>
            <w:tcW w:w="140" w:type="dxa"/>
            <w:vAlign w:val="bottom"/>
            <w:tcBorders>
              <w:bottom w:val="single" w:sz="8" w:color="CFF0FC"/>
            </w:tcBorders>
            <w:shd w:val="clear" w:color="auto" w:fill="CFF0FC"/>
          </w:tcPr>
          <w:p>
            <w:pPr>
              <w:spacing w:after="0"/>
              <w:rPr>
                <w:sz w:val="12"/>
                <w:szCs w:val="12"/>
                <w:color w:val="auto"/>
              </w:rPr>
            </w:pPr>
          </w:p>
        </w:tc>
        <w:tc>
          <w:tcPr>
            <w:tcW w:w="1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Joint Venture</w:t>
            </w:r>
          </w:p>
        </w:tc>
        <w:tc>
          <w:tcPr>
            <w:tcW w:w="2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44,000</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45,012</w:t>
            </w:r>
          </w:p>
        </w:tc>
        <w:tc>
          <w:tcPr>
            <w:tcW w:w="100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(7)(9)(20)(26)</w:t>
            </w:r>
          </w:p>
        </w:tc>
        <w:tc>
          <w:tcPr>
            <w:tcW w:w="0" w:type="dxa"/>
            <w:vAlign w:val="bottom"/>
          </w:tcPr>
          <w:p>
            <w:pPr>
              <w:spacing w:after="0"/>
              <w:rPr>
                <w:sz w:val="1"/>
                <w:szCs w:val="1"/>
                <w:color w:val="auto"/>
              </w:rPr>
            </w:pPr>
          </w:p>
        </w:tc>
      </w:tr>
      <w:tr>
        <w:trPr>
          <w:trHeight w:val="146"/>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Joint Ventures</w:t>
            </w: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44,000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45,012</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Preferred Stock and Units - 2.6%</w:t>
            </w:r>
          </w:p>
        </w:tc>
        <w:tc>
          <w:tcPr>
            <w:tcW w:w="1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BMP Slappey Holdco, LLC</w:t>
            </w:r>
          </w:p>
        </w:tc>
        <w:tc>
          <w:tcPr>
            <w:tcW w:w="140" w:type="dxa"/>
            <w:vAlign w:val="bottom"/>
          </w:tcPr>
          <w:p>
            <w:pPr>
              <w:spacing w:after="0"/>
              <w:rPr>
                <w:sz w:val="12"/>
                <w:szCs w:val="12"/>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Telecommunications</w:t>
            </w:r>
          </w:p>
        </w:tc>
        <w:tc>
          <w:tcPr>
            <w:tcW w:w="220" w:type="dxa"/>
            <w:vAlign w:val="bottom"/>
          </w:tcPr>
          <w:p>
            <w:pPr>
              <w:spacing w:after="0"/>
              <w:rPr>
                <w:sz w:val="12"/>
                <w:szCs w:val="12"/>
                <w:color w:val="auto"/>
              </w:rPr>
            </w:pPr>
          </w:p>
        </w:tc>
        <w:tc>
          <w:tcPr>
            <w:tcW w:w="60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200,000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467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553</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BMP Slappey Investment II</w:t>
            </w:r>
          </w:p>
        </w:tc>
        <w:tc>
          <w:tcPr>
            <w:tcW w:w="140" w:type="dxa"/>
            <w:vAlign w:val="bottom"/>
            <w:shd w:val="clear" w:color="auto" w:fill="CFF0FC"/>
          </w:tcPr>
          <w:p>
            <w:pPr>
              <w:spacing w:after="0"/>
              <w:rPr>
                <w:sz w:val="13"/>
                <w:szCs w:val="13"/>
                <w:color w:val="auto"/>
              </w:rPr>
            </w:pPr>
          </w:p>
        </w:tc>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Telecommunications</w:t>
            </w: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88,946</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208</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246</w:t>
            </w:r>
          </w:p>
        </w:tc>
        <w:tc>
          <w:tcPr>
            <w:tcW w:w="10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GreenPark Infrastructure, LLC - Series A</w:t>
            </w:r>
          </w:p>
        </w:tc>
        <w:tc>
          <w:tcPr>
            <w:tcW w:w="140" w:type="dxa"/>
            <w:vAlign w:val="bottom"/>
          </w:tcPr>
          <w:p>
            <w:pPr>
              <w:spacing w:after="0"/>
              <w:rPr>
                <w:sz w:val="12"/>
                <w:szCs w:val="12"/>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Energy: Electricity</w:t>
            </w:r>
          </w:p>
        </w:tc>
        <w:tc>
          <w:tcPr>
            <w:tcW w:w="220" w:type="dxa"/>
            <w:vAlign w:val="bottom"/>
          </w:tcPr>
          <w:p>
            <w:pPr>
              <w:spacing w:after="0"/>
              <w:rPr>
                <w:sz w:val="12"/>
                <w:szCs w:val="12"/>
                <w:color w:val="auto"/>
              </w:rPr>
            </w:pPr>
          </w:p>
        </w:tc>
        <w:tc>
          <w:tcPr>
            <w:tcW w:w="60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500</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5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Northeast Metal Works LLC - Class O Preferred</w:t>
            </w:r>
          </w:p>
        </w:tc>
        <w:tc>
          <w:tcPr>
            <w:tcW w:w="140" w:type="dxa"/>
            <w:vAlign w:val="bottom"/>
            <w:shd w:val="clear" w:color="auto" w:fill="CFF0FC"/>
          </w:tcPr>
          <w:p>
            <w:pPr>
              <w:spacing w:after="0"/>
              <w:rPr>
                <w:sz w:val="13"/>
                <w:szCs w:val="13"/>
                <w:color w:val="auto"/>
              </w:rPr>
            </w:pPr>
          </w:p>
        </w:tc>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Metals &amp; Mining</w:t>
            </w: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4,500,000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4,500</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4,182</w:t>
            </w:r>
          </w:p>
        </w:tc>
        <w:tc>
          <w:tcPr>
            <w:tcW w:w="10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Northeast Metal Works LLC - Preferred</w:t>
            </w:r>
          </w:p>
        </w:tc>
        <w:tc>
          <w:tcPr>
            <w:tcW w:w="140" w:type="dxa"/>
            <w:vAlign w:val="bottom"/>
          </w:tcPr>
          <w:p>
            <w:pPr>
              <w:spacing w:after="0"/>
              <w:rPr>
                <w:sz w:val="12"/>
                <w:szCs w:val="12"/>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Metals &amp; Mining</w:t>
            </w:r>
          </w:p>
        </w:tc>
        <w:tc>
          <w:tcPr>
            <w:tcW w:w="220" w:type="dxa"/>
            <w:vAlign w:val="bottom"/>
          </w:tcPr>
          <w:p>
            <w:pPr>
              <w:spacing w:after="0"/>
              <w:rPr>
                <w:sz w:val="12"/>
                <w:szCs w:val="12"/>
                <w:color w:val="auto"/>
              </w:rPr>
            </w:pPr>
          </w:p>
        </w:tc>
        <w:tc>
          <w:tcPr>
            <w:tcW w:w="60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2,368</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46"/>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Stock and Units</w:t>
            </w:r>
          </w:p>
        </w:tc>
        <w:tc>
          <w:tcPr>
            <w:tcW w:w="140" w:type="dxa"/>
            <w:vAlign w:val="bottom"/>
            <w:tcBorders>
              <w:bottom w:val="single" w:sz="8" w:color="CFF0FC"/>
            </w:tcBorders>
            <w:shd w:val="clear" w:color="auto" w:fill="CFF0FC"/>
          </w:tcPr>
          <w:p>
            <w:pPr>
              <w:spacing w:after="0"/>
              <w:rPr>
                <w:sz w:val="12"/>
                <w:szCs w:val="12"/>
                <w:color w:val="auto"/>
              </w:rPr>
            </w:pPr>
          </w:p>
        </w:tc>
        <w:tc>
          <w:tcPr>
            <w:tcW w:w="1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5,675</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5,481</w:t>
            </w:r>
          </w:p>
        </w:tc>
        <w:tc>
          <w:tcPr>
            <w:tcW w:w="1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Common Stock and Membership Units - 0.5%</w:t>
            </w: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GreenPark Infrastructure, LLC - Series M-1</w:t>
            </w:r>
          </w:p>
        </w:tc>
        <w:tc>
          <w:tcPr>
            <w:tcW w:w="140" w:type="dxa"/>
            <w:vAlign w:val="bottom"/>
            <w:shd w:val="clear" w:color="auto" w:fill="CFF0FC"/>
          </w:tcPr>
          <w:p>
            <w:pPr>
              <w:spacing w:after="0"/>
              <w:rPr>
                <w:sz w:val="13"/>
                <w:szCs w:val="13"/>
                <w:color w:val="auto"/>
              </w:rPr>
            </w:pPr>
          </w:p>
        </w:tc>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Energy: Electricity</w:t>
            </w: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171</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171</w:t>
            </w:r>
          </w:p>
        </w:tc>
        <w:tc>
          <w:tcPr>
            <w:tcW w:w="10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(20)(22)</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Kleen-Tech Acquisition, LLC</w:t>
            </w:r>
          </w:p>
        </w:tc>
        <w:tc>
          <w:tcPr>
            <w:tcW w:w="140" w:type="dxa"/>
            <w:vAlign w:val="bottom"/>
          </w:tcPr>
          <w:p>
            <w:pPr>
              <w:spacing w:after="0"/>
              <w:rPr>
                <w:sz w:val="12"/>
                <w:szCs w:val="12"/>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c>
          <w:tcPr>
            <w:tcW w:w="220" w:type="dxa"/>
            <w:vAlign w:val="bottom"/>
          </w:tcPr>
          <w:p>
            <w:pPr>
              <w:spacing w:after="0"/>
              <w:rPr>
                <w:sz w:val="12"/>
                <w:szCs w:val="12"/>
                <w:color w:val="auto"/>
              </w:rPr>
            </w:pPr>
          </w:p>
        </w:tc>
        <w:tc>
          <w:tcPr>
            <w:tcW w:w="60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250,000</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1,265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998</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46"/>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Stock and Membership Units</w:t>
            </w:r>
          </w:p>
        </w:tc>
        <w:tc>
          <w:tcPr>
            <w:tcW w:w="140" w:type="dxa"/>
            <w:vAlign w:val="bottom"/>
            <w:tcBorders>
              <w:bottom w:val="single" w:sz="8" w:color="CFF0FC"/>
            </w:tcBorders>
            <w:shd w:val="clear" w:color="auto" w:fill="CFF0FC"/>
          </w:tcPr>
          <w:p>
            <w:pPr>
              <w:spacing w:after="0"/>
              <w:rPr>
                <w:sz w:val="12"/>
                <w:szCs w:val="12"/>
                <w:color w:val="auto"/>
              </w:rPr>
            </w:pPr>
          </w:p>
        </w:tc>
        <w:tc>
          <w:tcPr>
            <w:tcW w:w="1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1,436</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1,169</w:t>
            </w:r>
          </w:p>
        </w:tc>
        <w:tc>
          <w:tcPr>
            <w:tcW w:w="1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Affiliate Portfolio Companies</w:t>
            </w: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55,611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55,222</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70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w w:val="99"/>
              </w:rPr>
              <w:t>Investments in Controlled Afilliated Portfolio Companies</w:t>
            </w:r>
          </w:p>
        </w:tc>
        <w:tc>
          <w:tcPr>
            <w:tcW w:w="140" w:type="dxa"/>
            <w:vAlign w:val="bottom"/>
            <w:shd w:val="clear" w:color="auto" w:fill="CFF0FC"/>
          </w:tcPr>
          <w:p>
            <w:pPr>
              <w:spacing w:after="0"/>
              <w:rPr>
                <w:sz w:val="8"/>
                <w:szCs w:val="8"/>
                <w:color w:val="auto"/>
              </w:rPr>
            </w:pPr>
          </w:p>
        </w:tc>
        <w:tc>
          <w:tcPr>
            <w:tcW w:w="1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70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b w:val="1"/>
                <w:bCs w:val="1"/>
                <w:color w:val="auto"/>
              </w:rPr>
              <w:t>- 6.7%</w:t>
            </w:r>
            <w:r>
              <w:rPr>
                <w:rFonts w:ascii="Times New Roman" w:cs="Times New Roman" w:eastAsia="Times New Roman" w:hAnsi="Times New Roman"/>
                <w:sz w:val="14"/>
                <w:szCs w:val="14"/>
                <w:b w:val="1"/>
                <w:bCs w:val="1"/>
                <w:color w:val="auto"/>
                <w:vertAlign w:val="superscript"/>
              </w:rPr>
              <w:t>(8)</w:t>
            </w:r>
          </w:p>
        </w:tc>
        <w:tc>
          <w:tcPr>
            <w:tcW w:w="140" w:type="dxa"/>
            <w:vAlign w:val="bottom"/>
            <w:tcBorders>
              <w:bottom w:val="single" w:sz="8" w:color="CFF0FC"/>
            </w:tcBorders>
            <w:shd w:val="clear" w:color="auto" w:fill="CFF0FC"/>
          </w:tcPr>
          <w:p>
            <w:pPr>
              <w:spacing w:after="0"/>
              <w:rPr>
                <w:sz w:val="12"/>
                <w:szCs w:val="12"/>
                <w:color w:val="auto"/>
              </w:rPr>
            </w:pPr>
          </w:p>
        </w:tc>
        <w:tc>
          <w:tcPr>
            <w:tcW w:w="1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 - 0.0%</w:t>
            </w: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ProAir, LLC</w:t>
            </w:r>
          </w:p>
        </w:tc>
        <w:tc>
          <w:tcPr>
            <w:tcW w:w="140" w:type="dxa"/>
            <w:vAlign w:val="bottom"/>
            <w:shd w:val="clear" w:color="auto" w:fill="CFF0FC"/>
          </w:tcPr>
          <w:p>
            <w:pPr>
              <w:spacing w:after="0"/>
              <w:rPr>
                <w:sz w:val="13"/>
                <w:szCs w:val="13"/>
                <w:color w:val="auto"/>
              </w:rPr>
            </w:pPr>
          </w:p>
        </w:tc>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Capital Equipment</w:t>
            </w: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17.75% PIK</w:t>
            </w: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6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1/31/2023</w:t>
            </w:r>
          </w:p>
        </w:tc>
        <w:tc>
          <w:tcPr>
            <w:tcW w:w="8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2,020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1,931</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Tank Partners Equipment Holdings LLC</w:t>
            </w:r>
          </w:p>
        </w:tc>
        <w:tc>
          <w:tcPr>
            <w:tcW w:w="140" w:type="dxa"/>
            <w:vAlign w:val="bottom"/>
          </w:tcPr>
          <w:p>
            <w:pPr>
              <w:spacing w:after="0"/>
              <w:rPr>
                <w:sz w:val="12"/>
                <w:szCs w:val="12"/>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Energy: Oil &amp; Gas</w:t>
            </w:r>
          </w:p>
        </w:tc>
        <w:tc>
          <w:tcPr>
            <w:tcW w:w="2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10.00% PIK</w:t>
            </w:r>
          </w:p>
        </w:tc>
        <w:tc>
          <w:tcPr>
            <w:tcW w:w="2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6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2/15/2022</w:t>
            </w:r>
          </w:p>
        </w:tc>
        <w:tc>
          <w:tcPr>
            <w:tcW w:w="8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511</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416</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43</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46"/>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140" w:type="dxa"/>
            <w:vAlign w:val="bottom"/>
            <w:tcBorders>
              <w:bottom w:val="single" w:sz="8" w:color="CFF0FC"/>
            </w:tcBorders>
            <w:shd w:val="clear" w:color="auto" w:fill="CFF0FC"/>
          </w:tcPr>
          <w:p>
            <w:pPr>
              <w:spacing w:after="0"/>
              <w:rPr>
                <w:sz w:val="12"/>
                <w:szCs w:val="12"/>
                <w:color w:val="auto"/>
              </w:rPr>
            </w:pPr>
          </w:p>
        </w:tc>
        <w:tc>
          <w:tcPr>
            <w:tcW w:w="1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2,347</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43</w:t>
            </w:r>
          </w:p>
        </w:tc>
        <w:tc>
          <w:tcPr>
            <w:tcW w:w="1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Common Stock and Membership Units - 0.0%</w:t>
            </w: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ProAir HoldCo, LLC</w:t>
            </w:r>
          </w:p>
        </w:tc>
        <w:tc>
          <w:tcPr>
            <w:tcW w:w="140" w:type="dxa"/>
            <w:vAlign w:val="bottom"/>
            <w:shd w:val="clear" w:color="auto" w:fill="CFF0FC"/>
          </w:tcPr>
          <w:p>
            <w:pPr>
              <w:spacing w:after="0"/>
              <w:rPr>
                <w:sz w:val="13"/>
                <w:szCs w:val="13"/>
                <w:color w:val="auto"/>
              </w:rPr>
            </w:pPr>
          </w:p>
        </w:tc>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Capital Equipment</w:t>
            </w: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2,749,997</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4,260</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Tank Partners Equipment Holdings LLC - Class A</w:t>
            </w:r>
          </w:p>
        </w:tc>
        <w:tc>
          <w:tcPr>
            <w:tcW w:w="140" w:type="dxa"/>
            <w:vAlign w:val="bottom"/>
          </w:tcPr>
          <w:p>
            <w:pPr>
              <w:spacing w:after="0"/>
              <w:rPr>
                <w:sz w:val="12"/>
                <w:szCs w:val="12"/>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Energy: Oil &amp; Gas</w:t>
            </w:r>
          </w:p>
        </w:tc>
        <w:tc>
          <w:tcPr>
            <w:tcW w:w="220" w:type="dxa"/>
            <w:vAlign w:val="bottom"/>
          </w:tcPr>
          <w:p>
            <w:pPr>
              <w:spacing w:after="0"/>
              <w:rPr>
                <w:sz w:val="12"/>
                <w:szCs w:val="12"/>
                <w:color w:val="auto"/>
              </w:rPr>
            </w:pPr>
          </w:p>
        </w:tc>
        <w:tc>
          <w:tcPr>
            <w:tcW w:w="60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49,000</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6,228</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46"/>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Stock and Membership Units</w:t>
            </w:r>
          </w:p>
        </w:tc>
        <w:tc>
          <w:tcPr>
            <w:tcW w:w="140" w:type="dxa"/>
            <w:vAlign w:val="bottom"/>
            <w:tcBorders>
              <w:bottom w:val="single" w:sz="8" w:color="CFF0FC"/>
            </w:tcBorders>
            <w:shd w:val="clear" w:color="auto" w:fill="CFF0FC"/>
          </w:tcPr>
          <w:p>
            <w:pPr>
              <w:spacing w:after="0"/>
              <w:rPr>
                <w:sz w:val="12"/>
                <w:szCs w:val="12"/>
                <w:color w:val="auto"/>
              </w:rPr>
            </w:pPr>
          </w:p>
        </w:tc>
        <w:tc>
          <w:tcPr>
            <w:tcW w:w="1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10,488</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Joint Ventures - 6.7%</w:t>
            </w: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KCAP Freedom 3 LLC</w:t>
            </w:r>
          </w:p>
        </w:tc>
        <w:tc>
          <w:tcPr>
            <w:tcW w:w="140" w:type="dxa"/>
            <w:vAlign w:val="bottom"/>
            <w:tcBorders>
              <w:bottom w:val="single" w:sz="8" w:color="CFF0FC"/>
            </w:tcBorders>
            <w:shd w:val="clear" w:color="auto" w:fill="CFF0FC"/>
          </w:tcPr>
          <w:p>
            <w:pPr>
              <w:spacing w:after="0"/>
              <w:rPr>
                <w:sz w:val="12"/>
                <w:szCs w:val="12"/>
                <w:color w:val="auto"/>
              </w:rPr>
            </w:pPr>
          </w:p>
        </w:tc>
        <w:tc>
          <w:tcPr>
            <w:tcW w:w="1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Joint Venture</w:t>
            </w:r>
          </w:p>
        </w:tc>
        <w:tc>
          <w:tcPr>
            <w:tcW w:w="2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27,415</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14,275</w:t>
            </w:r>
          </w:p>
        </w:tc>
        <w:tc>
          <w:tcPr>
            <w:tcW w:w="100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46"/>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Joint Ventures</w:t>
            </w: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27,415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14,275</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Asset Manager Affiliates - 0.0%</w:t>
            </w:r>
          </w:p>
        </w:tc>
        <w:tc>
          <w:tcPr>
            <w:tcW w:w="1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 Management Company</w:t>
            </w:r>
          </w:p>
        </w:tc>
        <w:tc>
          <w:tcPr>
            <w:tcW w:w="140" w:type="dxa"/>
            <w:vAlign w:val="bottom"/>
          </w:tcPr>
          <w:p>
            <w:pPr>
              <w:spacing w:after="0"/>
              <w:rPr>
                <w:sz w:val="12"/>
                <w:szCs w:val="12"/>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 Management Company</w:t>
            </w:r>
          </w:p>
        </w:tc>
        <w:tc>
          <w:tcPr>
            <w:tcW w:w="220" w:type="dxa"/>
            <w:vAlign w:val="bottom"/>
          </w:tcPr>
          <w:p>
            <w:pPr>
              <w:spacing w:after="0"/>
              <w:rPr>
                <w:sz w:val="12"/>
                <w:szCs w:val="12"/>
                <w:color w:val="auto"/>
              </w:rPr>
            </w:pPr>
          </w:p>
        </w:tc>
        <w:tc>
          <w:tcPr>
            <w:tcW w:w="60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17,791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46"/>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 Manager Affiliates</w:t>
            </w:r>
          </w:p>
        </w:tc>
        <w:tc>
          <w:tcPr>
            <w:tcW w:w="140" w:type="dxa"/>
            <w:vAlign w:val="bottom"/>
            <w:tcBorders>
              <w:bottom w:val="single" w:sz="8" w:color="CFF0FC"/>
            </w:tcBorders>
            <w:shd w:val="clear" w:color="auto" w:fill="CFF0FC"/>
          </w:tcPr>
          <w:p>
            <w:pPr>
              <w:spacing w:after="0"/>
              <w:rPr>
                <w:sz w:val="12"/>
                <w:szCs w:val="12"/>
                <w:color w:val="auto"/>
              </w:rPr>
            </w:pPr>
          </w:p>
        </w:tc>
        <w:tc>
          <w:tcPr>
            <w:tcW w:w="1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17,791</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70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Total Investments in Controlled Affiliated Portfolio</w:t>
            </w:r>
          </w:p>
        </w:tc>
        <w:tc>
          <w:tcPr>
            <w:tcW w:w="1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58,041</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14,318</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- 219.1%</w:t>
            </w:r>
          </w:p>
        </w:tc>
        <w:tc>
          <w:tcPr>
            <w:tcW w:w="140" w:type="dxa"/>
            <w:vAlign w:val="bottom"/>
            <w:tcBorders>
              <w:bottom w:val="single" w:sz="8" w:color="CFF0FC"/>
            </w:tcBorders>
            <w:shd w:val="clear" w:color="auto" w:fill="CFF0FC"/>
          </w:tcPr>
          <w:p>
            <w:pPr>
              <w:spacing w:after="0"/>
              <w:rPr>
                <w:sz w:val="12"/>
                <w:szCs w:val="12"/>
                <w:color w:val="auto"/>
              </w:rPr>
            </w:pPr>
          </w:p>
        </w:tc>
        <w:tc>
          <w:tcPr>
            <w:tcW w:w="1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540,282</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467,865</w:t>
            </w:r>
          </w:p>
        </w:tc>
        <w:tc>
          <w:tcPr>
            <w:tcW w:w="1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-3985260</wp:posOffset>
            </wp:positionV>
            <wp:extent cx="1117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-3985260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-3710940</wp:posOffset>
            </wp:positionV>
            <wp:extent cx="1117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-3710940</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-3316605</wp:posOffset>
            </wp:positionV>
            <wp:extent cx="1117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-3316605</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-3119755</wp:posOffset>
            </wp:positionV>
            <wp:extent cx="1117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-3119755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-2339340</wp:posOffset>
            </wp:positionV>
            <wp:extent cx="1117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-2339340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-1945640</wp:posOffset>
            </wp:positionV>
            <wp:extent cx="1117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-1945640</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-1670685</wp:posOffset>
            </wp:positionV>
            <wp:extent cx="1117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-1670685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-1276350</wp:posOffset>
            </wp:positionV>
            <wp:extent cx="1117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-1276350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-882015</wp:posOffset>
            </wp:positionV>
            <wp:extent cx="1117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-882015</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-685165</wp:posOffset>
            </wp:positionV>
            <wp:extent cx="1117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-685165</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-281940</wp:posOffset>
            </wp:positionV>
            <wp:extent cx="1117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-281940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 to unaudited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4"/>
          <w:szCs w:val="14"/>
          <w:b w:val="1"/>
          <w:bCs w:val="1"/>
          <w:color w:val="auto"/>
        </w:rPr>
        <w:t>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As of December 31,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9030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61" w:lineRule="exact"/>
        <w:rPr>
          <w:sz w:val="20"/>
          <w:szCs w:val="20"/>
          <w:color w:val="auto"/>
        </w:rPr>
      </w:pPr>
    </w:p>
    <w:p>
      <w:pPr>
        <w:ind w:left="380" w:right="120" w:hanging="372"/>
        <w:spacing w:after="0" w:line="228" w:lineRule="auto"/>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majority of the variable rate loans in the Company’s investment portfolio bear interest at a rate that may be determined by reference to either SOFR or an alternate Base Rate (commonly based on the Federal Funds Rate or the Prime Rate), which typically resets semi-annually, quarterly, or monthly at the borrower’s option. The Borrower may also elect to have multiple interest reset periods for each December 31, 2023 loan. L loans are typically indexed to 12 month, 6 month, 3 month, 2 month or 1 month S rates. For each such loan, the Company has provided the weighted average annual stated interest rate in effect at December 31, 2023. As noted in the table above, 77.4% (based on par) of debt securities contain floors which range between 0.50% and 2.50%.</w:t>
      </w:r>
    </w:p>
    <w:p>
      <w:pPr>
        <w:spacing w:after="0" w:line="79" w:lineRule="exact"/>
        <w:rPr>
          <w:rFonts w:ascii="Times New Roman" w:cs="Times New Roman" w:eastAsia="Times New Roman" w:hAnsi="Times New Roman"/>
          <w:sz w:val="13"/>
          <w:szCs w:val="13"/>
          <w:color w:val="auto"/>
        </w:rPr>
      </w:pPr>
    </w:p>
    <w:p>
      <w:pPr>
        <w:ind w:left="380" w:right="8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fair market value of all investments as of December 31, 2023 as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Non-U.S. company or principal place of business outside the U.S.</w:t>
      </w:r>
    </w:p>
    <w:p>
      <w:pPr>
        <w:spacing w:after="0" w:line="93" w:lineRule="exact"/>
        <w:rPr>
          <w:rFonts w:ascii="Times New Roman" w:cs="Times New Roman" w:eastAsia="Times New Roman" w:hAnsi="Times New Roman"/>
          <w:sz w:val="13"/>
          <w:szCs w:val="13"/>
          <w:color w:val="auto"/>
        </w:rPr>
      </w:pPr>
    </w:p>
    <w:p>
      <w:pPr>
        <w:ind w:left="380" w:right="40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cost of investments for federal income tax purposes is approximately $539.8 million. The aggregate gross unrealized appreciation is approximately $36.3 million, the aggregate gross unrealized depreciation is approximately $34.7 million, and the net unrealized depreciation is approximately $1.6 million.</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Loan or debt security is on non-accrual status and therefore is considered non-income producing.</w:t>
      </w:r>
    </w:p>
    <w:p>
      <w:pPr>
        <w:spacing w:after="0" w:line="93" w:lineRule="exact"/>
        <w:rPr>
          <w:rFonts w:ascii="Times New Roman" w:cs="Times New Roman" w:eastAsia="Times New Roman" w:hAnsi="Times New Roman"/>
          <w:sz w:val="13"/>
          <w:szCs w:val="13"/>
          <w:color w:val="auto"/>
        </w:rPr>
      </w:pPr>
    </w:p>
    <w:p>
      <w:pPr>
        <w:ind w:left="380" w:right="30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Held through Garrison Capital Equity Holdings II LLC and net of non-controlling member’s interest of 17.5% pursuant to the Amended and Restated Limited Liability Company Agreement of Garrison Capital Equity Holdings II LLC.</w:t>
      </w:r>
    </w:p>
    <w:p>
      <w:pPr>
        <w:spacing w:after="0" w:line="79" w:lineRule="exact"/>
        <w:rPr>
          <w:rFonts w:ascii="Times New Roman" w:cs="Times New Roman" w:eastAsia="Times New Roman" w:hAnsi="Times New Roman"/>
          <w:sz w:val="13"/>
          <w:szCs w:val="13"/>
          <w:color w:val="auto"/>
        </w:rPr>
      </w:pPr>
    </w:p>
    <w:p>
      <w:pPr>
        <w:ind w:left="380" w:right="40" w:hanging="372"/>
        <w:spacing w:after="0" w:line="280" w:lineRule="auto"/>
        <w:tabs>
          <w:tab w:leader="none" w:pos="3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2023, qualifying assets represent 86.6% of the Company's total assets and non-qualifying assets represent 13.4% of the Company's total assets.</w:t>
      </w:r>
    </w:p>
    <w:p>
      <w:pPr>
        <w:spacing w:after="0" w:line="56" w:lineRule="exact"/>
        <w:rPr>
          <w:rFonts w:ascii="Times New Roman" w:cs="Times New Roman" w:eastAsia="Times New Roman" w:hAnsi="Times New Roman"/>
          <w:sz w:val="12"/>
          <w:szCs w:val="12"/>
          <w:color w:val="auto"/>
        </w:rPr>
      </w:pPr>
    </w:p>
    <w:p>
      <w:pPr>
        <w:ind w:left="380" w:right="34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Non-voting.</w:t>
      </w:r>
    </w:p>
    <w:p>
      <w:pPr>
        <w:spacing w:after="0" w:line="93" w:lineRule="exact"/>
        <w:rPr>
          <w:rFonts w:ascii="Times New Roman" w:cs="Times New Roman" w:eastAsia="Times New Roman" w:hAnsi="Times New Roman"/>
          <w:sz w:val="13"/>
          <w:szCs w:val="13"/>
          <w:color w:val="auto"/>
        </w:rPr>
      </w:pPr>
    </w:p>
    <w:p>
      <w:pPr>
        <w:ind w:left="380" w:right="20" w:hanging="372"/>
        <w:spacing w:after="0" w:line="232" w:lineRule="auto"/>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79" w:lineRule="exact"/>
        <w:rPr>
          <w:rFonts w:ascii="Times New Roman" w:cs="Times New Roman" w:eastAsia="Times New Roman" w:hAnsi="Times New Roman"/>
          <w:sz w:val="13"/>
          <w:szCs w:val="13"/>
          <w:color w:val="auto"/>
        </w:rPr>
      </w:pPr>
    </w:p>
    <w:p>
      <w:pPr>
        <w:ind w:left="380" w:right="18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investment is on non-accrual status and receives a 5% royalty interest on oil being produced on certain fields. All production payments received are being applied to the cost basis and are considered return of capital.</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investments valued using unobservable inputs (Level III), unless otherwise noted.</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2023, this investment is pledged to secure the Company’s debt obligations.</w:t>
      </w:r>
    </w:p>
    <w:p>
      <w:pPr>
        <w:spacing w:after="0" w:line="93" w:lineRule="exact"/>
        <w:rPr>
          <w:rFonts w:ascii="Times New Roman" w:cs="Times New Roman" w:eastAsia="Times New Roman" w:hAnsi="Times New Roman"/>
          <w:sz w:val="13"/>
          <w:szCs w:val="13"/>
          <w:color w:val="auto"/>
        </w:rPr>
      </w:pPr>
    </w:p>
    <w:p>
      <w:pPr>
        <w:ind w:left="380" w:right="46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investment is classified as Level II.</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investment is held by the Company's wholly-owned subsidiary Garrison Capital Equity Holdings XI LLC.</w:t>
      </w:r>
    </w:p>
    <w:p>
      <w:pPr>
        <w:spacing w:after="0" w:line="93" w:lineRule="exact"/>
        <w:rPr>
          <w:rFonts w:ascii="Times New Roman" w:cs="Times New Roman" w:eastAsia="Times New Roman" w:hAnsi="Times New Roman"/>
          <w:sz w:val="13"/>
          <w:szCs w:val="13"/>
          <w:color w:val="auto"/>
        </w:rPr>
      </w:pPr>
    </w:p>
    <w:p>
      <w:pPr>
        <w:ind w:left="380" w:right="34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the 1940 Act, the Company is deemed to be an “Affiliated Person” of, as defined in the 1940 Act, this portfolio company as the Company owns at least 5% of the portfolio company’s outstanding voting securities or is under common control with such portfolio company.</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Non-income producing.</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related to the Company’s derivatives is presented below as of December 31,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24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128"/>
        </w:trPr>
        <w:tc>
          <w:tcPr>
            <w:tcW w:w="10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80" w:type="dxa"/>
            <w:vAlign w:val="bottom"/>
          </w:tcPr>
          <w:p>
            <w:pPr>
              <w:jc w:val="center"/>
              <w:ind w:left="157"/>
              <w:spacing w:after="0" w:line="128"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67"/>
        </w:trPr>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4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480" w:type="dxa"/>
            <w:vAlign w:val="bottom"/>
            <w:tcBorders>
              <w:bottom w:val="single" w:sz="8" w:color="auto"/>
            </w:tcBorders>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w w:val="98"/>
              </w:rPr>
              <w:t>Notional amount</w:t>
            </w:r>
          </w:p>
        </w:tc>
        <w:tc>
          <w:tcPr>
            <w:tcW w:w="13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6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57"/>
        </w:trPr>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Call option</w:t>
            </w:r>
          </w:p>
        </w:tc>
        <w:tc>
          <w:tcPr>
            <w:tcW w:w="2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HDNet Holdco LLC</w:t>
            </w:r>
          </w:p>
        </w:tc>
        <w:tc>
          <w:tcPr>
            <w:tcW w:w="148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0.2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8</w:t>
            </w:r>
          </w:p>
        </w:tc>
        <w:tc>
          <w:tcPr>
            <w:tcW w:w="138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0.01</w:t>
            </w:r>
          </w:p>
        </w:tc>
        <w:tc>
          <w:tcPr>
            <w:tcW w:w="1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N/A</w:t>
            </w:r>
          </w:p>
        </w:tc>
        <w:tc>
          <w:tcPr>
            <w:tcW w:w="54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08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128"/>
        </w:trPr>
        <w:tc>
          <w:tcPr>
            <w:tcW w:w="1080" w:type="dxa"/>
            <w:vAlign w:val="bottom"/>
            <w:shd w:val="clear" w:color="auto" w:fill="CFF0FC"/>
          </w:tcPr>
          <w:p>
            <w:pPr>
              <w:spacing w:after="0"/>
              <w:rPr>
                <w:sz w:val="11"/>
                <w:szCs w:val="11"/>
                <w:color w:val="auto"/>
              </w:rPr>
            </w:pPr>
          </w:p>
        </w:tc>
        <w:tc>
          <w:tcPr>
            <w:tcW w:w="2480" w:type="dxa"/>
            <w:vAlign w:val="bottom"/>
            <w:shd w:val="clear" w:color="auto" w:fill="CFF0FC"/>
          </w:tcPr>
          <w:p>
            <w:pPr>
              <w:spacing w:after="0"/>
              <w:rPr>
                <w:sz w:val="11"/>
                <w:szCs w:val="11"/>
                <w:color w:val="auto"/>
              </w:rPr>
            </w:pPr>
          </w:p>
        </w:tc>
        <w:tc>
          <w:tcPr>
            <w:tcW w:w="1480" w:type="dxa"/>
            <w:vAlign w:val="bottom"/>
            <w:shd w:val="clear" w:color="auto" w:fill="CFF0FC"/>
          </w:tcPr>
          <w:p>
            <w:pPr>
              <w:jc w:val="center"/>
              <w:ind w:left="157"/>
              <w:spacing w:after="0" w:line="128"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6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r>
      <w:tr>
        <w:trPr>
          <w:trHeight w:val="167"/>
        </w:trPr>
        <w:tc>
          <w:tcPr>
            <w:tcW w:w="108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48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480" w:type="dxa"/>
            <w:vAlign w:val="bottom"/>
            <w:tcBorders>
              <w:bottom w:val="single" w:sz="8" w:color="auto"/>
            </w:tcBorders>
            <w:shd w:val="clear" w:color="auto" w:fill="CFF0FC"/>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w w:val="98"/>
              </w:rPr>
              <w:t>Notional amount</w:t>
            </w:r>
          </w:p>
        </w:tc>
        <w:tc>
          <w:tcPr>
            <w:tcW w:w="1380" w:type="dxa"/>
            <w:vAlign w:val="bottom"/>
            <w:tcBorders>
              <w:bottom w:val="single" w:sz="8" w:color="auto"/>
            </w:tcBorders>
            <w:shd w:val="clear" w:color="auto" w:fill="CFF0FC"/>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620" w:type="dxa"/>
            <w:vAlign w:val="bottom"/>
            <w:tcBorders>
              <w:bottom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5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59"/>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Put option</w:t>
            </w:r>
          </w:p>
        </w:tc>
        <w:tc>
          <w:tcPr>
            <w:tcW w:w="2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Advantage Capital Holdings LLC</w:t>
            </w:r>
          </w:p>
        </w:tc>
        <w:tc>
          <w:tcPr>
            <w:tcW w:w="14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164</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563</w:t>
            </w:r>
          </w:p>
        </w:tc>
        <w:tc>
          <w:tcPr>
            <w:tcW w:w="13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w:t>
            </w:r>
          </w:p>
        </w:tc>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N/A</w:t>
            </w:r>
          </w:p>
        </w:tc>
        <w:tc>
          <w:tcPr>
            <w:tcW w:w="5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bl>
    <w:p>
      <w:pPr>
        <w:spacing w:after="0" w:line="236"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Debt security has an unfunded commitment in addition to the amounts shown in the Consolidated Schedule of Investments. See Note 8 for additional information on the Company’s commitments and contingencies.</w:t>
      </w:r>
    </w:p>
    <w:p>
      <w:pPr>
        <w:spacing w:after="0" w:line="118"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investment is owned by HCAP Equity Holdings, LLC, one of the Company’s taxable blocker subsidiaries.</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investment is held by PTMN Sub Holdings LLC, one of the company's taxable blocker subsidiaries.</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debt investments are income producing, unless otherwise noted. Equity and warrant investments are non-income producing, unless otherwise noted.</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Percentages are based on net assets as of December 31, 2023.</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equity investment is income producing, based on rate disclosed.</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investment is held at the NAV of the underlying fund.</w:t>
      </w:r>
    </w:p>
    <w:p>
      <w:pPr>
        <w:spacing w:after="0" w:line="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Par amount is presented for debt investments, while the number of shares or units owned is presented for equity investments.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 to unaudited consolidated financial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FINANCIAL HIGHLIGHTS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9"/>
                <w:szCs w:val="19"/>
                <w:b w:val="1"/>
                <w:bCs w:val="1"/>
                <w:color w:val="auto"/>
                <w:vertAlign w:val="superscript"/>
              </w:rPr>
              <w:t>(4)</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69"/>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r>
      <w:tr>
        <w:trPr>
          <w:trHeight w:val="176"/>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at beginning of period</w:t>
            </w:r>
          </w:p>
        </w:tc>
        <w:tc>
          <w:tcPr>
            <w:tcW w:w="11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22.76</w:t>
            </w:r>
          </w:p>
        </w:tc>
        <w:tc>
          <w:tcPr>
            <w:tcW w:w="240" w:type="dxa"/>
            <w:vAlign w:val="bottom"/>
          </w:tcPr>
          <w:p>
            <w:pPr>
              <w:spacing w:after="0"/>
              <w:rPr>
                <w:sz w:val="15"/>
                <w:szCs w:val="15"/>
                <w:color w:val="auto"/>
              </w:rPr>
            </w:pPr>
          </w:p>
        </w:tc>
        <w:tc>
          <w:tcPr>
            <w:tcW w:w="110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24.23</w:t>
            </w:r>
          </w:p>
        </w:tc>
        <w:tc>
          <w:tcPr>
            <w:tcW w:w="320" w:type="dxa"/>
            <w:vAlign w:val="bottom"/>
          </w:tcPr>
          <w:p>
            <w:pPr>
              <w:spacing w:after="0"/>
              <w:rPr>
                <w:sz w:val="15"/>
                <w:szCs w:val="15"/>
                <w:color w:val="auto"/>
              </w:rPr>
            </w:pPr>
          </w:p>
        </w:tc>
      </w:tr>
      <w:tr>
        <w:trPr>
          <w:trHeight w:val="176"/>
        </w:trPr>
        <w:tc>
          <w:tcPr>
            <w:tcW w:w="6940" w:type="dxa"/>
            <w:vAlign w:val="bottom"/>
            <w:shd w:val="clear" w:color="auto" w:fill="CFF0FC"/>
          </w:tcPr>
          <w:p>
            <w:pPr>
              <w:ind w:left="200"/>
              <w:spacing w:after="0" w:line="175" w:lineRule="exact"/>
              <w:rPr>
                <w:sz w:val="20"/>
                <w:szCs w:val="20"/>
                <w:color w:val="auto"/>
              </w:rPr>
            </w:pPr>
            <w:r>
              <w:rPr>
                <w:rFonts w:ascii="Times New Roman" w:cs="Times New Roman" w:eastAsia="Times New Roman" w:hAnsi="Times New Roman"/>
                <w:sz w:val="14"/>
                <w:szCs w:val="14"/>
                <w:color w:val="auto"/>
              </w:rPr>
              <w:t>Net investment income</w:t>
            </w:r>
            <w:r>
              <w:rPr>
                <w:rFonts w:ascii="Times New Roman" w:cs="Times New Roman" w:eastAsia="Times New Roman" w:hAnsi="Times New Roman"/>
                <w:sz w:val="19"/>
                <w:szCs w:val="19"/>
                <w:color w:val="auto"/>
                <w:vertAlign w:val="superscript"/>
              </w:rPr>
              <w:t>(1)</w:t>
            </w:r>
          </w:p>
        </w:tc>
        <w:tc>
          <w:tcPr>
            <w:tcW w:w="1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1.36</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1.72</w:t>
            </w:r>
          </w:p>
        </w:tc>
        <w:tc>
          <w:tcPr>
            <w:tcW w:w="320" w:type="dxa"/>
            <w:vAlign w:val="bottom"/>
            <w:shd w:val="clear" w:color="auto" w:fill="CFF0FC"/>
          </w:tcPr>
          <w:p>
            <w:pPr>
              <w:spacing w:after="0"/>
              <w:rPr>
                <w:sz w:val="15"/>
                <w:szCs w:val="15"/>
                <w:color w:val="auto"/>
              </w:rPr>
            </w:pPr>
          </w:p>
        </w:tc>
      </w:tr>
      <w:tr>
        <w:trPr>
          <w:trHeight w:val="175"/>
        </w:trPr>
        <w:tc>
          <w:tcPr>
            <w:tcW w:w="6940" w:type="dxa"/>
            <w:vAlign w:val="bottom"/>
          </w:tcPr>
          <w:p>
            <w:pPr>
              <w:ind w:left="200"/>
              <w:spacing w:after="0" w:line="175" w:lineRule="exact"/>
              <w:rPr>
                <w:sz w:val="20"/>
                <w:szCs w:val="20"/>
                <w:color w:val="auto"/>
              </w:rPr>
            </w:pPr>
            <w:r>
              <w:rPr>
                <w:rFonts w:ascii="Times New Roman" w:cs="Times New Roman" w:eastAsia="Times New Roman" w:hAnsi="Times New Roman"/>
                <w:sz w:val="14"/>
                <w:szCs w:val="14"/>
                <w:color w:val="auto"/>
              </w:rPr>
              <w:t>Net realized gain (loss) from investments</w:t>
            </w:r>
            <w:r>
              <w:rPr>
                <w:rFonts w:ascii="Times New Roman" w:cs="Times New Roman" w:eastAsia="Times New Roman" w:hAnsi="Times New Roman"/>
                <w:sz w:val="19"/>
                <w:szCs w:val="19"/>
                <w:color w:val="auto"/>
                <w:vertAlign w:val="superscript"/>
              </w:rPr>
              <w:t>(1)</w:t>
            </w:r>
          </w:p>
        </w:tc>
        <w:tc>
          <w:tcPr>
            <w:tcW w:w="1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(0.96 )</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320" w:type="dxa"/>
            <w:vAlign w:val="bottom"/>
          </w:tcPr>
          <w:p>
            <w:pPr>
              <w:spacing w:after="0"/>
              <w:rPr>
                <w:sz w:val="15"/>
                <w:szCs w:val="15"/>
                <w:color w:val="auto"/>
              </w:rPr>
            </w:pPr>
          </w:p>
        </w:tc>
      </w:tr>
      <w:tr>
        <w:trPr>
          <w:trHeight w:val="176"/>
        </w:trPr>
        <w:tc>
          <w:tcPr>
            <w:tcW w:w="6940" w:type="dxa"/>
            <w:vAlign w:val="bottom"/>
            <w:shd w:val="clear" w:color="auto" w:fill="CFF0FC"/>
          </w:tcPr>
          <w:p>
            <w:pPr>
              <w:ind w:left="200"/>
              <w:spacing w:after="0" w:line="175" w:lineRule="exact"/>
              <w:rPr>
                <w:sz w:val="20"/>
                <w:szCs w:val="20"/>
                <w:color w:val="auto"/>
              </w:rPr>
            </w:pPr>
            <w:r>
              <w:rPr>
                <w:rFonts w:ascii="Times New Roman" w:cs="Times New Roman" w:eastAsia="Times New Roman" w:hAnsi="Times New Roman"/>
                <w:sz w:val="14"/>
                <w:szCs w:val="14"/>
                <w:color w:val="auto"/>
              </w:rPr>
              <w:t>Net change in unrealized appreciation (depreciation) on investments</w:t>
            </w:r>
            <w:r>
              <w:rPr>
                <w:rFonts w:ascii="Times New Roman" w:cs="Times New Roman" w:eastAsia="Times New Roman" w:hAnsi="Times New Roman"/>
                <w:sz w:val="19"/>
                <w:szCs w:val="19"/>
                <w:color w:val="auto"/>
                <w:vertAlign w:val="superscript"/>
              </w:rPr>
              <w:t>(1)</w:t>
            </w:r>
          </w:p>
        </w:tc>
        <w:tc>
          <w:tcPr>
            <w:tcW w:w="1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(0.63 )</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320" w:type="dxa"/>
            <w:vAlign w:val="bottom"/>
            <w:shd w:val="clear" w:color="auto" w:fill="CFF0FC"/>
          </w:tcPr>
          <w:p>
            <w:pPr>
              <w:spacing w:after="0"/>
              <w:rPr>
                <w:sz w:val="15"/>
                <w:szCs w:val="15"/>
                <w:color w:val="auto"/>
              </w:rPr>
            </w:pPr>
          </w:p>
        </w:tc>
      </w:tr>
      <w:tr>
        <w:trPr>
          <w:trHeight w:val="175"/>
        </w:trPr>
        <w:tc>
          <w:tcPr>
            <w:tcW w:w="6940" w:type="dxa"/>
            <w:vAlign w:val="bottom"/>
          </w:tcPr>
          <w:p>
            <w:pPr>
              <w:ind w:left="200"/>
              <w:spacing w:after="0" w:line="175" w:lineRule="exact"/>
              <w:rPr>
                <w:sz w:val="20"/>
                <w:szCs w:val="20"/>
                <w:color w:val="auto"/>
              </w:rPr>
            </w:pPr>
            <w:r>
              <w:rPr>
                <w:rFonts w:ascii="Times New Roman" w:cs="Times New Roman" w:eastAsia="Times New Roman" w:hAnsi="Times New Roman"/>
                <w:sz w:val="14"/>
                <w:szCs w:val="14"/>
                <w:color w:val="auto"/>
              </w:rPr>
              <w:t>Tax (provision) benefit on realized and unrealized gains (losses) on investments</w:t>
            </w:r>
            <w:r>
              <w:rPr>
                <w:rFonts w:ascii="Times New Roman" w:cs="Times New Roman" w:eastAsia="Times New Roman" w:hAnsi="Times New Roman"/>
                <w:sz w:val="19"/>
                <w:szCs w:val="19"/>
                <w:color w:val="auto"/>
                <w:vertAlign w:val="superscript"/>
              </w:rPr>
              <w:t>(1)</w:t>
            </w:r>
          </w:p>
        </w:tc>
        <w:tc>
          <w:tcPr>
            <w:tcW w:w="11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0.06</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0.04</w:t>
            </w:r>
          </w:p>
        </w:tc>
        <w:tc>
          <w:tcPr>
            <w:tcW w:w="320" w:type="dxa"/>
            <w:vAlign w:val="bottom"/>
          </w:tcPr>
          <w:p>
            <w:pPr>
              <w:spacing w:after="0"/>
              <w:rPr>
                <w:sz w:val="15"/>
                <w:szCs w:val="15"/>
                <w:color w:val="auto"/>
              </w:rPr>
            </w:pPr>
          </w:p>
        </w:tc>
      </w:tr>
      <w:tr>
        <w:trPr>
          <w:trHeight w:val="176"/>
        </w:trPr>
        <w:tc>
          <w:tcPr>
            <w:tcW w:w="6940" w:type="dxa"/>
            <w:vAlign w:val="bottom"/>
            <w:tcBorders>
              <w:bottom w:val="single" w:sz="8" w:color="CFF0FC"/>
            </w:tcBorders>
            <w:shd w:val="clear" w:color="auto" w:fill="CFF0FC"/>
          </w:tcPr>
          <w:p>
            <w:pPr>
              <w:ind w:left="200"/>
              <w:spacing w:after="0" w:line="175" w:lineRule="exact"/>
              <w:rPr>
                <w:sz w:val="20"/>
                <w:szCs w:val="20"/>
                <w:color w:val="auto"/>
              </w:rPr>
            </w:pPr>
            <w:r>
              <w:rPr>
                <w:rFonts w:ascii="Times New Roman" w:cs="Times New Roman" w:eastAsia="Times New Roman" w:hAnsi="Times New Roman"/>
                <w:sz w:val="14"/>
                <w:szCs w:val="14"/>
                <w:color w:val="auto"/>
              </w:rPr>
              <w:t>Realized gain (loss) from extinguishment of debt</w:t>
            </w:r>
            <w:r>
              <w:rPr>
                <w:rFonts w:ascii="Times New Roman" w:cs="Times New Roman" w:eastAsia="Times New Roman" w:hAnsi="Times New Roman"/>
                <w:sz w:val="19"/>
                <w:szCs w:val="19"/>
                <w:color w:val="auto"/>
                <w:vertAlign w:val="superscript"/>
              </w:rPr>
              <w:t>(1)</w:t>
            </w:r>
          </w:p>
        </w:tc>
        <w:tc>
          <w:tcPr>
            <w:tcW w:w="11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(0.03 )</w:t>
            </w:r>
          </w:p>
        </w:tc>
        <w:tc>
          <w:tcPr>
            <w:tcW w:w="24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(0.02 )</w:t>
            </w:r>
          </w:p>
        </w:tc>
        <w:tc>
          <w:tcPr>
            <w:tcW w:w="320" w:type="dxa"/>
            <w:vAlign w:val="bottom"/>
            <w:tcBorders>
              <w:bottom w:val="single" w:sz="8" w:color="CFF0FC"/>
            </w:tcBorders>
            <w:shd w:val="clear" w:color="auto" w:fill="CFF0FC"/>
          </w:tcPr>
          <w:p>
            <w:pPr>
              <w:spacing w:after="0"/>
              <w:rPr>
                <w:sz w:val="15"/>
                <w:szCs w:val="15"/>
                <w:color w:val="auto"/>
              </w:rPr>
            </w:pPr>
          </w:p>
        </w:tc>
      </w:tr>
      <w:tr>
        <w:trPr>
          <w:trHeight w:val="16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1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(0.20 )</w:t>
            </w:r>
          </w:p>
        </w:tc>
        <w:tc>
          <w:tcPr>
            <w:tcW w:w="240" w:type="dxa"/>
            <w:vAlign w:val="bottom"/>
          </w:tcPr>
          <w:p>
            <w:pPr>
              <w:spacing w:after="0"/>
              <w:rPr>
                <w:sz w:val="14"/>
                <w:szCs w:val="14"/>
                <w:color w:val="auto"/>
              </w:rPr>
            </w:pPr>
          </w:p>
        </w:tc>
        <w:tc>
          <w:tcPr>
            <w:tcW w:w="110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(0.32 )</w:t>
            </w:r>
          </w:p>
        </w:tc>
        <w:tc>
          <w:tcPr>
            <w:tcW w:w="320" w:type="dxa"/>
            <w:vAlign w:val="bottom"/>
          </w:tcPr>
          <w:p>
            <w:pPr>
              <w:spacing w:after="0"/>
              <w:rPr>
                <w:sz w:val="14"/>
                <w:szCs w:val="14"/>
                <w:color w:val="auto"/>
              </w:rPr>
            </w:pPr>
          </w:p>
        </w:tc>
      </w:tr>
      <w:tr>
        <w:trPr>
          <w:trHeight w:val="175"/>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decrease in net assets resulting from distributions</w:t>
            </w:r>
          </w:p>
        </w:tc>
        <w:tc>
          <w:tcPr>
            <w:tcW w:w="1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320" w:type="dxa"/>
            <w:vAlign w:val="bottom"/>
            <w:shd w:val="clear" w:color="auto" w:fill="CFF0FC"/>
          </w:tcPr>
          <w:p>
            <w:pPr>
              <w:spacing w:after="0"/>
              <w:rPr>
                <w:sz w:val="15"/>
                <w:szCs w:val="15"/>
                <w:color w:val="auto"/>
              </w:rPr>
            </w:pPr>
          </w:p>
        </w:tc>
      </w:tr>
      <w:tr>
        <w:trPr>
          <w:trHeight w:val="176"/>
        </w:trPr>
        <w:tc>
          <w:tcPr>
            <w:tcW w:w="69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Accretive effect of common stock repurchases</w:t>
            </w:r>
            <w:r>
              <w:rPr>
                <w:rFonts w:ascii="Times New Roman" w:cs="Times New Roman" w:eastAsia="Times New Roman" w:hAnsi="Times New Roman"/>
                <w:sz w:val="19"/>
                <w:szCs w:val="19"/>
                <w:color w:val="auto"/>
                <w:vertAlign w:val="superscript"/>
              </w:rPr>
              <w:t>(1)</w:t>
            </w:r>
          </w:p>
        </w:tc>
        <w:tc>
          <w:tcPr>
            <w:tcW w:w="11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0.05</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9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Net increase (decrease) in net assets relating to stock-based transactions</w:t>
            </w:r>
            <w:r>
              <w:rPr>
                <w:rFonts w:ascii="Times New Roman" w:cs="Times New Roman" w:eastAsia="Times New Roman" w:hAnsi="Times New Roman"/>
                <w:sz w:val="19"/>
                <w:szCs w:val="19"/>
                <w:color w:val="auto"/>
                <w:vertAlign w:val="superscript"/>
              </w:rPr>
              <w:t>(6)</w:t>
            </w:r>
          </w:p>
        </w:tc>
        <w:tc>
          <w:tcPr>
            <w:tcW w:w="1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(0.02 )</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6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Net asset value, end of period</w:t>
            </w:r>
          </w:p>
        </w:tc>
        <w:tc>
          <w:tcPr>
            <w:tcW w:w="1120" w:type="dxa"/>
            <w:vAlign w:val="bottom"/>
            <w:tcBorders>
              <w:top w:val="single" w:sz="8" w:color="auto"/>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21.21</w:t>
            </w:r>
          </w:p>
        </w:tc>
        <w:tc>
          <w:tcPr>
            <w:tcW w:w="240" w:type="dxa"/>
            <w:vAlign w:val="bottom"/>
            <w:tcBorders>
              <w:top w:val="single" w:sz="8" w:color="CFF0FC"/>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22.54</w:t>
            </w:r>
          </w:p>
        </w:tc>
        <w:tc>
          <w:tcPr>
            <w:tcW w:w="320" w:type="dxa"/>
            <w:vAlign w:val="bottom"/>
            <w:tcBorders>
              <w:top w:val="single" w:sz="8" w:color="CFF0FC"/>
            </w:tcBorders>
          </w:tcPr>
          <w:p>
            <w:pPr>
              <w:spacing w:after="0"/>
              <w:rPr>
                <w:sz w:val="14"/>
                <w:szCs w:val="14"/>
                <w:color w:val="auto"/>
              </w:rPr>
            </w:pPr>
          </w:p>
        </w:tc>
      </w:tr>
      <w:tr>
        <w:trPr>
          <w:trHeight w:val="20"/>
        </w:trPr>
        <w:tc>
          <w:tcPr>
            <w:tcW w:w="6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6"/>
        </w:trPr>
        <w:tc>
          <w:tcPr>
            <w:tcW w:w="69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Total net asset value return</w:t>
            </w:r>
            <w:r>
              <w:rPr>
                <w:rFonts w:ascii="Times New Roman" w:cs="Times New Roman" w:eastAsia="Times New Roman" w:hAnsi="Times New Roman"/>
                <w:sz w:val="18"/>
                <w:szCs w:val="18"/>
                <w:color w:val="auto"/>
                <w:vertAlign w:val="superscript"/>
              </w:rPr>
              <w:t>(2)</w:t>
            </w:r>
          </w:p>
        </w:tc>
        <w:tc>
          <w:tcPr>
            <w:tcW w:w="1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4"/>
                <w:szCs w:val="14"/>
                <w:color w:val="auto"/>
              </w:rPr>
              <w:t>(0.11 )%</w:t>
            </w:r>
          </w:p>
        </w:tc>
        <w:tc>
          <w:tcPr>
            <w:tcW w:w="11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(0.43 )%</w:t>
            </w:r>
          </w:p>
        </w:tc>
      </w:tr>
      <w:tr>
        <w:trPr>
          <w:trHeight w:val="176"/>
        </w:trPr>
        <w:tc>
          <w:tcPr>
            <w:tcW w:w="69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Total market return</w:t>
            </w:r>
            <w:r>
              <w:rPr>
                <w:rFonts w:ascii="Times New Roman" w:cs="Times New Roman" w:eastAsia="Times New Roman" w:hAnsi="Times New Roman"/>
                <w:sz w:val="19"/>
                <w:szCs w:val="19"/>
                <w:color w:val="auto"/>
                <w:vertAlign w:val="superscript"/>
              </w:rPr>
              <w:t>(3)</w:t>
            </w:r>
          </w:p>
        </w:tc>
        <w:tc>
          <w:tcPr>
            <w:tcW w:w="1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15.61 %</w:t>
            </w:r>
          </w:p>
        </w:tc>
        <w:tc>
          <w:tcPr>
            <w:tcW w:w="1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(6.99 )%</w:t>
            </w:r>
          </w:p>
        </w:tc>
      </w:tr>
      <w:tr>
        <w:trPr>
          <w:trHeight w:val="17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Ratio/Supplemental Data:</w:t>
            </w:r>
          </w:p>
        </w:tc>
        <w:tc>
          <w:tcPr>
            <w:tcW w:w="1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r>
      <w:tr>
        <w:trPr>
          <w:trHeight w:val="175"/>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 share market value at beginning of period</w:t>
            </w:r>
          </w:p>
        </w:tc>
        <w:tc>
          <w:tcPr>
            <w:tcW w:w="11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18.19</w:t>
            </w:r>
          </w:p>
        </w:tc>
        <w:tc>
          <w:tcPr>
            <w:tcW w:w="240" w:type="dxa"/>
            <w:vAlign w:val="bottom"/>
          </w:tcPr>
          <w:p>
            <w:pPr>
              <w:spacing w:after="0"/>
              <w:rPr>
                <w:sz w:val="15"/>
                <w:szCs w:val="15"/>
                <w:color w:val="auto"/>
              </w:rPr>
            </w:pPr>
          </w:p>
        </w:tc>
        <w:tc>
          <w:tcPr>
            <w:tcW w:w="110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23.00</w:t>
            </w:r>
          </w:p>
        </w:tc>
        <w:tc>
          <w:tcPr>
            <w:tcW w:w="320" w:type="dxa"/>
            <w:vAlign w:val="bottom"/>
          </w:tcPr>
          <w:p>
            <w:pPr>
              <w:spacing w:after="0"/>
              <w:rPr>
                <w:sz w:val="15"/>
                <w:szCs w:val="15"/>
                <w:color w:val="auto"/>
              </w:rPr>
            </w:pPr>
          </w:p>
        </w:tc>
      </w:tr>
      <w:tr>
        <w:trPr>
          <w:trHeight w:val="17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Per share market value at end of period</w:t>
            </w:r>
          </w:p>
        </w:tc>
        <w:tc>
          <w:tcPr>
            <w:tcW w:w="1120" w:type="dxa"/>
            <w:vAlign w:val="bottom"/>
            <w:shd w:val="clear" w:color="auto" w:fill="CFF0FC"/>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19.62</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19.99</w:t>
            </w:r>
          </w:p>
        </w:tc>
        <w:tc>
          <w:tcPr>
            <w:tcW w:w="320" w:type="dxa"/>
            <w:vAlign w:val="bottom"/>
            <w:shd w:val="clear" w:color="auto" w:fill="CFF0FC"/>
          </w:tcPr>
          <w:p>
            <w:pPr>
              <w:spacing w:after="0"/>
              <w:rPr>
                <w:sz w:val="15"/>
                <w:szCs w:val="15"/>
                <w:color w:val="auto"/>
              </w:rPr>
            </w:pPr>
          </w:p>
        </w:tc>
      </w:tr>
      <w:tr>
        <w:trPr>
          <w:trHeight w:val="175"/>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11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9,260,495</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9,537,236</w:t>
            </w:r>
          </w:p>
        </w:tc>
        <w:tc>
          <w:tcPr>
            <w:tcW w:w="320" w:type="dxa"/>
            <w:vAlign w:val="bottom"/>
          </w:tcPr>
          <w:p>
            <w:pPr>
              <w:spacing w:after="0"/>
              <w:rPr>
                <w:sz w:val="15"/>
                <w:szCs w:val="15"/>
                <w:color w:val="auto"/>
              </w:rPr>
            </w:pPr>
          </w:p>
        </w:tc>
      </w:tr>
      <w:tr>
        <w:trPr>
          <w:trHeight w:val="17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1120" w:type="dxa"/>
            <w:vAlign w:val="bottom"/>
            <w:shd w:val="clear" w:color="auto" w:fill="CFF0FC"/>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196,429</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215,013</w:t>
            </w:r>
          </w:p>
        </w:tc>
        <w:tc>
          <w:tcPr>
            <w:tcW w:w="320" w:type="dxa"/>
            <w:vAlign w:val="bottom"/>
            <w:shd w:val="clear" w:color="auto" w:fill="CFF0FC"/>
          </w:tcPr>
          <w:p>
            <w:pPr>
              <w:spacing w:after="0"/>
              <w:rPr>
                <w:sz w:val="15"/>
                <w:szCs w:val="15"/>
                <w:color w:val="auto"/>
              </w:rPr>
            </w:pPr>
          </w:p>
        </w:tc>
      </w:tr>
      <w:tr>
        <w:trPr>
          <w:trHeight w:val="175"/>
        </w:trPr>
        <w:tc>
          <w:tcPr>
            <w:tcW w:w="69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Portfolio turnover rate</w:t>
            </w:r>
            <w:r>
              <w:rPr>
                <w:rFonts w:ascii="Times New Roman" w:cs="Times New Roman" w:eastAsia="Times New Roman" w:hAnsi="Times New Roman"/>
                <w:sz w:val="19"/>
                <w:szCs w:val="19"/>
                <w:color w:val="auto"/>
                <w:vertAlign w:val="superscript"/>
              </w:rPr>
              <w:t>(5)</w:t>
            </w:r>
          </w:p>
        </w:tc>
        <w:tc>
          <w:tcPr>
            <w:tcW w:w="1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11.08 %</w:t>
            </w:r>
          </w:p>
        </w:tc>
        <w:tc>
          <w:tcPr>
            <w:tcW w:w="110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14.09 %</w:t>
            </w:r>
          </w:p>
        </w:tc>
      </w:tr>
      <w:tr>
        <w:trPr>
          <w:trHeight w:val="17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 coverage ratio</w:t>
            </w:r>
          </w:p>
        </w:tc>
        <w:tc>
          <w:tcPr>
            <w:tcW w:w="1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168.91 %</w:t>
            </w:r>
          </w:p>
        </w:tc>
        <w:tc>
          <w:tcPr>
            <w:tcW w:w="1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163.23 %</w:t>
            </w:r>
          </w:p>
        </w:tc>
      </w:tr>
      <w:tr>
        <w:trPr>
          <w:trHeight w:val="176"/>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Ratio of net investment income to average net assets (annualized)</w:t>
            </w:r>
          </w:p>
        </w:tc>
        <w:tc>
          <w:tcPr>
            <w:tcW w:w="1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12.35 %</w:t>
            </w:r>
          </w:p>
        </w:tc>
        <w:tc>
          <w:tcPr>
            <w:tcW w:w="110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14.83 %</w:t>
            </w:r>
          </w:p>
        </w:tc>
      </w:tr>
      <w:tr>
        <w:trPr>
          <w:trHeight w:val="175"/>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Ratio of total expenses to average net assets (annualized)</w:t>
            </w:r>
          </w:p>
        </w:tc>
        <w:tc>
          <w:tcPr>
            <w:tcW w:w="1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19.60 %</w:t>
            </w:r>
          </w:p>
        </w:tc>
        <w:tc>
          <w:tcPr>
            <w:tcW w:w="1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21.20 %</w:t>
            </w:r>
          </w:p>
        </w:tc>
      </w:tr>
      <w:tr>
        <w:trPr>
          <w:trHeight w:val="176"/>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Ratio of interest expense to average net assets (annualized)</w:t>
            </w:r>
          </w:p>
        </w:tc>
        <w:tc>
          <w:tcPr>
            <w:tcW w:w="1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10.78 %</w:t>
            </w:r>
          </w:p>
        </w:tc>
        <w:tc>
          <w:tcPr>
            <w:tcW w:w="110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11.46 %</w:t>
            </w:r>
          </w:p>
        </w:tc>
      </w:tr>
      <w:tr>
        <w:trPr>
          <w:trHeight w:val="175"/>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Ratio of non-interest expenses to average net assets (annualized)</w:t>
            </w:r>
          </w:p>
        </w:tc>
        <w:tc>
          <w:tcPr>
            <w:tcW w:w="1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8.82 %</w:t>
            </w:r>
          </w:p>
        </w:tc>
        <w:tc>
          <w:tcPr>
            <w:tcW w:w="1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9.74 %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-2047875</wp:posOffset>
            </wp:positionV>
            <wp:extent cx="1543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-2047875</wp:posOffset>
            </wp:positionV>
            <wp:extent cx="1974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-1593850</wp:posOffset>
            </wp:positionV>
            <wp:extent cx="1543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-1593850</wp:posOffset>
            </wp:positionV>
            <wp:extent cx="1974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14230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8"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weighted average number of common shares outstanding-basic for the period.</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net asset value return (not annualized) equals the change in the net asset value per share over the period plus distributions (including any return of capital), divided by the beginning net asset value per share.</w:t>
      </w:r>
    </w:p>
    <w:p>
      <w:pPr>
        <w:spacing w:after="0" w:line="105"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market return (not annualized) equals the change in market price, per share during the period plus distributions, divided by the beginning market price per share.</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Totals may not sum due to rounding.</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Portfolio turnover rate equals the lesser of year-to-date sales and paydowns over the average of the invested assets at fair value.</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accretive (dilutive) effects of the share issuance (at net asset value or in accordance with the DRIP).</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 to unaudited consolidated financial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7" w:lineRule="exact"/>
        <w:rPr>
          <w:sz w:val="20"/>
          <w:szCs w:val="20"/>
          <w:color w:val="auto"/>
        </w:rPr>
      </w:pPr>
    </w:p>
    <w:p>
      <w:pPr>
        <w:ind w:left="300" w:hanging="292"/>
        <w:spacing w:after="0"/>
        <w:tabs>
          <w:tab w:leader="none" w:pos="30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ORGANIZATION</w:t>
      </w:r>
    </w:p>
    <w:p>
      <w:pPr>
        <w:spacing w:after="0" w:line="98" w:lineRule="exact"/>
        <w:rPr>
          <w:sz w:val="20"/>
          <w:szCs w:val="20"/>
          <w:color w:val="auto"/>
        </w:rPr>
      </w:pPr>
    </w:p>
    <w:p>
      <w:pPr>
        <w:ind w:right="40" w:firstLine="374"/>
        <w:spacing w:after="0" w:line="236" w:lineRule="auto"/>
        <w:rPr>
          <w:sz w:val="20"/>
          <w:szCs w:val="20"/>
          <w:color w:val="auto"/>
        </w:rPr>
      </w:pPr>
      <w:r>
        <w:rPr>
          <w:rFonts w:ascii="Times New Roman" w:cs="Times New Roman" w:eastAsia="Times New Roman" w:hAnsi="Times New Roman"/>
          <w:sz w:val="14"/>
          <w:szCs w:val="14"/>
          <w:color w:val="auto"/>
        </w:rPr>
        <w:t>Portman Ridge Finance Corporation (“Portman Ridge” or the “Company”), formerly known as KCAP Financial, Inc., is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w:t>
      </w:r>
    </w:p>
    <w:p>
      <w:pPr>
        <w:spacing w:after="0" w:line="69" w:lineRule="exact"/>
        <w:rPr>
          <w:sz w:val="20"/>
          <w:szCs w:val="20"/>
          <w:color w:val="auto"/>
        </w:rPr>
      </w:pPr>
    </w:p>
    <w:p>
      <w:pPr>
        <w:ind w:right="20" w:firstLine="374"/>
        <w:spacing w:after="0" w:line="236" w:lineRule="auto"/>
        <w:rPr>
          <w:sz w:val="20"/>
          <w:szCs w:val="20"/>
          <w:color w:val="auto"/>
        </w:rPr>
      </w:pPr>
      <w:r>
        <w:rPr>
          <w:rFonts w:ascii="Times New Roman" w:cs="Times New Roman" w:eastAsia="Times New Roman" w:hAnsi="Times New Roman"/>
          <w:sz w:val="14"/>
          <w:szCs w:val="14"/>
          <w:color w:val="auto"/>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The Company also invests in debt and subordinated securities issued by collateralized loan obligation funds (“CLO Fund Securities”). In addition, from time to time the Company may invest in the equity securities of privately held middle market companies and may also receive warrants or options to purchase common stock in connection with its debt investments.</w:t>
      </w:r>
    </w:p>
    <w:p>
      <w:pPr>
        <w:spacing w:after="0" w:line="69" w:lineRule="exact"/>
        <w:rPr>
          <w:sz w:val="20"/>
          <w:szCs w:val="20"/>
          <w:color w:val="auto"/>
        </w:rPr>
      </w:pPr>
    </w:p>
    <w:p>
      <w:pPr>
        <w:ind w:right="340" w:firstLine="374"/>
        <w:spacing w:after="0" w:line="241" w:lineRule="auto"/>
        <w:rPr>
          <w:sz w:val="20"/>
          <w:szCs w:val="20"/>
          <w:color w:val="auto"/>
        </w:rPr>
      </w:pPr>
      <w:r>
        <w:rPr>
          <w:rFonts w:ascii="Times New Roman" w:cs="Times New Roman" w:eastAsia="Times New Roman" w:hAnsi="Times New Roman"/>
          <w:sz w:val="14"/>
          <w:szCs w:val="14"/>
          <w:color w:val="auto"/>
        </w:rPr>
        <w:t>The Company has elected to be treated and intends to continue to qualify as a regulated investment company (“RIC”) under Subchapter M of the Internal Revenue Code of 1986, as amended (the “Code”). To qualify as a RIC, the Company must, among other things, meet certain source-of-income, asset diversification and annual distribution requirements. As a RIC, the Company generally will not have to pay corporate-level U.S. federal income taxes on any income that it distributes in a timely manner to its stockholders.</w:t>
      </w:r>
    </w:p>
    <w:p>
      <w:pPr>
        <w:spacing w:after="0" w:line="69" w:lineRule="exact"/>
        <w:rPr>
          <w:sz w:val="20"/>
          <w:szCs w:val="20"/>
          <w:color w:val="auto"/>
        </w:rPr>
      </w:pPr>
    </w:p>
    <w:p>
      <w:pPr>
        <w:ind w:right="60" w:firstLine="374"/>
        <w:spacing w:after="0" w:line="241" w:lineRule="auto"/>
        <w:rPr>
          <w:sz w:val="20"/>
          <w:szCs w:val="20"/>
          <w:color w:val="auto"/>
        </w:rPr>
      </w:pPr>
      <w:r>
        <w:rPr>
          <w:rFonts w:ascii="Times New Roman" w:cs="Times New Roman" w:eastAsia="Times New Roman" w:hAnsi="Times New Roman"/>
          <w:sz w:val="14"/>
          <w:szCs w:val="14"/>
          <w:color w:val="auto"/>
        </w:rPr>
        <w:t>On March 29, 2018, the Company’s Board of Directors (the “Board”), including a “required majority” (as such term is defined in Section 57(o) of the 1940 Act) of the Board, approved the modified asset coverage requirements set forth in Section 61(a)(2) of the 1940 Act, as amended by the Small Business Credit Availability Act (“SBCA”). As a result, the Company’s asset coverage requirement for senior securities changed from 200% to 150%, effective as of March 29, 2019.</w:t>
      </w:r>
    </w:p>
    <w:p>
      <w:pPr>
        <w:spacing w:after="0" w:line="69" w:lineRule="exact"/>
        <w:rPr>
          <w:sz w:val="20"/>
          <w:szCs w:val="20"/>
          <w:color w:val="auto"/>
        </w:rPr>
      </w:pPr>
    </w:p>
    <w:p>
      <w:pPr>
        <w:ind w:right="240" w:firstLine="374"/>
        <w:spacing w:after="0" w:line="261" w:lineRule="auto"/>
        <w:rPr>
          <w:sz w:val="20"/>
          <w:szCs w:val="20"/>
          <w:color w:val="auto"/>
        </w:rPr>
      </w:pPr>
      <w:r>
        <w:rPr>
          <w:rFonts w:ascii="Times New Roman" w:cs="Times New Roman" w:eastAsia="Times New Roman" w:hAnsi="Times New Roman"/>
          <w:sz w:val="14"/>
          <w:szCs w:val="14"/>
          <w:color w:val="auto"/>
        </w:rPr>
        <w:t>During the third quarter of 2017, the Company formed a joint venture with Freedom 3 Opportunities LLC (“Freedom 3 Opportunities”), an affiliate of Freedom 3 Capital LLC, to create KCAP Freedom 3 LLC (the “F3C Joint Venture”). The F3C Joint Venture may originate loans from time to time and sell them to the fund capitalized by the F3C Joint Venture.</w:t>
      </w:r>
    </w:p>
    <w:p>
      <w:pPr>
        <w:spacing w:after="0" w:line="55" w:lineRule="exact"/>
        <w:rPr>
          <w:sz w:val="20"/>
          <w:szCs w:val="20"/>
          <w:color w:val="auto"/>
        </w:rPr>
      </w:pPr>
    </w:p>
    <w:p>
      <w:pPr>
        <w:ind w:right="100" w:firstLine="374"/>
        <w:spacing w:after="0" w:line="229" w:lineRule="auto"/>
        <w:rPr>
          <w:sz w:val="20"/>
          <w:szCs w:val="20"/>
          <w:color w:val="auto"/>
        </w:rPr>
      </w:pPr>
      <w:r>
        <w:rPr>
          <w:rFonts w:ascii="Times New Roman" w:cs="Times New Roman" w:eastAsia="Times New Roman" w:hAnsi="Times New Roman"/>
          <w:sz w:val="14"/>
          <w:szCs w:val="14"/>
          <w:color w:val="auto"/>
        </w:rPr>
        <w:t>On November 8, 2018, the Company entered into an agreement with LibreMax Intermediate Holdings, LP (“LibreMax”) under which Commodore Holdings, LLC (“Commodore”), a wholly-owned subsidiary of the Company, sold the Company’s wholly-owned asset manager subsidiaries Katonah Debt Advisors, LLC (“Katonah Debt Advisors”), Trimaran Advisors, L.L.C. (“Trimaran Advisors”), and Trimaran Advisors Management, L.L.C. (“Trimaran Advisors Management” and, together with Katonah Debt Advisors and Trimaran Advisors, the “Disposed Manager Affiliates”), for a cash purchase price of approximately $37.9 million (the “LibreMax Transaction”). The LibreMax Transaction closed on December 31, 2018. As of June 30, 2024, the Company’s remaining wholly-owned asset management subsidiaries (the “Asset Manager Affiliates”) were comprised of Commodore, Katonah Management Holdings, LLC, Katonah X Management LLC, Katonah 2007-1 Management, LLC and KCAP Management, LLC. Prior to their sale in the LibreMax Transaction, the Disposed Manager Affiliates represented substantially all of the Company’s investment in the Asset Manager Affiliates.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Externalization Agreement</w:t>
      </w:r>
    </w:p>
    <w:p>
      <w:pPr>
        <w:spacing w:after="0" w:line="98" w:lineRule="exact"/>
        <w:rPr>
          <w:sz w:val="20"/>
          <w:szCs w:val="20"/>
          <w:color w:val="auto"/>
        </w:rPr>
      </w:pPr>
    </w:p>
    <w:p>
      <w:pPr>
        <w:ind w:right="140" w:firstLine="374"/>
        <w:spacing w:after="0" w:line="233" w:lineRule="auto"/>
        <w:rPr>
          <w:sz w:val="20"/>
          <w:szCs w:val="20"/>
          <w:color w:val="auto"/>
        </w:rPr>
      </w:pPr>
      <w:r>
        <w:rPr>
          <w:rFonts w:ascii="Times New Roman" w:cs="Times New Roman" w:eastAsia="Times New Roman" w:hAnsi="Times New Roman"/>
          <w:sz w:val="14"/>
          <w:szCs w:val="14"/>
          <w:color w:val="auto"/>
        </w:rPr>
        <w:t>On December 14, 2018, the Company entered into a stock purchase and transaction agreement (the “Externalization Agreement”) with BC Partners Advisors L.P. (“BCP”), an affiliate of BC Partners LLP, (“BC Partners”), through which Sierra Crest Investment Management LLC (the “Adviser”), an affiliate of BC Partners, became the Company’s investment adviser pursuant to an investment advisory Agreement (the “Advisory Agreement”) with the Company. At a special meeting of the Company’s stockholders (the “Special Meeting”) held on February 19, 2019, the Company’s stockholders approved the Advisory Agreement. The transactions contemplated by the Externalization Agreement closed on April 1, 2019 (the “Closing”), and the Company commenced operations as an externally managed BDC managed by the Adviser on that date.</w:t>
      </w:r>
    </w:p>
    <w:p>
      <w:pPr>
        <w:spacing w:after="0" w:line="6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4"/>
          <w:szCs w:val="14"/>
          <w:color w:val="auto"/>
        </w:rPr>
        <w:t>On the date of the Closing, the Company changed its name from KCAP Financial, Inc. to Portman Ridge Finance Corporation and on April 2, 2019, began trading on the NASDAQ Global Select Market under the symbol “PTMN.”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the Adviser</w:t>
      </w:r>
    </w:p>
    <w:p>
      <w:pPr>
        <w:spacing w:after="0" w:line="98" w:lineRule="exact"/>
        <w:rPr>
          <w:sz w:val="20"/>
          <w:szCs w:val="20"/>
          <w:color w:val="auto"/>
        </w:rPr>
      </w:pPr>
    </w:p>
    <w:p>
      <w:pPr>
        <w:ind w:right="500" w:firstLine="374"/>
        <w:spacing w:after="0" w:line="241" w:lineRule="auto"/>
        <w:rPr>
          <w:sz w:val="20"/>
          <w:szCs w:val="20"/>
          <w:color w:val="auto"/>
        </w:rPr>
      </w:pPr>
      <w:r>
        <w:rPr>
          <w:rFonts w:ascii="Times New Roman" w:cs="Times New Roman" w:eastAsia="Times New Roman" w:hAnsi="Times New Roman"/>
          <w:sz w:val="14"/>
          <w:szCs w:val="14"/>
          <w:color w:val="auto"/>
        </w:rPr>
        <w:t>The Adviser is an affiliate of BC Partners. Subject to the overall supervision of the Board, the Adviser is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spacing w:after="0" w:line="69" w:lineRule="exact"/>
        <w:rPr>
          <w:sz w:val="20"/>
          <w:szCs w:val="20"/>
          <w:color w:val="auto"/>
        </w:rPr>
      </w:pPr>
    </w:p>
    <w:p>
      <w:pPr>
        <w:ind w:right="60" w:firstLine="374"/>
        <w:spacing w:after="0" w:line="233" w:lineRule="auto"/>
        <w:rPr>
          <w:sz w:val="20"/>
          <w:szCs w:val="20"/>
          <w:color w:val="auto"/>
        </w:rPr>
      </w:pPr>
      <w:r>
        <w:rPr>
          <w:rFonts w:ascii="Times New Roman" w:cs="Times New Roman" w:eastAsia="Times New Roman" w:hAnsi="Times New Roman"/>
          <w:sz w:val="14"/>
          <w:szCs w:val="14"/>
          <w:color w:val="auto"/>
        </w:rPr>
        <w:t>The Adviser seeks to invest on behalf of the Company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fourth quarter of 2020, LibreMax Intermediate Holdings, LP (“LibreMax”) sold its minority stake in the Adviser to a wholly-owned subsidiary of Mount Logan Capital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(“Mount Logan”). An affiliate of BC Partners serves as administrator to Mount Logan.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GARS Transaction</w:t>
      </w:r>
    </w:p>
    <w:p>
      <w:pPr>
        <w:spacing w:after="0" w:line="98" w:lineRule="exact"/>
        <w:rPr>
          <w:sz w:val="20"/>
          <w:szCs w:val="20"/>
          <w:color w:val="auto"/>
        </w:rPr>
      </w:pPr>
    </w:p>
    <w:p>
      <w:pPr>
        <w:ind w:firstLine="374"/>
        <w:spacing w:after="0" w:line="229" w:lineRule="auto"/>
        <w:rPr>
          <w:sz w:val="20"/>
          <w:szCs w:val="20"/>
          <w:color w:val="auto"/>
        </w:rPr>
      </w:pPr>
      <w:r>
        <w:rPr>
          <w:rFonts w:ascii="Times New Roman" w:cs="Times New Roman" w:eastAsia="Times New Roman" w:hAnsi="Times New Roman"/>
          <w:sz w:val="14"/>
          <w:szCs w:val="14"/>
          <w:color w:val="auto"/>
        </w:rPr>
        <w:t>On October 28, 2020, the Company completed its acquisition of Garrison Capital Inc., a publicly traded BDC (“GARS”, and such transaction, the “GARS Acquisition”). To effect the acquisition, a wholly owned merger subsidiary of the Company merged with and into GARS, with GARS surviving the merger as the Company’s wholly owned subsidiary. Immediately thereafter and as a single integrated transaction, GARS consummated a second merger, whereby GARS merged with and into the Company, with the Company surviving the merger. Under the terms of the merger agreement for the GARS Acquisition, dated June 24, 2020 (the “GARS Merger Agreement”), each share of common stock, par value $0.001 per share, of GARS (the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HCAP Acquisition and Assumption and Redemption of HCAP Notes</w:t>
      </w:r>
    </w:p>
    <w:p>
      <w:pPr>
        <w:spacing w:after="0" w:line="98" w:lineRule="exact"/>
        <w:rPr>
          <w:sz w:val="20"/>
          <w:szCs w:val="20"/>
          <w:color w:val="auto"/>
        </w:rPr>
      </w:pPr>
    </w:p>
    <w:p>
      <w:pPr>
        <w:ind w:right="40" w:firstLine="374"/>
        <w:spacing w:after="0" w:line="236" w:lineRule="auto"/>
        <w:rPr>
          <w:sz w:val="20"/>
          <w:szCs w:val="20"/>
          <w:color w:val="auto"/>
        </w:rPr>
      </w:pPr>
      <w:r>
        <w:rPr>
          <w:rFonts w:ascii="Times New Roman" w:cs="Times New Roman" w:eastAsia="Times New Roman" w:hAnsi="Times New Roman"/>
          <w:sz w:val="14"/>
          <w:szCs w:val="14"/>
          <w:color w:val="auto"/>
        </w:rPr>
        <w:t>On June 9, 2021, the Company completed its acquisition of Harvest Capital Credit Corporation, a publicly traded BDC (“HCAP”, and such transaction, the “HCAP Acquisition”). To effect the acquisition, the Company’s wholly owned merger subsidiary (“Acquisition Sub”) merged with HCAP, with HCAP surviving the merger as the Company’s wholly owned subsidiary. Immediately thereafter and as a single integrated transaction, HCAP consummated a second merger, whereby HCAP merged with and into the Company, with the Company surviving the merger. As a result of, and as of the effective time of, the second merger, HCAP’s separate corporate existence ceased.</w:t>
      </w:r>
    </w:p>
    <w:p>
      <w:pPr>
        <w:spacing w:after="0" w:line="69" w:lineRule="exact"/>
        <w:rPr>
          <w:sz w:val="20"/>
          <w:szCs w:val="20"/>
          <w:color w:val="auto"/>
        </w:rPr>
      </w:pPr>
    </w:p>
    <w:p>
      <w:pPr>
        <w:ind w:right="60" w:firstLine="374"/>
        <w:spacing w:after="0" w:line="233" w:lineRule="auto"/>
        <w:rPr>
          <w:sz w:val="20"/>
          <w:szCs w:val="20"/>
          <w:color w:val="auto"/>
        </w:rPr>
      </w:pPr>
      <w:r>
        <w:rPr>
          <w:rFonts w:ascii="Times New Roman" w:cs="Times New Roman" w:eastAsia="Times New Roman" w:hAnsi="Times New Roman"/>
          <w:sz w:val="14"/>
          <w:szCs w:val="14"/>
          <w:color w:val="auto"/>
        </w:rPr>
        <w:t>Under the terms of the merger agreement for the HCAP Acquisition, dated December 23, 2020 (the “HCAP Merger Agreement”), HCAP stockholders as of immediately prior to the effective time of the first merger (other than shares held by a subsidiary of HCAP or held, directly or indirectly, by the Company or Acquisition Sub, and all treasury shares (collectively, “Cancelled Shares”)) received a combination of (i) $18.54 million in cash paid by the Company, (ii) 15,252,453 validly issued, fully paid and non-assessable shares of the Company’s common stock, par value $0.01 per share, and (iii) an additional cash payment from the Adviser of $2.15 million in the aggregate. Shares of common stock issued and market price have not been adjusted to reflect the Reverse Stock Split.</w:t>
      </w:r>
    </w:p>
    <w:p>
      <w:pPr>
        <w:spacing w:after="0" w:line="69" w:lineRule="exact"/>
        <w:rPr>
          <w:sz w:val="20"/>
          <w:szCs w:val="20"/>
          <w:color w:val="auto"/>
        </w:rPr>
      </w:pPr>
    </w:p>
    <w:p>
      <w:pPr>
        <w:ind w:right="100" w:firstLine="374"/>
        <w:spacing w:after="0" w:line="231" w:lineRule="auto"/>
        <w:rPr>
          <w:sz w:val="20"/>
          <w:szCs w:val="20"/>
          <w:color w:val="auto"/>
        </w:rPr>
      </w:pPr>
      <w:r>
        <w:rPr>
          <w:rFonts w:ascii="Times New Roman" w:cs="Times New Roman" w:eastAsia="Times New Roman" w:hAnsi="Times New Roman"/>
          <w:sz w:val="14"/>
          <w:szCs w:val="14"/>
          <w:color w:val="auto"/>
        </w:rPr>
        <w:t>With respect to the merger consideration from the Company, HCAP stockholders as of immediately prior to the effective time of the first merger (other than Cancelled Shares) were entitled, with respect to all or any portion of the shares of HCAP common stock they held as of the effective time of the first merger, to elect to receive the merger consideration in the form of cash (an “Election”) or in the form of the Company's common stock, subject to certain conditions and limitations in the merger agreement. Any HCAP stockholder who did not validly make an Election was deemed to have elected to receive shares of the Company’s common stock with respect to the merger consideration as payment for their shares of HCAP common stock. Each share of HCAP common stock (other than Cancelled Shares) with respect to which an Election was made was treated as an “Electing Share” and each share of HCAP Common Stock (other than a Cancelled Share) with respect to which an Election was not made or that was transferred after the election deadline on June 2, 2021 was treated as a “Non-Electing Share.”</w:t>
      </w:r>
    </w:p>
    <w:p>
      <w:pPr>
        <w:spacing w:after="0" w:line="69" w:lineRule="exact"/>
        <w:rPr>
          <w:sz w:val="20"/>
          <w:szCs w:val="20"/>
          <w:color w:val="auto"/>
        </w:rPr>
      </w:pPr>
    </w:p>
    <w:p>
      <w:pPr>
        <w:ind w:right="80" w:firstLine="374"/>
        <w:spacing w:after="0" w:line="233" w:lineRule="auto"/>
        <w:rPr>
          <w:sz w:val="20"/>
          <w:szCs w:val="20"/>
          <w:color w:val="auto"/>
        </w:rPr>
      </w:pPr>
      <w:r>
        <w:rPr>
          <w:rFonts w:ascii="Times New Roman" w:cs="Times New Roman" w:eastAsia="Times New Roman" w:hAnsi="Times New Roman"/>
          <w:sz w:val="14"/>
          <w:szCs w:val="14"/>
          <w:color w:val="auto"/>
        </w:rPr>
        <w:t>Pursuant to the conditions of and adjustment mechanisms in the HCAP Merger Agreement, 475,806 Electing Shares were converted to Non-Electing Shares for purposes of calculating the total mix of consideration to be paid to each Electing Share in order to ensure that the value of the aggregate cash consideration paid to holders of the Electing Shares equaled the aggregate cash consideration that HCAP received from the Company under the terms of the HCAP Merger Agreement. Accordingly, as a result of the Elections received from HCAP stockholders and any resulting adjustment under the terms of the HCAP Merger Agreement, each Electing Share received, in aggregate, approximately $7.43 in cash and 0.74 shares of the Company's common stock, while each Non-Electing Share received, in aggregate, approximately 3.86 shares of the Company's common stock.</w:t>
      </w:r>
    </w:p>
    <w:p>
      <w:pPr>
        <w:spacing w:after="0" w:line="69" w:lineRule="exact"/>
        <w:rPr>
          <w:sz w:val="20"/>
          <w:szCs w:val="20"/>
          <w:color w:val="auto"/>
        </w:rPr>
      </w:pPr>
    </w:p>
    <w:p>
      <w:pPr>
        <w:ind w:right="40" w:firstLine="374"/>
        <w:spacing w:after="0" w:line="241" w:lineRule="auto"/>
        <w:rPr>
          <w:sz w:val="20"/>
          <w:szCs w:val="20"/>
          <w:color w:val="auto"/>
        </w:rPr>
      </w:pPr>
      <w:r>
        <w:rPr>
          <w:rFonts w:ascii="Times New Roman" w:cs="Times New Roman" w:eastAsia="Times New Roman" w:hAnsi="Times New Roman"/>
          <w:sz w:val="14"/>
          <w:szCs w:val="14"/>
          <w:color w:val="auto"/>
        </w:rPr>
        <w:t>On June 9, 2021, the Company entered into a third supplemental indenture (the “HCAP Third Supplemental Indenture”) by and between the Company and U.S. Bank National Association, as trustee (the “Trustee”), effective as of the closing of the HCAP Acquisition. The HCAP Third Supplemental Indenture relates to the Company’s assumption of $28.75 million in aggregate principal amount of HCAP’s 6.125% Notes due September 15, 2022 (the “HCAP Notes”).</w:t>
      </w:r>
    </w:p>
    <w:p>
      <w:pPr>
        <w:spacing w:after="0" w:line="69" w:lineRule="exact"/>
        <w:rPr>
          <w:sz w:val="20"/>
          <w:szCs w:val="20"/>
          <w:color w:val="auto"/>
        </w:rPr>
      </w:pPr>
    </w:p>
    <w:p>
      <w:pPr>
        <w:ind w:right="200" w:firstLine="374"/>
        <w:spacing w:after="0" w:line="236" w:lineRule="auto"/>
        <w:rPr>
          <w:sz w:val="20"/>
          <w:szCs w:val="20"/>
          <w:color w:val="auto"/>
        </w:rPr>
      </w:pPr>
      <w:r>
        <w:rPr>
          <w:rFonts w:ascii="Times New Roman" w:cs="Times New Roman" w:eastAsia="Times New Roman" w:hAnsi="Times New Roman"/>
          <w:sz w:val="14"/>
          <w:szCs w:val="14"/>
          <w:color w:val="auto"/>
        </w:rPr>
        <w:t>Pursuant to the HCAP Third Supplemental Indenture, the Company expressly assumed the due and punctual payment of the principal of (and premium, if any) and interest, if any, on the HCAP Notes and the performance of HCAP’s covenants under the base indenture, dated as of January 27, 2015, by and between HCAP and the Trustee, as supplemented by the second supplemental indenture, dated as of August 24, 2017, by and between HCAP and the Trustee. No change of control offer was required to be made in respect of the HCAP Notes in connection with the consummation of the HCAP Acquisition.</w:t>
      </w:r>
    </w:p>
    <w:p>
      <w:pPr>
        <w:spacing w:after="0" w:line="69" w:lineRule="exact"/>
        <w:rPr>
          <w:sz w:val="20"/>
          <w:szCs w:val="20"/>
          <w:color w:val="auto"/>
        </w:rPr>
      </w:pPr>
    </w:p>
    <w:p>
      <w:pPr>
        <w:ind w:right="260" w:firstLine="374"/>
        <w:spacing w:after="0" w:line="261" w:lineRule="auto"/>
        <w:rPr>
          <w:sz w:val="20"/>
          <w:szCs w:val="20"/>
          <w:color w:val="auto"/>
        </w:rPr>
      </w:pPr>
      <w:r>
        <w:rPr>
          <w:rFonts w:ascii="Times New Roman" w:cs="Times New Roman" w:eastAsia="Times New Roman" w:hAnsi="Times New Roman"/>
          <w:sz w:val="14"/>
          <w:szCs w:val="14"/>
          <w:color w:val="auto"/>
        </w:rPr>
        <w:t>The HCAP Notes could be redeemed by the Company at any time at par value plus accrued and unpaid interest. On July 23, 2021, the Company redeemed the entire notional amount of $28.75 million of the HCAP Notes.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Reverse Stock Split</w:t>
      </w:r>
    </w:p>
    <w:p>
      <w:pPr>
        <w:spacing w:after="0" w:line="98" w:lineRule="exact"/>
        <w:rPr>
          <w:sz w:val="20"/>
          <w:szCs w:val="20"/>
          <w:color w:val="auto"/>
        </w:rPr>
      </w:pPr>
    </w:p>
    <w:p>
      <w:pPr>
        <w:ind w:right="160" w:firstLine="374"/>
        <w:spacing w:after="0" w:line="241" w:lineRule="auto"/>
        <w:rPr>
          <w:sz w:val="20"/>
          <w:szCs w:val="20"/>
          <w:color w:val="auto"/>
        </w:rPr>
      </w:pPr>
      <w:r>
        <w:rPr>
          <w:rFonts w:ascii="Times New Roman" w:cs="Times New Roman" w:eastAsia="Times New Roman" w:hAnsi="Times New Roman"/>
          <w:sz w:val="14"/>
          <w:szCs w:val="14"/>
          <w:color w:val="auto"/>
        </w:rPr>
        <w:t>On August 23, 2021, the Company filed a Certificate of Amendment (the “Reverse Stock Split Certificate of Amendment”) to the Company’s Certificate of Incorporation with the Secretary of State of the State of Delaware to effect a 1-for-10 reverse stock split of the issued and outstanding (or held in treasury) shares of the Company’s common stock, par value $0.01 per share (the “Reverse Stock Split”). The Reverse Stock Split became effective as of 12:01 a.m. (Eastern Time) on August 26, 2021.</w:t>
      </w:r>
    </w:p>
    <w:p>
      <w:pPr>
        <w:spacing w:after="0" w:line="69"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14"/>
          <w:szCs w:val="14"/>
          <w:color w:val="auto"/>
        </w:rPr>
        <w:t>As a result of the Reverse Stock Split, every ten shares of issued and outstanding common stock were automatically combined into one issued and outstanding share of common stock, without any change in the par value per share. No fractional shares were issued as a result of the Reverse Stock Split. Instead, any stockholder who would have been entitled to receive a fractional share as a result of the Reverse Stock Split received cash payments in lieu of such fractional shares (without interest and subject to backup withholding and applicable withholding taxes).</w:t>
      </w:r>
    </w:p>
    <w:p>
      <w:pPr>
        <w:spacing w:after="0" w:line="69" w:lineRule="exact"/>
        <w:rPr>
          <w:sz w:val="20"/>
          <w:szCs w:val="20"/>
          <w:color w:val="auto"/>
        </w:rPr>
      </w:pPr>
    </w:p>
    <w:p>
      <w:pPr>
        <w:ind w:right="140" w:firstLine="374"/>
        <w:spacing w:after="0" w:line="236" w:lineRule="auto"/>
        <w:rPr>
          <w:sz w:val="20"/>
          <w:szCs w:val="20"/>
          <w:color w:val="auto"/>
        </w:rPr>
      </w:pPr>
      <w:r>
        <w:rPr>
          <w:rFonts w:ascii="Times New Roman" w:cs="Times New Roman" w:eastAsia="Times New Roman" w:hAnsi="Times New Roman"/>
          <w:sz w:val="14"/>
          <w:szCs w:val="14"/>
          <w:color w:val="auto"/>
        </w:rPr>
        <w:t>On August 23, 2021, the Company filed a Certificate of Amendment to decrease the number of authorized shares of common stock by one half of the reverse stock split ratio (the “Decrease Shares Certificate of Amendment”) with the Secretary of State of the State of Delaware. The Decrease Shares Certificate of Amendment became effective as of 12:05 a.m. (Eastern Time) on August 26, 2021. Following the effectiveness of the Decrease Shares Certificate of Amendment, the number of authorized shares of common stock under the Company’s Certificate of Incorporation was reduced from 100 million shares to 20 million shares.</w:t>
      </w:r>
    </w:p>
    <w:p>
      <w:pPr>
        <w:spacing w:after="0" w:line="6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4"/>
          <w:szCs w:val="14"/>
          <w:color w:val="auto"/>
        </w:rPr>
        <w:t>The Reverse Stock Split Certificate of Amendment and the Decrease Shares Certificate of Amendment were approved by the Company’s stockholders at its annual meeting held on June 7, 2021 and were approved by the Board on August 4, 2021.</w:t>
      </w:r>
    </w:p>
    <w:p>
      <w:pPr>
        <w:spacing w:after="0" w:line="161" w:lineRule="exact"/>
        <w:rPr>
          <w:sz w:val="20"/>
          <w:szCs w:val="20"/>
          <w:color w:val="auto"/>
        </w:rPr>
      </w:pPr>
    </w:p>
    <w:p>
      <w:pPr>
        <w:ind w:left="300" w:hanging="292"/>
        <w:spacing w:after="0"/>
        <w:tabs>
          <w:tab w:leader="none" w:pos="30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SIGNIFICANT ACCOUNTING POLICIES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8" w:lineRule="exact"/>
        <w:rPr>
          <w:sz w:val="20"/>
          <w:szCs w:val="20"/>
          <w:color w:val="auto"/>
        </w:rPr>
      </w:pPr>
    </w:p>
    <w:p>
      <w:pPr>
        <w:ind w:right="60" w:firstLine="374"/>
        <w:spacing w:after="0" w:line="231" w:lineRule="auto"/>
        <w:rPr>
          <w:sz w:val="20"/>
          <w:szCs w:val="20"/>
          <w:color w:val="auto"/>
        </w:rPr>
      </w:pPr>
      <w:r>
        <w:rPr>
          <w:rFonts w:ascii="Times New Roman" w:cs="Times New Roman" w:eastAsia="Times New Roman" w:hAnsi="Times New Roman"/>
          <w:sz w:val="14"/>
          <w:szCs w:val="14"/>
          <w:color w:val="auto"/>
        </w:rPr>
        <w:t>The accompanying unaudited consolidated financial statements have been prepared on the accrual basis of accounting in conformity with U.S. generally accepted accounting principles (“GAAP”) for interim financial information. Accordingly, they do not include all of the information and footnotes required for annual consolidated financial statements. The unaudited interim consolidated financial statements (“consolidated financial statements”) and notes thereto should be read in conjunction with the financial statements and notes thereto in the Company’s Form 10-K for the year ended December 31, 2023, as filed with the U.S. Securities and Exchange Commission (the “Commission” or the “SEC”). The Company is an investment company and follows accounting and reporting guidance in Accounting Standards Codification (“ASC”) topic 946 – Financial Services – Investment Companies. Certain prior year investment related disclosures have been reclassified to conform to the current period presentation.</w:t>
      </w:r>
    </w:p>
    <w:p>
      <w:pPr>
        <w:spacing w:after="0" w:line="69" w:lineRule="exact"/>
        <w:rPr>
          <w:sz w:val="20"/>
          <w:szCs w:val="20"/>
          <w:color w:val="auto"/>
        </w:rPr>
      </w:pPr>
    </w:p>
    <w:p>
      <w:pPr>
        <w:ind w:right="180" w:firstLine="374"/>
        <w:spacing w:after="0" w:line="241" w:lineRule="auto"/>
        <w:rPr>
          <w:sz w:val="20"/>
          <w:szCs w:val="20"/>
          <w:color w:val="auto"/>
        </w:rPr>
      </w:pPr>
      <w:r>
        <w:rPr>
          <w:rFonts w:ascii="Times New Roman" w:cs="Times New Roman" w:eastAsia="Times New Roman" w:hAnsi="Times New Roman"/>
          <w:sz w:val="14"/>
          <w:szCs w:val="14"/>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from those estimates, and the differences could be material. The results of operations for the interim periods presented are not necessarily indicative of the operating results to be expected for the full year.</w:t>
      </w:r>
    </w:p>
    <w:p>
      <w:pPr>
        <w:spacing w:after="0" w:line="55" w:lineRule="exact"/>
        <w:rPr>
          <w:sz w:val="20"/>
          <w:szCs w:val="20"/>
          <w:color w:val="auto"/>
        </w:rPr>
      </w:pPr>
    </w:p>
    <w:p>
      <w:pPr>
        <w:ind w:right="40" w:firstLine="374"/>
        <w:spacing w:after="0" w:line="229" w:lineRule="auto"/>
        <w:rPr>
          <w:sz w:val="20"/>
          <w:szCs w:val="20"/>
          <w:color w:val="auto"/>
        </w:rPr>
      </w:pPr>
      <w:r>
        <w:rPr>
          <w:rFonts w:ascii="Times New Roman" w:cs="Times New Roman" w:eastAsia="Times New Roman" w:hAnsi="Times New Roman"/>
          <w:sz w:val="14"/>
          <w:szCs w:val="14"/>
          <w:color w:val="auto"/>
        </w:rPr>
        <w:t>The Company consolidates the financial statements of its wholly-owned special purpose financing subsidiaries Portman Ridge Funding 2018-2 Ltd. (“PRF CLO 2018-2”) (formerly known as Garrison Funding 2018-2 Ltd.), Great Lakes KCAP Funding I LLC, Kohlberg Capital Funding I LLC, KCAP Senior Funding I, LLC, KCAP Funding I Holdings, LLC, Great Lakes Portman Ridge Funding, LLC and HCAP ICC, LLC in its consolidated financial statements as they are operated solely for investment activities of the Company. The creditors of Great Lakes Portman Ridge Funding, LLC received security interests in the assets which are owned by them and such assets are not intended to be available to the creditors of Portman Ridge Finance Corporation., or any other affiliate. The Company also consolidates various subsidiaries (KCAP Coastal, LLC, PTMN Sub Holdings, LLC, OHA Funding, LP, Garrison Capital Equity Holdings I LLC, Garrison Capital Equity Holdings II, LLC, Garrison Capital Equity Holdings VIII LLC, Garrison Capital Equity Holdings XI LLC, GIG Rooster Holdings, LLC, HCAP Equity Holdings, LLC and PTMN Sub Holdings LLC) created primarily to provide specific tax treatment for the equity and other investments held by these entities.</w:t>
      </w:r>
    </w:p>
    <w:p>
      <w:pPr>
        <w:spacing w:after="0" w:line="72"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4"/>
          <w:szCs w:val="14"/>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w:t>
      </w:r>
    </w:p>
    <w:p>
      <w:pPr>
        <w:spacing w:after="0" w:line="55" w:lineRule="exact"/>
        <w:rPr>
          <w:sz w:val="20"/>
          <w:szCs w:val="20"/>
          <w:color w:val="auto"/>
        </w:rPr>
      </w:pPr>
    </w:p>
    <w:p>
      <w:pPr>
        <w:ind w:right="460" w:firstLine="374"/>
        <w:spacing w:after="0" w:line="261" w:lineRule="auto"/>
        <w:rPr>
          <w:sz w:val="20"/>
          <w:szCs w:val="20"/>
          <w:color w:val="auto"/>
        </w:rPr>
      </w:pPr>
      <w:r>
        <w:rPr>
          <w:rFonts w:ascii="Times New Roman" w:cs="Times New Roman" w:eastAsia="Times New Roman" w:hAnsi="Times New Roman"/>
          <w:sz w:val="14"/>
          <w:szCs w:val="14"/>
          <w:color w:val="auto"/>
        </w:rPr>
        <w:t>The determination of the tax character of distributions is made on an annual (full calendar 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It is the Company’s primary investment objective to generate current income and capital appreciation by lending directly to privately-held middle market companies.</w:t>
      </w:r>
    </w:p>
    <w:p>
      <w:pPr>
        <w:spacing w:after="0" w:line="96" w:lineRule="exact"/>
        <w:rPr>
          <w:sz w:val="20"/>
          <w:szCs w:val="20"/>
          <w:color w:val="auto"/>
        </w:rPr>
      </w:pPr>
    </w:p>
    <w:p>
      <w:pPr>
        <w:ind w:right="180" w:firstLine="374"/>
        <w:spacing w:after="0" w:line="241" w:lineRule="auto"/>
        <w:rPr>
          <w:sz w:val="20"/>
          <w:szCs w:val="20"/>
          <w:color w:val="auto"/>
        </w:rPr>
      </w:pPr>
      <w:r>
        <w:rPr>
          <w:rFonts w:ascii="Times New Roman" w:cs="Times New Roman" w:eastAsia="Times New Roman" w:hAnsi="Times New Roman"/>
          <w:sz w:val="14"/>
          <w:szCs w:val="14"/>
          <w:color w:val="auto"/>
        </w:rPr>
        <w:t>During the three months ended June 30, 2024, the Company made approximately $13.9 million of investments and had approximately $32.1 million in repayments and sales, resulting in net repayments and sales of approximately $18.2 million for the period. During the three months ended June 30, 2023, the Company made approximately $9.9 million of investments and had approximately $30.8 million in repayments and sales, resulting in net repayment and sales of approximately $20.9 million for the period.</w:t>
      </w:r>
    </w:p>
    <w:p>
      <w:pPr>
        <w:spacing w:after="0" w:line="69" w:lineRule="exact"/>
        <w:rPr>
          <w:sz w:val="20"/>
          <w:szCs w:val="20"/>
          <w:color w:val="auto"/>
        </w:rPr>
      </w:pPr>
    </w:p>
    <w:p>
      <w:pPr>
        <w:ind w:right="80" w:firstLine="374"/>
        <w:spacing w:after="0" w:line="241" w:lineRule="auto"/>
        <w:rPr>
          <w:sz w:val="20"/>
          <w:szCs w:val="20"/>
          <w:color w:val="auto"/>
        </w:rPr>
      </w:pPr>
      <w:r>
        <w:rPr>
          <w:rFonts w:ascii="Times New Roman" w:cs="Times New Roman" w:eastAsia="Times New Roman" w:hAnsi="Times New Roman"/>
          <w:sz w:val="14"/>
          <w:szCs w:val="14"/>
          <w:color w:val="auto"/>
        </w:rPr>
        <w:t>During the six months ended June 30, 2024, the Company made approximately $51.1 million of investments and had approximately $67.6 million in repayments and sales, resulting in net repayment and sales of approximately $16.5 million for the period. During the six months ended June 30, 2023, the Company made approximately $23.2 million of investments and had approximately $76.6 million in repayments and sales, resulting in net repayments and sales of approximately $53.4 million for the period.</w:t>
      </w:r>
    </w:p>
    <w:p>
      <w:pPr>
        <w:spacing w:after="0" w:line="69"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4"/>
          <w:szCs w:val="14"/>
          <w:color w:val="auto"/>
        </w:rPr>
        <w:t>As of June 30, 2024, our portfolio consisted of investments in 92 portfolio companies with a fair value of approximately $444.4 million. As of December 31, 2023, our portfolio consisted of investments in 100 portfolio companies with a fair value of approximately $467.9 million.</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00" w:lineRule="exact"/>
        <w:rPr>
          <w:sz w:val="20"/>
          <w:szCs w:val="20"/>
          <w:color w:val="auto"/>
        </w:rPr>
      </w:pPr>
    </w:p>
    <w:p>
      <w:pPr>
        <w:ind w:firstLine="410"/>
        <w:spacing w:after="0" w:line="233" w:lineRule="auto"/>
        <w:rPr>
          <w:sz w:val="20"/>
          <w:szCs w:val="20"/>
          <w:color w:val="auto"/>
        </w:rPr>
      </w:pPr>
      <w:r>
        <w:rPr>
          <w:rFonts w:ascii="Times New Roman" w:cs="Times New Roman" w:eastAsia="Times New Roman" w:hAnsi="Times New Roman"/>
          <w:sz w:val="14"/>
          <w:szCs w:val="14"/>
          <w:color w:val="auto"/>
        </w:rPr>
        <w:t>In November 2023, the Financial Accounting Standards Board issued Accounting Standards Update 2023-07, Segment Reporting – Improvements to Reportable Segment Disclosures. The accounting standard update clarifies the segment disclosure requirements in Topic 280 and requires public entities to disclose significant segment expenses, provide all annual disclosures about a reportable segment's profit or loss and assets in interim periods, and clarify the reporting of additional measures of segment profit or loss. The amendments aim to improve consistency and comparability in segment reporting. The amendments are effective for fiscal years beginning after December 15, 2023, and interim periods within fiscal years beginning after December 15, 2024. The Company has evaluated the impact of adopting this new accounting standard and has concluded that the impact of the adoption will not be material to the consolidated financial statements.</w:t>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Investment transactions are recorded on the applicable trade date. Realized gains or losses are determined using the specific identification method.</w:t>
      </w:r>
    </w:p>
    <w:p>
      <w:pPr>
        <w:spacing w:after="0" w:line="94" w:lineRule="exact"/>
        <w:rPr>
          <w:sz w:val="20"/>
          <w:szCs w:val="20"/>
          <w:color w:val="auto"/>
        </w:rPr>
      </w:pPr>
    </w:p>
    <w:p>
      <w:pPr>
        <w:ind w:firstLine="374"/>
        <w:spacing w:after="0" w:line="228" w:lineRule="auto"/>
        <w:rPr>
          <w:sz w:val="20"/>
          <w:szCs w:val="20"/>
          <w:color w:val="auto"/>
        </w:rPr>
      </w:pPr>
      <w:r>
        <w:rPr>
          <w:rFonts w:ascii="Times New Roman" w:cs="Times New Roman" w:eastAsia="Times New Roman" w:hAnsi="Times New Roman"/>
          <w:sz w:val="14"/>
          <w:szCs w:val="14"/>
          <w:i w:val="1"/>
          <w:iCs w:val="1"/>
          <w:color w:val="auto"/>
        </w:rPr>
        <w:t>Valuation of Portfolio Investments</w:t>
      </w:r>
      <w:r>
        <w:rPr>
          <w:rFonts w:ascii="Times New Roman" w:cs="Times New Roman" w:eastAsia="Times New Roman" w:hAnsi="Times New Roman"/>
          <w:sz w:val="14"/>
          <w:szCs w:val="14"/>
          <w:color w:val="auto"/>
        </w:rPr>
        <w:t>. The Board has designated the Adviser as its “valuation designee” pursuant to Rule 2a-5 under the 1940 Act, and in that role the Adviser is responsible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making fair value determinations under the 1940 Act and satisfies its responsibility through oversight of the valuation designee in accordance with Rule 2a-5. Debt and equity securities for which market quotations are readily available are generally valued at such market quotations. Debt and equity securities that are not publicly traded or whose market price is not readily available are valued by the Adviser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w:t>
      </w:r>
    </w:p>
    <w:p>
      <w:pPr>
        <w:spacing w:after="0" w:line="70" w:lineRule="exact"/>
        <w:rPr>
          <w:sz w:val="20"/>
          <w:szCs w:val="20"/>
          <w:color w:val="auto"/>
        </w:rPr>
      </w:pPr>
    </w:p>
    <w:p>
      <w:pPr>
        <w:ind w:right="420" w:firstLine="374"/>
        <w:spacing w:after="0" w:line="241" w:lineRule="auto"/>
        <w:rPr>
          <w:sz w:val="20"/>
          <w:szCs w:val="20"/>
          <w:color w:val="auto"/>
        </w:rPr>
      </w:pPr>
      <w:r>
        <w:rPr>
          <w:rFonts w:ascii="Times New Roman" w:cs="Times New Roman" w:eastAsia="Times New Roman" w:hAnsi="Times New Roman"/>
          <w:sz w:val="14"/>
          <w:szCs w:val="14"/>
          <w:color w:val="auto"/>
        </w:rPr>
        <w:t>The Adviser utilizes one or more independent valuation firms to provide third party valuation consulting services. Each quarter the independent valuation firms perform third party valuations of the Company’s investments in material illiquid securities such that they are reviewed at least once during a trailing 12-month period. These third-party valuation estimates are considered as one of the relevant data points in the Adviser’s determination of fair value.</w:t>
      </w:r>
    </w:p>
    <w:p>
      <w:pPr>
        <w:spacing w:after="0" w:line="69" w:lineRule="exact"/>
        <w:rPr>
          <w:sz w:val="20"/>
          <w:szCs w:val="20"/>
          <w:color w:val="auto"/>
        </w:rPr>
      </w:pPr>
    </w:p>
    <w:p>
      <w:pPr>
        <w:ind w:right="200" w:firstLine="374"/>
        <w:spacing w:after="0" w:line="233" w:lineRule="auto"/>
        <w:rPr>
          <w:sz w:val="20"/>
          <w:szCs w:val="20"/>
          <w:color w:val="auto"/>
        </w:rPr>
      </w:pPr>
      <w:r>
        <w:rPr>
          <w:rFonts w:ascii="Times New Roman" w:cs="Times New Roman" w:eastAsia="Times New Roman" w:hAnsi="Times New Roman"/>
          <w:sz w:val="14"/>
          <w:szCs w:val="14"/>
          <w:color w:val="auto"/>
        </w:rPr>
        <w:t>The Adviser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69" w:lineRule="exact"/>
        <w:rPr>
          <w:sz w:val="20"/>
          <w:szCs w:val="20"/>
          <w:color w:val="auto"/>
        </w:rPr>
      </w:pPr>
    </w:p>
    <w:p>
      <w:pPr>
        <w:ind w:firstLine="374"/>
        <w:spacing w:after="0" w:line="236" w:lineRule="auto"/>
        <w:rPr>
          <w:sz w:val="20"/>
          <w:szCs w:val="20"/>
          <w:color w:val="auto"/>
        </w:rPr>
      </w:pPr>
      <w:r>
        <w:rPr>
          <w:rFonts w:ascii="Times New Roman" w:cs="Times New Roman" w:eastAsia="Times New Roman" w:hAnsi="Times New Roman"/>
          <w:sz w:val="14"/>
          <w:szCs w:val="14"/>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67" w:lineRule="exact"/>
        <w:rPr>
          <w:sz w:val="20"/>
          <w:szCs w:val="20"/>
          <w:color w:val="auto"/>
        </w:rPr>
      </w:pPr>
    </w:p>
    <w:p>
      <w:pPr>
        <w:ind w:right="260" w:firstLine="374"/>
        <w:spacing w:after="0" w:line="236" w:lineRule="auto"/>
        <w:rPr>
          <w:sz w:val="20"/>
          <w:szCs w:val="20"/>
          <w:color w:val="auto"/>
        </w:rPr>
      </w:pPr>
      <w:r>
        <w:rPr>
          <w:rFonts w:ascii="Times New Roman" w:cs="Times New Roman" w:eastAsia="Times New Roman" w:hAnsi="Times New Roman"/>
          <w:sz w:val="14"/>
          <w:szCs w:val="14"/>
          <w:i w:val="1"/>
          <w:iCs w:val="1"/>
          <w:color w:val="auto"/>
        </w:rPr>
        <w:t>Debt Securities</w:t>
      </w:r>
      <w:r>
        <w:rPr>
          <w:rFonts w:ascii="Times New Roman" w:cs="Times New Roman" w:eastAsia="Times New Roman" w:hAnsi="Times New Roman"/>
          <w:sz w:val="14"/>
          <w:szCs w:val="14"/>
          <w:color w:val="auto"/>
        </w:rPr>
        <w:t>. To the extent that the Company’s investments are liquid and are priced or have sufficient price indications from normal course trading at or around the valuation 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3" w:right="3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4"/>
          <w:szCs w:val="14"/>
          <w:color w:val="auto"/>
        </w:rPr>
        <w:t>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55" w:lineRule="exact"/>
        <w:rPr>
          <w:sz w:val="20"/>
          <w:szCs w:val="20"/>
          <w:color w:val="auto"/>
        </w:rPr>
      </w:pPr>
    </w:p>
    <w:p>
      <w:pPr>
        <w:ind w:right="20" w:firstLine="374"/>
        <w:spacing w:after="0" w:line="225" w:lineRule="auto"/>
        <w:rPr>
          <w:sz w:val="20"/>
          <w:szCs w:val="20"/>
          <w:color w:val="auto"/>
        </w:rPr>
      </w:pPr>
      <w:r>
        <w:rPr>
          <w:rFonts w:ascii="Times New Roman" w:cs="Times New Roman" w:eastAsia="Times New Roman" w:hAnsi="Times New Roman"/>
          <w:sz w:val="14"/>
          <w:szCs w:val="14"/>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leveraged loan and high-yield bond indices, at the valuation date. The Company has identified these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 included herein.</w:t>
      </w:r>
    </w:p>
    <w:p>
      <w:pPr>
        <w:spacing w:after="0" w:line="72" w:lineRule="exact"/>
        <w:rPr>
          <w:sz w:val="20"/>
          <w:szCs w:val="20"/>
          <w:color w:val="auto"/>
        </w:rPr>
      </w:pPr>
    </w:p>
    <w:p>
      <w:pPr>
        <w:ind w:right="20" w:firstLine="374"/>
        <w:spacing w:after="0"/>
        <w:rPr>
          <w:sz w:val="20"/>
          <w:szCs w:val="20"/>
          <w:color w:val="auto"/>
        </w:rPr>
      </w:pPr>
      <w:r>
        <w:rPr>
          <w:rFonts w:ascii="Times New Roman" w:cs="Times New Roman" w:eastAsia="Times New Roman" w:hAnsi="Times New Roman"/>
          <w:sz w:val="14"/>
          <w:szCs w:val="14"/>
          <w:i w:val="1"/>
          <w:iCs w:val="1"/>
          <w:color w:val="auto"/>
        </w:rPr>
        <w:t>Equity Securities</w:t>
      </w:r>
      <w:r>
        <w:rPr>
          <w:rFonts w:ascii="Times New Roman" w:cs="Times New Roman" w:eastAsia="Times New Roman" w:hAnsi="Times New Roman"/>
          <w:sz w:val="14"/>
          <w:szCs w:val="14"/>
          <w:color w:val="auto"/>
        </w:rPr>
        <w:t>. The Company’s equity securities in portfolio companies for which there is no liquid public market are carried at fair value based on the enterprise value of the portfolio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196" w:lineRule="exact"/>
        <w:rPr>
          <w:sz w:val="20"/>
          <w:szCs w:val="20"/>
          <w:color w:val="auto"/>
        </w:rPr>
      </w:pPr>
    </w:p>
    <w:p>
      <w:pPr>
        <w:ind w:right="40" w:firstLine="374"/>
        <w:spacing w:after="0" w:line="233" w:lineRule="auto"/>
        <w:rPr>
          <w:sz w:val="20"/>
          <w:szCs w:val="20"/>
          <w:color w:val="auto"/>
        </w:rPr>
      </w:pPr>
      <w:r>
        <w:rPr>
          <w:rFonts w:ascii="Times New Roman" w:cs="Times New Roman" w:eastAsia="Times New Roman" w:hAnsi="Times New Roman"/>
          <w:sz w:val="14"/>
          <w:szCs w:val="14"/>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67" w:lineRule="exact"/>
        <w:rPr>
          <w:sz w:val="20"/>
          <w:szCs w:val="20"/>
          <w:color w:val="auto"/>
        </w:rPr>
      </w:pPr>
    </w:p>
    <w:p>
      <w:pPr>
        <w:ind w:right="20" w:firstLine="374"/>
        <w:spacing w:after="0"/>
        <w:rPr>
          <w:sz w:val="20"/>
          <w:szCs w:val="20"/>
          <w:color w:val="auto"/>
        </w:rPr>
      </w:pPr>
      <w:r>
        <w:rPr>
          <w:rFonts w:ascii="Times New Roman" w:cs="Times New Roman" w:eastAsia="Times New Roman" w:hAnsi="Times New Roman"/>
          <w:sz w:val="14"/>
          <w:szCs w:val="14"/>
          <w:i w:val="1"/>
          <w:iCs w:val="1"/>
          <w:color w:val="auto"/>
        </w:rPr>
        <w:t>Derivatives</w:t>
      </w:r>
      <w:r>
        <w:rPr>
          <w:rFonts w:ascii="Times New Roman" w:cs="Times New Roman" w:eastAsia="Times New Roman" w:hAnsi="Times New Roman"/>
          <w:sz w:val="14"/>
          <w:szCs w:val="14"/>
          <w:color w:val="auto"/>
        </w:rPr>
        <w:t>. The Company recognizes all derivative instruments as assets or liabilities at fair value in its financial statements. Derivative contracts entered into by the Company are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designated as hedging instruments, and as a result the Company presents changes in fair value and realized gains or losses through current period earnings. Derivative instruments are measured in terms of the notional contract amount and derive their value based upon one or more underlying instruments. Derivative instruments are subject to various risks similar to non-derivative instruments including market, credit, liquidity, and operational risks. The Company manages these risks on an aggregate basis as part of its risk management process. The derivatives may require the Company to pay or receive an upfront fee or premium. These upfront fees or premiums are carried forward as cost or proceeds to the derivatives. The Company generally records a realized gain or loss on the expiration, termination, or settlement of a derivative contract. The periodic payments for the securities Swap and Option Agreement (excluding collateral) are included as a realized gain or loss.</w:t>
      </w:r>
    </w:p>
    <w:p>
      <w:pPr>
        <w:spacing w:after="0" w:line="184"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4"/>
          <w:szCs w:val="14"/>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53" w:lineRule="exact"/>
        <w:rPr>
          <w:sz w:val="20"/>
          <w:szCs w:val="20"/>
          <w:color w:val="auto"/>
        </w:rPr>
      </w:pPr>
    </w:p>
    <w:p>
      <w:pPr>
        <w:ind w:right="100" w:firstLine="374"/>
        <w:spacing w:after="0" w:line="233" w:lineRule="auto"/>
        <w:rPr>
          <w:sz w:val="20"/>
          <w:szCs w:val="20"/>
          <w:color w:val="auto"/>
        </w:rPr>
      </w:pPr>
      <w:r>
        <w:rPr>
          <w:rFonts w:ascii="Times New Roman" w:cs="Times New Roman" w:eastAsia="Times New Roman" w:hAnsi="Times New Roman"/>
          <w:sz w:val="14"/>
          <w:szCs w:val="14"/>
          <w:i w:val="1"/>
          <w:iCs w:val="1"/>
          <w:color w:val="auto"/>
        </w:rPr>
        <w:t>Asset Manager Affiliates</w:t>
      </w:r>
      <w:r>
        <w:rPr>
          <w:rFonts w:ascii="Times New Roman" w:cs="Times New Roman" w:eastAsia="Times New Roman" w:hAnsi="Times New Roman"/>
          <w:sz w:val="14"/>
          <w:szCs w:val="14"/>
          <w:color w:val="auto"/>
        </w:rPr>
        <w:t>. The Company sold all of its investment in the Disposed Manager Affiliates on December 31, 2018. Previously, the Company’s investments in its wholly-owned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 Manager Affiliates, were carried at fair value, which was primarily determined utilizing the discounted cash flow approach, which incorporated different levels of discount rates depending on the hierarchy of fees earned (including the likelihood of realization of senior, subordinate and incentive fees) and prospective modeled performance. Such valuation took into consideration an analysis of comparable asset management companies and the amount of assets under management. The Asset Manager Affiliates were classified as a Level III investment. Any change in value from period to period was recognized as net change in unrealized appreciation or depreciation.</w:t>
      </w:r>
    </w:p>
    <w:p>
      <w:pPr>
        <w:spacing w:after="0" w:line="69" w:lineRule="exact"/>
        <w:rPr>
          <w:sz w:val="20"/>
          <w:szCs w:val="20"/>
          <w:color w:val="auto"/>
        </w:rPr>
      </w:pPr>
    </w:p>
    <w:p>
      <w:pPr>
        <w:ind w:right="20" w:firstLine="374"/>
        <w:spacing w:after="0" w:line="264" w:lineRule="auto"/>
        <w:rPr>
          <w:sz w:val="20"/>
          <w:szCs w:val="20"/>
          <w:color w:val="auto"/>
        </w:rPr>
      </w:pPr>
      <w:r>
        <w:rPr>
          <w:rFonts w:ascii="Times New Roman" w:cs="Times New Roman" w:eastAsia="Times New Roman" w:hAnsi="Times New Roman"/>
          <w:sz w:val="14"/>
          <w:szCs w:val="14"/>
          <w:i w:val="1"/>
          <w:iCs w:val="1"/>
          <w:color w:val="auto"/>
        </w:rPr>
        <w:t>CLO Fund Securities</w:t>
      </w:r>
      <w:r>
        <w:rPr>
          <w:rFonts w:ascii="Times New Roman" w:cs="Times New Roman" w:eastAsia="Times New Roman" w:hAnsi="Times New Roman"/>
          <w:sz w:val="14"/>
          <w:szCs w:val="14"/>
          <w:color w:val="auto"/>
        </w:rPr>
        <w:t>. The Company typically makes a non-controlling investment in the most junior class of securities of CLO Funds. The investments held by CLO Funds generally relate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non-investment grade credit instruments issued by corporations.</w:t>
      </w:r>
    </w:p>
    <w:p>
      <w:pPr>
        <w:spacing w:after="0" w:line="53" w:lineRule="exact"/>
        <w:rPr>
          <w:sz w:val="20"/>
          <w:szCs w:val="20"/>
          <w:color w:val="auto"/>
        </w:rPr>
      </w:pPr>
    </w:p>
    <w:p>
      <w:pPr>
        <w:ind w:firstLine="374"/>
        <w:spacing w:after="0" w:line="227" w:lineRule="auto"/>
        <w:rPr>
          <w:sz w:val="20"/>
          <w:szCs w:val="20"/>
          <w:color w:val="auto"/>
        </w:rPr>
      </w:pPr>
      <w:r>
        <w:rPr>
          <w:rFonts w:ascii="Times New Roman" w:cs="Times New Roman" w:eastAsia="Times New Roman" w:hAnsi="Times New Roman"/>
          <w:sz w:val="14"/>
          <w:szCs w:val="14"/>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70" w:lineRule="exact"/>
        <w:rPr>
          <w:sz w:val="20"/>
          <w:szCs w:val="20"/>
          <w:color w:val="auto"/>
        </w:rPr>
      </w:pPr>
    </w:p>
    <w:p>
      <w:pPr>
        <w:ind w:right="20" w:firstLine="374"/>
        <w:spacing w:after="0"/>
        <w:rPr>
          <w:sz w:val="20"/>
          <w:szCs w:val="20"/>
          <w:color w:val="auto"/>
        </w:rPr>
      </w:pPr>
      <w:r>
        <w:rPr>
          <w:rFonts w:ascii="Times New Roman" w:cs="Times New Roman" w:eastAsia="Times New Roman" w:hAnsi="Times New Roman"/>
          <w:sz w:val="14"/>
          <w:szCs w:val="14"/>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1" w:lineRule="exact"/>
        <w:rPr>
          <w:sz w:val="20"/>
          <w:szCs w:val="20"/>
          <w:color w:val="auto"/>
        </w:rPr>
      </w:pPr>
    </w:p>
    <w:p>
      <w:pPr>
        <w:ind w:right="120" w:firstLine="374"/>
        <w:spacing w:after="0" w:line="236" w:lineRule="auto"/>
        <w:rPr>
          <w:sz w:val="20"/>
          <w:szCs w:val="20"/>
          <w:color w:val="auto"/>
        </w:rPr>
      </w:pPr>
      <w:r>
        <w:rPr>
          <w:rFonts w:ascii="Times New Roman" w:cs="Times New Roman" w:eastAsia="Times New Roman" w:hAnsi="Times New Roman"/>
          <w:sz w:val="14"/>
          <w:szCs w:val="14"/>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Short-term investments</w:t>
      </w:r>
      <w:r>
        <w:rPr>
          <w:rFonts w:ascii="Times New Roman" w:cs="Times New Roman" w:eastAsia="Times New Roman" w:hAnsi="Times New Roman"/>
          <w:sz w:val="14"/>
          <w:szCs w:val="14"/>
          <w:color w:val="auto"/>
        </w:rPr>
        <w:t>. Short-term investments are generally comprised of money market accounts, time deposits, and U.S. treasury bills.</w:t>
      </w:r>
    </w:p>
    <w:p>
      <w:pPr>
        <w:spacing w:after="0" w:line="96" w:lineRule="exact"/>
        <w:rPr>
          <w:sz w:val="20"/>
          <w:szCs w:val="20"/>
          <w:color w:val="auto"/>
        </w:rPr>
      </w:pPr>
    </w:p>
    <w:p>
      <w:pPr>
        <w:ind w:right="300" w:firstLine="374"/>
        <w:spacing w:after="0" w:line="264" w:lineRule="auto"/>
        <w:rPr>
          <w:sz w:val="20"/>
          <w:szCs w:val="20"/>
          <w:color w:val="auto"/>
        </w:rPr>
      </w:pPr>
      <w:r>
        <w:rPr>
          <w:rFonts w:ascii="Times New Roman" w:cs="Times New Roman" w:eastAsia="Times New Roman" w:hAnsi="Times New Roman"/>
          <w:sz w:val="14"/>
          <w:szCs w:val="14"/>
          <w:i w:val="1"/>
          <w:iCs w:val="1"/>
          <w:color w:val="auto"/>
        </w:rPr>
        <w:t>Joint Ventures</w:t>
      </w:r>
      <w:r>
        <w:rPr>
          <w:rFonts w:ascii="Times New Roman" w:cs="Times New Roman" w:eastAsia="Times New Roman" w:hAnsi="Times New Roman"/>
          <w:sz w:val="14"/>
          <w:szCs w:val="14"/>
          <w:color w:val="auto"/>
        </w:rPr>
        <w:t>. The Company carries investments in joint ventures (“Joint Ventures”) at fair value based upon the fair value of the investments held by the joint venture, or the net asset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 as a practical expedient. See Note 4 below, for more information regarding the Joint Ventures.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00"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4"/>
          <w:szCs w:val="14"/>
          <w:color w:val="auto"/>
        </w:rPr>
        <w:t>Cash and cash equivalents include short-term, highly liquid investments, readily convertible to known amounts of cash, with an original maturity of three months or less in accounts such as demand deposit accounts and certain overnight investment sweep accounts. The company records cash and cash equivalents at cost, which approximates fair value.</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Restricted cash and cash equivalents generally consists of cash held for interest and principal payments on the Company’s borrowings.</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Translations</w:t>
      </w:r>
    </w:p>
    <w:p>
      <w:pPr>
        <w:spacing w:after="0" w:line="100" w:lineRule="exact"/>
        <w:rPr>
          <w:sz w:val="20"/>
          <w:szCs w:val="20"/>
          <w:color w:val="auto"/>
        </w:rPr>
      </w:pPr>
    </w:p>
    <w:p>
      <w:pPr>
        <w:ind w:right="100" w:firstLine="374"/>
        <w:spacing w:after="0" w:line="233" w:lineRule="auto"/>
        <w:rPr>
          <w:sz w:val="20"/>
          <w:szCs w:val="20"/>
          <w:color w:val="auto"/>
        </w:rPr>
      </w:pPr>
      <w:r>
        <w:rPr>
          <w:rFonts w:ascii="Times New Roman" w:cs="Times New Roman" w:eastAsia="Times New Roman" w:hAnsi="Times New Roman"/>
          <w:sz w:val="14"/>
          <w:szCs w:val="14"/>
          <w:color w:val="auto"/>
        </w:rPr>
        <w:t>The accounting records of the Company are maintained in U.S. dollars. All assets and liabilities denominated in foreign currencies are translated into U.S. dollars based on the foreign exchange rate on the date of valuation. The Company does not isolate that portion of the results of operations resulting from changes in foreign exchange rates on investments from the fluctuations arising from changes in market prices of securities held. The Company’s investments in foreign securities may involve certain risks, including without limitation: foreign exchange restrictions, expropriation, taxation or other political, social or economic risks, all of which could affect the market and/or credit risk of the investment. In addition, changes in the relationship of foreign currencies to the U.S. dollar can significantly affect the value of these investments and therefore the earnings of the Company.</w:t>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Investment Income</w:t>
      </w:r>
    </w:p>
    <w:p>
      <w:pPr>
        <w:spacing w:after="0" w:line="98" w:lineRule="exact"/>
        <w:rPr>
          <w:sz w:val="20"/>
          <w:szCs w:val="20"/>
          <w:color w:val="auto"/>
        </w:rPr>
      </w:pPr>
    </w:p>
    <w:p>
      <w:pPr>
        <w:ind w:right="100" w:firstLine="374"/>
        <w:spacing w:after="0"/>
        <w:rPr>
          <w:sz w:val="20"/>
          <w:szCs w:val="20"/>
          <w:color w:val="auto"/>
        </w:rPr>
      </w:pPr>
      <w:r>
        <w:rPr>
          <w:rFonts w:ascii="Times New Roman" w:cs="Times New Roman" w:eastAsia="Times New Roman" w:hAnsi="Times New Roman"/>
          <w:sz w:val="14"/>
          <w:szCs w:val="14"/>
          <w:i w:val="1"/>
          <w:iCs w:val="1"/>
          <w:color w:val="auto"/>
        </w:rPr>
        <w:t>Interest Income</w:t>
      </w:r>
      <w:r>
        <w:rPr>
          <w:rFonts w:ascii="Times New Roman" w:cs="Times New Roman" w:eastAsia="Times New Roman" w:hAnsi="Times New Roman"/>
          <w:sz w:val="14"/>
          <w:szCs w:val="14"/>
          <w:color w:val="auto"/>
        </w:rPr>
        <w:t>. Interest income, including the amortization of premium and accretion of discount and accrual of payment-in-kind (“PIK”) interest, is recorded on the accrual basis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June 30, 2024, nine of our debt investments were on non-accrual status with an aggregate amortized cost of $23.3 million and an aggregate fair value of $2.0 million, which represented 4.5% and 0.5% of the investment portfolio, respectively. As of December 31, 2023, seven of our debt investments were on non-accrual status with an aggregate amortized cost of $17.3 million and an aggregate fair value of $6.1 million, which represented 3.2% and 1.3% of the investment portfolio, respectively.</w:t>
      </w:r>
    </w:p>
    <w:p>
      <w:pPr>
        <w:spacing w:after="0" w:line="157" w:lineRule="exact"/>
        <w:rPr>
          <w:sz w:val="20"/>
          <w:szCs w:val="20"/>
          <w:color w:val="auto"/>
        </w:rPr>
      </w:pPr>
    </w:p>
    <w:p>
      <w:pPr>
        <w:ind w:right="20" w:firstLine="374"/>
        <w:spacing w:after="0" w:line="233" w:lineRule="auto"/>
        <w:rPr>
          <w:sz w:val="20"/>
          <w:szCs w:val="20"/>
          <w:color w:val="auto"/>
        </w:rPr>
      </w:pPr>
      <w:r>
        <w:rPr>
          <w:rFonts w:ascii="Times New Roman" w:cs="Times New Roman" w:eastAsia="Times New Roman" w:hAnsi="Times New Roman"/>
          <w:sz w:val="14"/>
          <w:szCs w:val="14"/>
          <w:i w:val="1"/>
          <w:iCs w:val="1"/>
          <w:color w:val="auto"/>
        </w:rPr>
        <w:t>Investment Income on CLO Fund Securities</w:t>
      </w:r>
      <w:r>
        <w:rPr>
          <w:rFonts w:ascii="Times New Roman" w:cs="Times New Roman" w:eastAsia="Times New Roman" w:hAnsi="Times New Roman"/>
          <w:sz w:val="14"/>
          <w:szCs w:val="14"/>
          <w:color w:val="auto"/>
        </w:rPr>
        <w:t>. The Company generates investment income from its investments in the most junior class of securities issued by CLO Funds (typically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preferred shares or subordinated securities). The Company’s CLO Fund junior class securities are subordinated to senior note holders who typically receive a stated interest rate of return based on a floating rate index, such as the Secured Overnight Financing Rate (“SOFR”)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71" w:lineRule="exact"/>
        <w:rPr>
          <w:sz w:val="20"/>
          <w:szCs w:val="20"/>
          <w:color w:val="auto"/>
        </w:rPr>
      </w:pPr>
    </w:p>
    <w:p>
      <w:pPr>
        <w:ind w:firstLine="374"/>
        <w:spacing w:after="0" w:line="233" w:lineRule="auto"/>
        <w:rPr>
          <w:sz w:val="20"/>
          <w:szCs w:val="20"/>
          <w:color w:val="auto"/>
        </w:rPr>
      </w:pPr>
      <w:r>
        <w:rPr>
          <w:rFonts w:ascii="Times New Roman" w:cs="Times New Roman" w:eastAsia="Times New Roman" w:hAnsi="Times New Roman"/>
          <w:sz w:val="14"/>
          <w:szCs w:val="14"/>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non-junior class CLO Fund Securities, interest is earned at a fixed spread relative to the SOFR index.</w:t>
      </w:r>
    </w:p>
    <w:p>
      <w:pPr>
        <w:spacing w:after="0" w:line="94" w:lineRule="exact"/>
        <w:rPr>
          <w:sz w:val="20"/>
          <w:szCs w:val="20"/>
          <w:color w:val="auto"/>
        </w:rPr>
      </w:pPr>
    </w:p>
    <w:p>
      <w:pPr>
        <w:ind w:right="100" w:firstLine="374"/>
        <w:spacing w:after="0" w:line="236" w:lineRule="auto"/>
        <w:rPr>
          <w:sz w:val="20"/>
          <w:szCs w:val="20"/>
          <w:color w:val="auto"/>
        </w:rPr>
      </w:pPr>
      <w:r>
        <w:rPr>
          <w:rFonts w:ascii="Times New Roman" w:cs="Times New Roman" w:eastAsia="Times New Roman" w:hAnsi="Times New Roman"/>
          <w:sz w:val="14"/>
          <w:szCs w:val="14"/>
          <w:i w:val="1"/>
          <w:iCs w:val="1"/>
          <w:color w:val="auto"/>
        </w:rPr>
        <w:t>Investment Income on Joint Ventures</w:t>
      </w:r>
      <w:r>
        <w:rPr>
          <w:rFonts w:ascii="Times New Roman" w:cs="Times New Roman" w:eastAsia="Times New Roman" w:hAnsi="Times New Roman"/>
          <w:sz w:val="14"/>
          <w:szCs w:val="14"/>
          <w:color w:val="auto"/>
        </w:rPr>
        <w:t>. The Company recognizes investment income on its investment in the Joint Ventures based upon its share of the estimated earnings and profits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Joint Venture on the ex-dividend or ex-distribution date. The final determination of the tax attributes of distributions from the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69" w:lineRule="exact"/>
        <w:rPr>
          <w:sz w:val="20"/>
          <w:szCs w:val="20"/>
          <w:color w:val="auto"/>
        </w:rPr>
      </w:pPr>
    </w:p>
    <w:p>
      <w:pPr>
        <w:jc w:val="both"/>
        <w:ind w:right="80" w:firstLine="374"/>
        <w:spacing w:after="0" w:line="243" w:lineRule="auto"/>
        <w:rPr>
          <w:sz w:val="20"/>
          <w:szCs w:val="20"/>
          <w:color w:val="auto"/>
        </w:rPr>
      </w:pPr>
      <w:r>
        <w:rPr>
          <w:rFonts w:ascii="Times New Roman" w:cs="Times New Roman" w:eastAsia="Times New Roman" w:hAnsi="Times New Roman"/>
          <w:sz w:val="14"/>
          <w:szCs w:val="14"/>
          <w:i w:val="1"/>
          <w:iCs w:val="1"/>
          <w:color w:val="auto"/>
        </w:rPr>
        <w:t>Fees and other income</w:t>
      </w:r>
      <w:r>
        <w:rPr>
          <w:rFonts w:ascii="Times New Roman" w:cs="Times New Roman" w:eastAsia="Times New Roman" w:hAnsi="Times New Roman"/>
          <w:sz w:val="14"/>
          <w:szCs w:val="14"/>
          <w:color w:val="auto"/>
        </w:rPr>
        <w:t>. Origination fees (to the extent services are performed to earn such income upon closing), amendment fees, consent fees, and other fees associated with investments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portfolio companies are recognized as income when they are earned. Prepayment penalties received by the Company for debt instruments repaid prior to maturity date are recorded as income upon receipt.</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Debt Issuance Costs</w:t>
      </w:r>
    </w:p>
    <w:p>
      <w:pPr>
        <w:spacing w:after="0" w:line="100" w:lineRule="exact"/>
        <w:rPr>
          <w:sz w:val="20"/>
          <w:szCs w:val="20"/>
          <w:color w:val="auto"/>
        </w:rPr>
      </w:pPr>
    </w:p>
    <w:p>
      <w:pPr>
        <w:ind w:right="440" w:firstLine="374"/>
        <w:spacing w:after="0" w:line="261" w:lineRule="auto"/>
        <w:rPr>
          <w:sz w:val="20"/>
          <w:szCs w:val="20"/>
          <w:color w:val="auto"/>
        </w:rPr>
      </w:pPr>
      <w:r>
        <w:rPr>
          <w:rFonts w:ascii="Times New Roman" w:cs="Times New Roman" w:eastAsia="Times New Roman" w:hAnsi="Times New Roman"/>
          <w:sz w:val="14"/>
          <w:szCs w:val="14"/>
          <w:color w:val="auto"/>
        </w:rPr>
        <w:t>Debt issuance costs represent fees and other direct costs incurred in connection with the Company’s borrowings. These amounts are capitalized, presented as a reduction of debt, and amortized using the effective interest method over the expected term of the borrowing.</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Extinguishment of Debt</w:t>
      </w:r>
    </w:p>
    <w:p>
      <w:pPr>
        <w:spacing w:after="0" w:line="100" w:lineRule="exact"/>
        <w:rPr>
          <w:sz w:val="20"/>
          <w:szCs w:val="20"/>
          <w:color w:val="auto"/>
        </w:rPr>
      </w:pPr>
    </w:p>
    <w:p>
      <w:pPr>
        <w:ind w:right="100" w:firstLine="374"/>
        <w:spacing w:after="0" w:line="241" w:lineRule="auto"/>
        <w:rPr>
          <w:sz w:val="20"/>
          <w:szCs w:val="20"/>
          <w:color w:val="auto"/>
        </w:rPr>
      </w:pPr>
      <w:r>
        <w:rPr>
          <w:rFonts w:ascii="Times New Roman" w:cs="Times New Roman" w:eastAsia="Times New Roman" w:hAnsi="Times New Roman"/>
          <w:sz w:val="14"/>
          <w:szCs w:val="14"/>
          <w:color w:val="auto"/>
        </w:rPr>
        <w:t>The Company derecognizes a liability if and only if it has been extinguished through delivery of cash, delivery of other financial assets, delivery of goods or services, or reacquisition by the Company of its outstanding debt securities whether the securities are cancelled or held. If the debt contains a cash conversion option, the Company allocates the consideration transferred and transaction costs incurred to the extinguishment of the liability component and the reacquisition of the equity component and recognize a gain or loss in the statement of operations.</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ind w:right="-59"/>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59"/>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00" w:lineRule="exact"/>
        <w:rPr>
          <w:sz w:val="20"/>
          <w:szCs w:val="20"/>
          <w:color w:val="auto"/>
        </w:rPr>
      </w:pPr>
    </w:p>
    <w:p>
      <w:pPr>
        <w:ind w:firstLine="410"/>
        <w:spacing w:after="0" w:line="261" w:lineRule="auto"/>
        <w:rPr>
          <w:sz w:val="20"/>
          <w:szCs w:val="20"/>
          <w:color w:val="auto"/>
        </w:rPr>
      </w:pPr>
      <w:r>
        <w:rPr>
          <w:rFonts w:ascii="Times New Roman" w:cs="Times New Roman" w:eastAsia="Times New Roman" w:hAnsi="Times New Roman"/>
          <w:sz w:val="14"/>
          <w:szCs w:val="14"/>
          <w:color w:val="auto"/>
        </w:rPr>
        <w:t>The Company is externally managed and in connection with the Advisory Agreement, pays the Adviser certain investment advisory fees and reimburses the Adviser and Administrator for certain expenses incurred in connection with the services they provide. See Note 5 “Related Party Transactions - Payment of Expenses under the Advisory and Administration Agreements.”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Shareholder Distributions</w:t>
      </w:r>
    </w:p>
    <w:p>
      <w:pPr>
        <w:spacing w:after="0" w:line="100" w:lineRule="exact"/>
        <w:rPr>
          <w:sz w:val="20"/>
          <w:szCs w:val="20"/>
          <w:color w:val="auto"/>
        </w:rPr>
      </w:pPr>
    </w:p>
    <w:p>
      <w:pPr>
        <w:jc w:val="both"/>
        <w:ind w:right="260" w:firstLine="374"/>
        <w:spacing w:after="0" w:line="241" w:lineRule="auto"/>
        <w:rPr>
          <w:sz w:val="20"/>
          <w:szCs w:val="20"/>
          <w:color w:val="auto"/>
        </w:rPr>
      </w:pPr>
      <w:r>
        <w:rPr>
          <w:rFonts w:ascii="Times New Roman" w:cs="Times New Roman" w:eastAsia="Times New Roman" w:hAnsi="Times New Roman"/>
          <w:sz w:val="14"/>
          <w:szCs w:val="14"/>
          <w:color w:val="auto"/>
        </w:rPr>
        <w:t>Distributions to common stockholders are recorded on the ex-dividend date. The amount of distributions, if any, is determined by the Board each quarter. 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3" w:right="39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7" w:lineRule="exact"/>
        <w:rPr>
          <w:sz w:val="20"/>
          <w:szCs w:val="20"/>
          <w:color w:val="auto"/>
        </w:rPr>
      </w:pPr>
    </w:p>
    <w:p>
      <w:pPr>
        <w:ind w:left="360" w:hanging="316"/>
        <w:spacing w:after="0"/>
        <w:tabs>
          <w:tab w:leader="none" w:pos="36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EARNINGS (LOSSES) PER SHARE</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In accordance with the provisions of ASC 260, “Earnings per Share” (“ASC 260”), basic earnings per share is computed by dividing earnings available to common shareholders by the</w:t>
      </w:r>
    </w:p>
    <w:p>
      <w:pPr>
        <w:spacing w:after="0" w:line="27" w:lineRule="exact"/>
        <w:rPr>
          <w:sz w:val="20"/>
          <w:szCs w:val="20"/>
          <w:color w:val="auto"/>
        </w:rPr>
      </w:pPr>
    </w:p>
    <w:p>
      <w:pPr>
        <w:ind w:right="340"/>
        <w:spacing w:after="0" w:line="243" w:lineRule="auto"/>
        <w:rPr>
          <w:sz w:val="20"/>
          <w:szCs w:val="20"/>
          <w:color w:val="auto"/>
        </w:rPr>
      </w:pPr>
      <w:r>
        <w:rPr>
          <w:rFonts w:ascii="Times New Roman" w:cs="Times New Roman" w:eastAsia="Times New Roman" w:hAnsi="Times New Roman"/>
          <w:sz w:val="14"/>
          <w:szCs w:val="14"/>
          <w:color w:val="auto"/>
        </w:rPr>
        <w:t>weighted average number of shares outstanding during the period. Other potentially dilutive common shares, and the related impact to earnings, are considered when calculating earnings per share on a diluted basis.</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following information sets forth the computation of basic and diluted net increase (decrease) in net assets per share for the three and six months ended June 30, 2024 and 2023:</w:t>
      </w:r>
    </w:p>
    <w:tbl>
      <w:tblPr>
        <w:tblLayout w:type="fixed"/>
        <w:tblInd w:w="0" w:type="dxa"/>
        <w:tblCellMar>
          <w:top w:w="0" w:type="dxa"/>
          <w:left w:w="0" w:type="dxa"/>
          <w:bottom w:w="0" w:type="dxa"/>
          <w:right w:w="0" w:type="dxa"/>
        </w:tblCellMar>
      </w:tblPr>
      <w:tr>
        <w:trPr>
          <w:trHeight w:val="148"/>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4"/>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4"/>
          </w:tcPr>
          <w:p>
            <w:pPr>
              <w:jc w:val="center"/>
              <w:ind w:right="148"/>
              <w:spacing w:after="0" w:line="147" w:lineRule="exact"/>
              <w:rPr>
                <w:sz w:val="20"/>
                <w:szCs w:val="20"/>
                <w:color w:val="auto"/>
              </w:rPr>
            </w:pPr>
            <w:r>
              <w:rPr>
                <w:rFonts w:ascii="Times New Roman" w:cs="Times New Roman" w:eastAsia="Times New Roman" w:hAnsi="Times New Roman"/>
                <w:sz w:val="14"/>
                <w:szCs w:val="14"/>
                <w:b w:val="1"/>
                <w:bCs w:val="1"/>
                <w:color w:val="auto"/>
              </w:rPr>
              <w:t>For the Six Months Ended June</w:t>
            </w:r>
          </w:p>
        </w:tc>
        <w:tc>
          <w:tcPr>
            <w:tcW w:w="0" w:type="dxa"/>
            <w:vAlign w:val="bottom"/>
          </w:tcPr>
          <w:p>
            <w:pPr>
              <w:spacing w:after="0"/>
              <w:rPr>
                <w:sz w:val="1"/>
                <w:szCs w:val="1"/>
                <w:color w:val="auto"/>
              </w:rPr>
            </w:pPr>
          </w:p>
        </w:tc>
      </w:tr>
      <w:tr>
        <w:trPr>
          <w:trHeight w:val="187"/>
        </w:trPr>
        <w:tc>
          <w:tcPr>
            <w:tcW w:w="6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9"/>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decrease in net assets resulting from operations – 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(6,372 )</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(3,114 )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(1,887 )</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(3,059 )</w:t>
            </w:r>
          </w:p>
        </w:tc>
        <w:tc>
          <w:tcPr>
            <w:tcW w:w="0" w:type="dxa"/>
            <w:vAlign w:val="bottom"/>
          </w:tcPr>
          <w:p>
            <w:pPr>
              <w:spacing w:after="0"/>
              <w:rPr>
                <w:sz w:val="1"/>
                <w:szCs w:val="1"/>
                <w:color w:val="auto"/>
              </w:rPr>
            </w:pPr>
          </w:p>
        </w:tc>
      </w:tr>
      <w:tr>
        <w:trPr>
          <w:trHeight w:val="169"/>
        </w:trPr>
        <w:tc>
          <w:tcPr>
            <w:tcW w:w="6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Weighted average common stock outstanding – basic and diluted</w:t>
            </w: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9,293,687</w:t>
            </w:r>
          </w:p>
        </w:tc>
        <w:tc>
          <w:tcPr>
            <w:tcW w:w="12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9,541,722</w:t>
            </w:r>
          </w:p>
        </w:tc>
        <w:tc>
          <w:tcPr>
            <w:tcW w:w="120" w:type="dxa"/>
            <w:vAlign w:val="bottom"/>
            <w:tcBorders>
              <w:top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9,319,272</w:t>
            </w: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9,548,424</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decrease in net assets per share from operations – basic and diluted</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(0.69 )</w:t>
            </w:r>
          </w:p>
        </w:tc>
        <w:tc>
          <w:tcPr>
            <w:tcW w:w="36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(0.33 )</w:t>
            </w: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(0.20 )</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(0.32 )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-256540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-256540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-256540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6" w:lineRule="exact"/>
        <w:rPr>
          <w:sz w:val="20"/>
          <w:szCs w:val="20"/>
          <w:color w:val="auto"/>
        </w:rPr>
      </w:pPr>
    </w:p>
    <w:p>
      <w:pPr>
        <w:ind w:left="300" w:hanging="292"/>
        <w:spacing w:after="0"/>
        <w:tabs>
          <w:tab w:leader="none" w:pos="30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INVESTMENTS</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the Company’s portfolio by security type at June 30, 2024 and December 31, 2023:</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Cost/Amortized</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2"/>
                <w:szCs w:val="12"/>
                <w:color w:val="auto"/>
              </w:rPr>
            </w:pPr>
          </w:p>
        </w:tc>
        <w:tc>
          <w:tcPr>
            <w:tcW w:w="11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Cost/Amortized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187"/>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343,264</w:t>
            </w:r>
          </w:p>
        </w:tc>
        <w:tc>
          <w:tcPr>
            <w:tcW w:w="5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320,815</w:t>
            </w:r>
          </w:p>
        </w:tc>
        <w:tc>
          <w:tcPr>
            <w:tcW w:w="12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72.1 %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351,858</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336,599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71.9 %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1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48,750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36,386</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8.2 %</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50,814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41,254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8,055</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1,693</w:t>
            </w:r>
          </w:p>
        </w:tc>
        <w:tc>
          <w:tcPr>
            <w:tcW w:w="12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7,990</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1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8,423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7,354</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8,968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65,775</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54,292</w:t>
            </w:r>
          </w:p>
        </w:tc>
        <w:tc>
          <w:tcPr>
            <w:tcW w:w="12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12.2 %</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71,415</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59,287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30,594</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23,830</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31,280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Asset Manager Affiliates</w:t>
            </w:r>
            <w:r>
              <w:rPr>
                <w:rFonts w:ascii="Times New Roman" w:cs="Times New Roman" w:eastAsia="Times New Roman" w:hAnsi="Times New Roman"/>
                <w:sz w:val="19"/>
                <w:szCs w:val="19"/>
                <w:color w:val="auto"/>
                <w:vertAlign w:val="superscript"/>
              </w:rPr>
              <w:t>(1)</w:t>
            </w: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17,791</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17,791</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522,683</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444,370</w:t>
            </w: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540,282</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467,865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-24765</wp:posOffset>
            </wp:positionV>
            <wp:extent cx="1625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-7620</wp:posOffset>
            </wp:positionV>
            <wp:extent cx="1625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1200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1200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939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939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19030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equity investment in the Asset Manager Affiliates.</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3" w:right="31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40" w:type="dxa"/>
            <w:vAlign w:val="bottom"/>
            <w:gridSpan w:val="16"/>
          </w:tcPr>
          <w:p>
            <w:pPr>
              <w:ind w:left="380"/>
              <w:spacing w:after="0"/>
              <w:rPr>
                <w:sz w:val="20"/>
                <w:szCs w:val="20"/>
                <w:color w:val="auto"/>
              </w:rPr>
            </w:pPr>
            <w:r>
              <w:rPr>
                <w:rFonts w:ascii="Times New Roman" w:cs="Times New Roman" w:eastAsia="Times New Roman" w:hAnsi="Times New Roman"/>
                <w:sz w:val="14"/>
                <w:szCs w:val="14"/>
                <w:color w:val="auto"/>
              </w:rPr>
              <w:t>The industry concentrations based on the fair value of the Company’s investment portfolio as of June 30, 2024 and December 31, 2023 were as follows: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Cost/Amortized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1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Cost/Amortized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87"/>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Aerospace and Defense</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11,137</w:t>
            </w:r>
          </w:p>
        </w:tc>
        <w:tc>
          <w:tcPr>
            <w:tcW w:w="42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11,255</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2.5 %</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11,130</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11,256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Alternative Carriers</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0.0 %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Application Software</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1,153</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0.3 %</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Asset Management Company</w:t>
            </w:r>
            <w:r>
              <w:rPr>
                <w:rFonts w:ascii="Times New Roman" w:cs="Times New Roman" w:eastAsia="Times New Roman" w:hAnsi="Times New Roman"/>
                <w:sz w:val="19"/>
                <w:szCs w:val="19"/>
                <w:color w:val="auto"/>
                <w:vertAlign w:val="superscript"/>
              </w:rPr>
              <w:t>(2)</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0.0 %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Banking, Finance, Insurance &amp; Real Estate</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48,313</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49,325</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11.1 %</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51,486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53,918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Beverage, Food and Tobacco</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11,775</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2.6 %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11,444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Equipment</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10,806</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1,435</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0.3 %</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10,684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1,203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9,704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2.2 %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CLO Fund Securities</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8,423</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7,354</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1.7 %</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9,103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8,968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Construction &amp; Building</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7,344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1.7 %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 goods: Durable</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24,447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22,093</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5.0 %</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16,431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13,898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Containers, Packaging and Glass</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2,679</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0.6 %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2,665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2,733</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2,756</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0.6 %</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Energy: Electricity</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671</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0.2 %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Energy: Oil &amp; Gas</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0.0 %</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6,721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19,135</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4.3 %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18,972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Healthcare &amp; Pharmaceuticals</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56,541</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55,044</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12.4 %</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59,189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57,224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Healthcare, Education and Childcare</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6,133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1.4 %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6,163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High Tech Industries</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69,749</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52,766</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11.9 %</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84,676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73,430</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Hotel, Gaming &amp; Leisure</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2,543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0.6 %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3,948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Interactive Media &amp; Services</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2,606</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0.6 %</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2,662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 Consulting &amp; Other Services</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2,320</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0.5 %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2,259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Joint Venture</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65,775</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54,292</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12.2 %</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71,415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59,287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Machinery (Non-Agrclt/Constr/Electr)</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12,257</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2.7 %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Media: Broadcasting &amp; Subscription</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17,528</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13,294</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3.0 %</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16,665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14,618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Media: Diversified &amp; Production</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375</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0.1 %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Metals &amp; Mining</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9,951</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5,992</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1.3 %</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7,742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8,399</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1.9 %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8,732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Services: Business</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63,842</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60,817</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13.7 %</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58,997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57,168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Services: Consumer</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2,639</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0.6 %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Telecommunications</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5,303</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4,629</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0.9 %</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4,389</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Transportation: Cargo</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6,075</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1.4 %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10,303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Transportation: Consumer</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7,438</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7,510</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1.7 %</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7,465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7,409</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522,683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444,370</w:t>
            </w:r>
          </w:p>
        </w:tc>
        <w:tc>
          <w:tcPr>
            <w:tcW w:w="1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540,282</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467,865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-239395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-239395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-239395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-239395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-239395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used.</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equity investment in the Asset Manager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3" w:right="319" w:bottom="1440" w:gutter="0" w:footer="0" w:header="0"/>
        </w:sectPr>
      </w:pPr>
    </w:p>
    <w:bookmarkStart w:id="26" w:name="page27"/>
    <w:bookmarkEnd w:id="2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Investments in CLO Fund Securities</w:t>
      </w:r>
    </w:p>
    <w:p>
      <w:pPr>
        <w:spacing w:after="0" w:line="98" w:lineRule="exact"/>
        <w:rPr>
          <w:sz w:val="20"/>
          <w:szCs w:val="20"/>
          <w:color w:val="auto"/>
        </w:rPr>
      </w:pPr>
    </w:p>
    <w:p>
      <w:pPr>
        <w:ind w:right="240" w:firstLine="374"/>
        <w:spacing w:after="0" w:line="231" w:lineRule="auto"/>
        <w:rPr>
          <w:sz w:val="20"/>
          <w:szCs w:val="20"/>
          <w:color w:val="auto"/>
        </w:rPr>
      </w:pPr>
      <w:r>
        <w:rPr>
          <w:rFonts w:ascii="Times New Roman" w:cs="Times New Roman" w:eastAsia="Times New Roman" w:hAnsi="Times New Roman"/>
          <w:sz w:val="14"/>
          <w:szCs w:val="14"/>
          <w:color w:val="auto"/>
        </w:rPr>
        <w:t>The Company has made non-controlling investments in the most junior class of securities (typically preferred shares or subordinated securities) of CLO Funds.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CLO Funds less payments made to senior bond holders, fund expenses and management fees) is paid to the holders of the CLO Fund’s subordinated securities or preferred shares.</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details investments in CLO Fund Securities at June 30, 2024 and December 31, 2023:</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28"/>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CLO Fund 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1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ind w:right="48"/>
              <w:spacing w:after="0" w:line="189" w:lineRule="exact"/>
              <w:rPr>
                <w:sz w:val="20"/>
                <w:szCs w:val="20"/>
                <w:color w:val="auto"/>
              </w:rPr>
            </w:pPr>
            <w:r>
              <w:rPr>
                <w:rFonts w:ascii="Times New Roman" w:cs="Times New Roman" w:eastAsia="Times New Roman" w:hAnsi="Times New Roman"/>
                <w:sz w:val="14"/>
                <w:szCs w:val="14"/>
                <w:b w:val="1"/>
                <w:bCs w:val="1"/>
                <w:color w:val="auto"/>
                <w:w w:val="96"/>
              </w:rPr>
              <w:t>Ownership</w:t>
            </w:r>
            <w:r>
              <w:rPr>
                <w:rFonts w:ascii="Times New Roman" w:cs="Times New Roman" w:eastAsia="Times New Roman" w:hAnsi="Times New Roman"/>
                <w:sz w:val="19"/>
                <w:szCs w:val="19"/>
                <w:b w:val="1"/>
                <w:bCs w:val="1"/>
                <w:color w:val="auto"/>
                <w:w w:val="96"/>
                <w:vertAlign w:val="superscript"/>
              </w:rPr>
              <w:t>(1)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right"/>
              <w:ind w:right="148"/>
              <w:spacing w:after="0" w:line="189" w:lineRule="exact"/>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9"/>
                <w:szCs w:val="19"/>
                <w:b w:val="1"/>
                <w:bCs w:val="1"/>
                <w:color w:val="auto"/>
                <w:vertAlign w:val="superscript"/>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Catamaran CLO 2014-1 Ltd.</w:t>
            </w:r>
          </w:p>
        </w:tc>
        <w:tc>
          <w:tcPr>
            <w:tcW w:w="140" w:type="dxa"/>
            <w:vAlign w:val="bottom"/>
            <w:shd w:val="clear" w:color="auto" w:fill="CFF0FC"/>
          </w:tcPr>
          <w:p>
            <w:pPr>
              <w:spacing w:after="0"/>
              <w:rPr>
                <w:sz w:val="14"/>
                <w:szCs w:val="14"/>
                <w:color w:val="auto"/>
              </w:rPr>
            </w:pPr>
          </w:p>
        </w:tc>
        <w:tc>
          <w:tcPr>
            <w:tcW w:w="2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459</w:t>
            </w:r>
          </w:p>
        </w:tc>
        <w:tc>
          <w:tcPr>
            <w:tcW w:w="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459</w:t>
            </w:r>
          </w:p>
        </w:tc>
        <w:tc>
          <w:tcPr>
            <w:tcW w:w="15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22.2 %  $</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1,024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Catamaran CLO 2018-1 Ltd.</w:t>
            </w:r>
          </w:p>
        </w:tc>
        <w:tc>
          <w:tcPr>
            <w:tcW w:w="140" w:type="dxa"/>
            <w:vAlign w:val="bottom"/>
          </w:tcPr>
          <w:p>
            <w:pPr>
              <w:spacing w:after="0"/>
              <w:rPr>
                <w:sz w:val="15"/>
                <w:szCs w:val="15"/>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10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3,629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2,956</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24.8 %</w:t>
            </w:r>
          </w:p>
        </w:tc>
        <w:tc>
          <w:tcPr>
            <w:tcW w:w="1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3,923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Dryden 30 Senior Loan Fund</w:t>
            </w:r>
          </w:p>
        </w:tc>
        <w:tc>
          <w:tcPr>
            <w:tcW w:w="140" w:type="dxa"/>
            <w:vAlign w:val="bottom"/>
            <w:shd w:val="clear" w:color="auto" w:fill="CFF0FC"/>
          </w:tcPr>
          <w:p>
            <w:pPr>
              <w:spacing w:after="0"/>
              <w:rPr>
                <w:sz w:val="15"/>
                <w:szCs w:val="15"/>
                <w:color w:val="auto"/>
              </w:rPr>
            </w:pPr>
          </w:p>
        </w:tc>
        <w:tc>
          <w:tcPr>
            <w:tcW w:w="2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216</w:t>
            </w:r>
          </w:p>
        </w:tc>
        <w:tc>
          <w:tcPr>
            <w:tcW w:w="1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6.8 %</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409</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JMP Credit Advisors CLO IV Ltd.</w:t>
            </w:r>
          </w:p>
        </w:tc>
        <w:tc>
          <w:tcPr>
            <w:tcW w:w="140" w:type="dxa"/>
            <w:vAlign w:val="bottom"/>
          </w:tcPr>
          <w:p>
            <w:pPr>
              <w:spacing w:after="0"/>
              <w:rPr>
                <w:sz w:val="15"/>
                <w:szCs w:val="15"/>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10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615</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57.2 %</w:t>
            </w:r>
          </w:p>
        </w:tc>
        <w:tc>
          <w:tcPr>
            <w:tcW w:w="1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JMP Credit Advisors CLO V Ltd.</w:t>
            </w:r>
          </w:p>
        </w:tc>
        <w:tc>
          <w:tcPr>
            <w:tcW w:w="140" w:type="dxa"/>
            <w:vAlign w:val="bottom"/>
            <w:tcBorders>
              <w:bottom w:val="single" w:sz="8" w:color="CFF0FC"/>
            </w:tcBorders>
            <w:shd w:val="clear" w:color="auto" w:fill="CFF0FC"/>
          </w:tcPr>
          <w:p>
            <w:pPr>
              <w:spacing w:after="0"/>
              <w:rPr>
                <w:sz w:val="15"/>
                <w:szCs w:val="15"/>
                <w:color w:val="auto"/>
              </w:rPr>
            </w:pPr>
          </w:p>
        </w:tc>
        <w:tc>
          <w:tcPr>
            <w:tcW w:w="23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1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3,393</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3,108</w:t>
            </w:r>
          </w:p>
        </w:tc>
        <w:tc>
          <w:tcPr>
            <w:tcW w:w="140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57.2 %</w:t>
            </w:r>
          </w:p>
        </w:tc>
        <w:tc>
          <w:tcPr>
            <w:tcW w:w="1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3,049</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3,049</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8,423</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7,354</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9,103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8,968</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-239395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-239395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-239395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percentage of class held at June 30, 2024 and December 31, 2023, respectively.</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3"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Affiliate Investments:</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details investments in affiliates at June 30, 2024 (dollars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Purchases/</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5"/>
              </w:rPr>
              <w:t>Fair Value</w:t>
            </w:r>
          </w:p>
        </w:tc>
        <w:tc>
          <w:tcPr>
            <w:tcW w:w="7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(Sales) of or</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5"/>
              </w:rPr>
              <w:t>Transfers</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gridSpan w:val="2"/>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Principal /</w:t>
            </w:r>
          </w:p>
        </w:tc>
        <w:tc>
          <w:tcPr>
            <w:tcW w:w="4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Interes</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as of</w:t>
            </w:r>
          </w:p>
        </w:tc>
        <w:tc>
          <w:tcPr>
            <w:tcW w:w="7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Advances/</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In/(Out)</w:t>
            </w:r>
          </w:p>
        </w:tc>
        <w:tc>
          <w:tcPr>
            <w:tcW w:w="78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Net Change</w:t>
            </w:r>
          </w:p>
        </w:tc>
        <w:tc>
          <w:tcPr>
            <w:tcW w:w="100" w:type="dxa"/>
            <w:vAlign w:val="bottom"/>
          </w:tcPr>
          <w:p>
            <w:pPr>
              <w:spacing w:after="0"/>
              <w:rPr>
                <w:sz w:val="10"/>
                <w:szCs w:val="10"/>
                <w:color w:val="auto"/>
              </w:rPr>
            </w:pPr>
          </w:p>
        </w:tc>
        <w:tc>
          <w:tcPr>
            <w:tcW w:w="56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Realized</w:t>
            </w:r>
          </w:p>
        </w:tc>
        <w:tc>
          <w:tcPr>
            <w:tcW w:w="700" w:type="dxa"/>
            <w:vAlign w:val="bottom"/>
            <w:gridSpan w:val="2"/>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5"/>
              </w:rPr>
              <w:t>Fair Value</w:t>
            </w:r>
          </w:p>
        </w:tc>
        <w:tc>
          <w:tcPr>
            <w:tcW w:w="640" w:type="dxa"/>
            <w:vAlign w:val="bottom"/>
            <w:gridSpan w:val="2"/>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at</w:t>
            </w:r>
          </w:p>
        </w:tc>
        <w:tc>
          <w:tcPr>
            <w:tcW w:w="48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t and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20" w:type="dxa"/>
            <w:vAlign w:val="bottom"/>
            <w:gridSpan w:val="6"/>
            <w:vMerge w:val="restart"/>
          </w:tcPr>
          <w:p>
            <w:pPr>
              <w:spacing w:after="0"/>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(1)</w:t>
            </w:r>
          </w:p>
        </w:tc>
        <w:tc>
          <w:tcPr>
            <w:tcW w:w="1460" w:type="dxa"/>
            <w:vAlign w:val="bottom"/>
          </w:tcPr>
          <w:p>
            <w:pPr>
              <w:spacing w:after="0"/>
              <w:rPr>
                <w:sz w:val="10"/>
                <w:szCs w:val="10"/>
                <w:color w:val="auto"/>
              </w:rPr>
            </w:pPr>
          </w:p>
        </w:tc>
        <w:tc>
          <w:tcPr>
            <w:tcW w:w="154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b w:val="1"/>
                <w:bCs w:val="1"/>
                <w:color w:val="auto"/>
              </w:rPr>
              <w:t>Industry</w:t>
            </w:r>
          </w:p>
        </w:tc>
        <w:tc>
          <w:tcPr>
            <w:tcW w:w="680" w:type="dxa"/>
            <w:vAlign w:val="bottom"/>
            <w:gridSpan w:val="2"/>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December</w:t>
            </w:r>
          </w:p>
        </w:tc>
        <w:tc>
          <w:tcPr>
            <w:tcW w:w="72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(Distributio</w:t>
            </w:r>
          </w:p>
        </w:tc>
        <w:tc>
          <w:tcPr>
            <w:tcW w:w="160" w:type="dxa"/>
            <w:vAlign w:val="bottom"/>
          </w:tcPr>
          <w:p>
            <w:pPr>
              <w:spacing w:after="0"/>
              <w:rPr>
                <w:sz w:val="10"/>
                <w:szCs w:val="10"/>
                <w:color w:val="auto"/>
              </w:rPr>
            </w:pPr>
          </w:p>
        </w:tc>
        <w:tc>
          <w:tcPr>
            <w:tcW w:w="480" w:type="dxa"/>
            <w:vAlign w:val="bottom"/>
          </w:tcPr>
          <w:p>
            <w:pPr>
              <w:jc w:val="right"/>
              <w:ind w:right="186"/>
              <w:spacing w:after="0" w:line="122" w:lineRule="exact"/>
              <w:rPr>
                <w:sz w:val="20"/>
                <w:szCs w:val="20"/>
                <w:color w:val="auto"/>
              </w:rPr>
            </w:pPr>
            <w:r>
              <w:rPr>
                <w:rFonts w:ascii="Times New Roman" w:cs="Times New Roman" w:eastAsia="Times New Roman" w:hAnsi="Times New Roman"/>
                <w:sz w:val="11"/>
                <w:szCs w:val="11"/>
                <w:b w:val="1"/>
                <w:bCs w:val="1"/>
                <w:color w:val="auto"/>
              </w:rPr>
              <w:t>Net</w:t>
            </w:r>
          </w:p>
        </w:tc>
        <w:tc>
          <w:tcPr>
            <w:tcW w:w="140" w:type="dxa"/>
            <w:vAlign w:val="bottom"/>
          </w:tcPr>
          <w:p>
            <w:pPr>
              <w:spacing w:after="0"/>
              <w:rPr>
                <w:sz w:val="10"/>
                <w:szCs w:val="10"/>
                <w:color w:val="auto"/>
              </w:rPr>
            </w:pPr>
          </w:p>
        </w:tc>
        <w:tc>
          <w:tcPr>
            <w:tcW w:w="58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7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in Unrealized</w:t>
            </w:r>
          </w:p>
        </w:tc>
        <w:tc>
          <w:tcPr>
            <w:tcW w:w="66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Gain/(Loss</w:t>
            </w:r>
          </w:p>
        </w:tc>
        <w:tc>
          <w:tcPr>
            <w:tcW w:w="700" w:type="dxa"/>
            <w:vAlign w:val="bottom"/>
            <w:gridSpan w:val="2"/>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as of June</w:t>
            </w:r>
          </w:p>
        </w:tc>
        <w:tc>
          <w:tcPr>
            <w:tcW w:w="100" w:type="dxa"/>
            <w:vAlign w:val="bottom"/>
          </w:tcPr>
          <w:p>
            <w:pPr>
              <w:spacing w:after="0"/>
              <w:rPr>
                <w:sz w:val="10"/>
                <w:szCs w:val="10"/>
                <w:color w:val="auto"/>
              </w:rPr>
            </w:pPr>
          </w:p>
        </w:tc>
        <w:tc>
          <w:tcPr>
            <w:tcW w:w="54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7"/>
              </w:rPr>
              <w:t>June 30,</w:t>
            </w:r>
          </w:p>
        </w:tc>
        <w:tc>
          <w:tcPr>
            <w:tcW w:w="140" w:type="dxa"/>
            <w:vAlign w:val="bottom"/>
          </w:tcPr>
          <w:p>
            <w:pPr>
              <w:spacing w:after="0"/>
              <w:rPr>
                <w:sz w:val="10"/>
                <w:szCs w:val="10"/>
                <w:color w:val="auto"/>
              </w:rPr>
            </w:pPr>
          </w:p>
        </w:tc>
        <w:tc>
          <w:tcPr>
            <w:tcW w:w="34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6"/>
              </w:rPr>
              <w:t>Fee</w:t>
            </w:r>
          </w:p>
        </w:tc>
        <w:tc>
          <w:tcPr>
            <w:tcW w:w="680" w:type="dxa"/>
            <w:vAlign w:val="bottom"/>
            <w:gridSpan w:val="2"/>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Dividend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520" w:type="dxa"/>
            <w:vAlign w:val="bottom"/>
            <w:gridSpan w:val="6"/>
            <w:vMerge w:val="continue"/>
          </w:tcPr>
          <w:p>
            <w:pPr>
              <w:spacing w:after="0"/>
              <w:rPr>
                <w:sz w:val="13"/>
                <w:szCs w:val="13"/>
                <w:color w:val="auto"/>
              </w:rPr>
            </w:pPr>
          </w:p>
        </w:tc>
        <w:tc>
          <w:tcPr>
            <w:tcW w:w="14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Type of Investment</w:t>
            </w:r>
          </w:p>
        </w:tc>
        <w:tc>
          <w:tcPr>
            <w:tcW w:w="15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31, 2023</w:t>
            </w: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w w:val="99"/>
              </w:rPr>
              <w:t>ns)</w:t>
            </w:r>
          </w:p>
        </w:tc>
        <w:tc>
          <w:tcPr>
            <w:tcW w:w="640" w:type="dxa"/>
            <w:vAlign w:val="bottom"/>
            <w:tcBorders>
              <w:bottom w:val="single" w:sz="8" w:color="auto"/>
            </w:tcBorders>
            <w:gridSpan w:val="2"/>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Accretion</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Affiliates</w:t>
            </w:r>
          </w:p>
        </w:tc>
        <w:tc>
          <w:tcPr>
            <w:tcW w:w="780" w:type="dxa"/>
            <w:vAlign w:val="bottom"/>
            <w:tcBorders>
              <w:bottom w:val="single" w:sz="8" w:color="auto"/>
            </w:tcBorders>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Gain/(Loss)</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3"/>
              </w:rPr>
              <w:t>30, 2024</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4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91"/>
              </w:rPr>
              <w:t>Income</w:t>
            </w:r>
          </w:p>
        </w:tc>
        <w:tc>
          <w:tcPr>
            <w:tcW w:w="0" w:type="dxa"/>
            <w:vAlign w:val="bottom"/>
          </w:tcPr>
          <w:p>
            <w:pPr>
              <w:spacing w:after="0"/>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1520" w:type="dxa"/>
            <w:vAlign w:val="bottom"/>
            <w:gridSpan w:val="6"/>
            <w:shd w:val="clear" w:color="auto" w:fill="CFF0FC"/>
          </w:tcPr>
          <w:p>
            <w:pPr>
              <w:spacing w:after="0" w:line="142" w:lineRule="exact"/>
              <w:rPr>
                <w:sz w:val="20"/>
                <w:szCs w:val="20"/>
                <w:color w:val="auto"/>
              </w:rPr>
            </w:pPr>
            <w:r>
              <w:rPr>
                <w:rFonts w:ascii="Times New Roman" w:cs="Times New Roman" w:eastAsia="Times New Roman" w:hAnsi="Times New Roman"/>
                <w:sz w:val="11"/>
                <w:szCs w:val="11"/>
                <w:b w:val="1"/>
                <w:bCs w:val="1"/>
                <w:i w:val="1"/>
                <w:iCs w:val="1"/>
                <w:color w:val="auto"/>
              </w:rPr>
              <w:t>Controlled investments</w:t>
            </w:r>
            <w:r>
              <w:rPr>
                <w:rFonts w:ascii="Times New Roman" w:cs="Times New Roman" w:eastAsia="Times New Roman" w:hAnsi="Times New Roman"/>
                <w:sz w:val="14"/>
                <w:szCs w:val="14"/>
                <w:b w:val="1"/>
                <w:bCs w:val="1"/>
                <w:i w:val="1"/>
                <w:iCs w:val="1"/>
                <w:color w:val="auto"/>
                <w:vertAlign w:val="superscript"/>
              </w:rPr>
              <w:t>(3)</w:t>
            </w:r>
          </w:p>
        </w:tc>
        <w:tc>
          <w:tcPr>
            <w:tcW w:w="146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20" w:type="dxa"/>
            <w:vAlign w:val="bottom"/>
            <w:gridSpan w:val="6"/>
          </w:tcPr>
          <w:p>
            <w:pPr>
              <w:spacing w:after="0" w:line="121" w:lineRule="exact"/>
              <w:rPr>
                <w:sz w:val="20"/>
                <w:szCs w:val="20"/>
                <w:color w:val="auto"/>
              </w:rPr>
            </w:pPr>
            <w:r>
              <w:rPr>
                <w:rFonts w:ascii="Times New Roman" w:cs="Times New Roman" w:eastAsia="Times New Roman" w:hAnsi="Times New Roman"/>
                <w:sz w:val="11"/>
                <w:szCs w:val="11"/>
                <w:color w:val="auto"/>
              </w:rPr>
              <w:t>Asset Management Company</w:t>
            </w:r>
            <w:r>
              <w:rPr>
                <w:rFonts w:ascii="Times New Roman" w:cs="Times New Roman" w:eastAsia="Times New Roman" w:hAnsi="Times New Roman"/>
                <w:sz w:val="14"/>
                <w:szCs w:val="14"/>
                <w:color w:val="auto"/>
                <w:vertAlign w:val="superscript"/>
              </w:rPr>
              <w:t>(2)</w:t>
            </w:r>
          </w:p>
        </w:tc>
        <w:tc>
          <w:tcPr>
            <w:tcW w:w="14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Asset Manager Affiliates</w:t>
            </w:r>
          </w:p>
        </w:tc>
        <w:tc>
          <w:tcPr>
            <w:tcW w:w="154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Asset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4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Management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Company</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shd w:val="clear" w:color="auto" w:fill="CFF0FC"/>
          </w:tcPr>
          <w:p>
            <w:pPr>
              <w:spacing w:after="0"/>
              <w:rPr>
                <w:sz w:val="9"/>
                <w:szCs w:val="9"/>
                <w:color w:val="auto"/>
              </w:rPr>
            </w:pPr>
          </w:p>
        </w:tc>
        <w:tc>
          <w:tcPr>
            <w:tcW w:w="1520" w:type="dxa"/>
            <w:vAlign w:val="bottom"/>
            <w:gridSpan w:val="6"/>
            <w:shd w:val="clear" w:color="auto" w:fill="CFF0FC"/>
          </w:tcPr>
          <w:p>
            <w:pPr>
              <w:spacing w:after="0" w:line="112" w:lineRule="exact"/>
              <w:rPr>
                <w:sz w:val="20"/>
                <w:szCs w:val="20"/>
                <w:color w:val="auto"/>
              </w:rPr>
            </w:pPr>
            <w:r>
              <w:rPr>
                <w:rFonts w:ascii="Times New Roman" w:cs="Times New Roman" w:eastAsia="Times New Roman" w:hAnsi="Times New Roman"/>
                <w:sz w:val="11"/>
                <w:szCs w:val="11"/>
                <w:color w:val="auto"/>
              </w:rPr>
              <w:t>Tank Partners Equipment</w:t>
            </w:r>
          </w:p>
        </w:tc>
        <w:tc>
          <w:tcPr>
            <w:tcW w:w="146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w w:val="97"/>
              </w:rPr>
              <w:t>Common Stock and Membership</w:t>
            </w:r>
          </w:p>
        </w:tc>
        <w:tc>
          <w:tcPr>
            <w:tcW w:w="1540" w:type="dxa"/>
            <w:vAlign w:val="bottom"/>
            <w:shd w:val="clear" w:color="auto" w:fill="CFF0FC"/>
          </w:tcPr>
          <w:p>
            <w:pPr>
              <w:ind w:left="100"/>
              <w:spacing w:after="0" w:line="112" w:lineRule="exact"/>
              <w:rPr>
                <w:sz w:val="20"/>
                <w:szCs w:val="20"/>
                <w:color w:val="auto"/>
              </w:rPr>
            </w:pPr>
            <w:r>
              <w:rPr>
                <w:rFonts w:ascii="Times New Roman" w:cs="Times New Roman" w:eastAsia="Times New Roman" w:hAnsi="Times New Roman"/>
                <w:sz w:val="11"/>
                <w:szCs w:val="11"/>
                <w:color w:val="auto"/>
              </w:rPr>
              <w:t>Energy: Oil &amp;</w:t>
            </w:r>
          </w:p>
        </w:tc>
        <w:tc>
          <w:tcPr>
            <w:tcW w:w="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52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1"/>
                <w:szCs w:val="11"/>
                <w:color w:val="auto"/>
              </w:rPr>
              <w:t>Holdings, LLC - Class A Units</w:t>
            </w:r>
            <w:r>
              <w:rPr>
                <w:rFonts w:ascii="Times New Roman" w:cs="Times New Roman" w:eastAsia="Times New Roman" w:hAnsi="Times New Roman"/>
                <w:sz w:val="14"/>
                <w:szCs w:val="14"/>
                <w:color w:val="auto"/>
                <w:vertAlign w:val="superscript"/>
              </w:rPr>
              <w:t>(6)</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Units</w:t>
            </w:r>
          </w:p>
        </w:tc>
        <w:tc>
          <w:tcPr>
            <w:tcW w:w="1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Gas</w:t>
            </w: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6,228</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(6,228 )</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20" w:type="dxa"/>
            <w:vAlign w:val="bottom"/>
            <w:gridSpan w:val="6"/>
          </w:tcPr>
          <w:p>
            <w:pPr>
              <w:spacing w:after="0" w:line="122" w:lineRule="exact"/>
              <w:rPr>
                <w:sz w:val="20"/>
                <w:szCs w:val="20"/>
                <w:color w:val="auto"/>
              </w:rPr>
            </w:pPr>
            <w:r>
              <w:rPr>
                <w:rFonts w:ascii="Times New Roman" w:cs="Times New Roman" w:eastAsia="Times New Roman" w:hAnsi="Times New Roman"/>
                <w:sz w:val="11"/>
                <w:szCs w:val="11"/>
                <w:color w:val="auto"/>
              </w:rPr>
              <w:t>Tank Partners Equipment</w:t>
            </w:r>
          </w:p>
        </w:tc>
        <w:tc>
          <w:tcPr>
            <w:tcW w:w="14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Subordinated Debt</w:t>
            </w:r>
          </w:p>
        </w:tc>
        <w:tc>
          <w:tcPr>
            <w:tcW w:w="154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Energy: Oil &amp;</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1"/>
                <w:szCs w:val="11"/>
                <w:color w:val="auto"/>
              </w:rPr>
              <w:t>Holdings, LLC</w:t>
            </w:r>
          </w:p>
        </w:tc>
        <w:tc>
          <w:tcPr>
            <w:tcW w:w="1460" w:type="dxa"/>
            <w:vAlign w:val="bottom"/>
          </w:tcPr>
          <w:p>
            <w:pPr>
              <w:spacing w:after="0"/>
              <w:rPr>
                <w:sz w:val="12"/>
                <w:szCs w:val="12"/>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Gas</w:t>
            </w:r>
          </w:p>
        </w:tc>
        <w:tc>
          <w:tcPr>
            <w:tcW w:w="60" w:type="dxa"/>
            <w:vAlign w:val="bottom"/>
          </w:tcPr>
          <w:p>
            <w:pPr>
              <w:spacing w:after="0"/>
              <w:rPr>
                <w:sz w:val="12"/>
                <w:szCs w:val="12"/>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43</w:t>
            </w:r>
          </w:p>
        </w:tc>
        <w:tc>
          <w:tcPr>
            <w:tcW w:w="20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(416 )</w:t>
            </w:r>
          </w:p>
        </w:tc>
        <w:tc>
          <w:tcPr>
            <w:tcW w:w="12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20" w:type="dxa"/>
            <w:vAlign w:val="bottom"/>
            <w:shd w:val="clear" w:color="auto" w:fill="CFF0FC"/>
          </w:tcPr>
          <w:p>
            <w:pPr>
              <w:spacing w:after="0"/>
              <w:rPr>
                <w:sz w:val="10"/>
                <w:szCs w:val="10"/>
                <w:color w:val="auto"/>
              </w:rPr>
            </w:pPr>
          </w:p>
        </w:tc>
        <w:tc>
          <w:tcPr>
            <w:tcW w:w="1520" w:type="dxa"/>
            <w:vAlign w:val="bottom"/>
            <w:gridSpan w:val="6"/>
            <w:shd w:val="clear" w:color="auto" w:fill="CFF0FC"/>
          </w:tcPr>
          <w:p>
            <w:pPr>
              <w:spacing w:after="0" w:line="126" w:lineRule="exact"/>
              <w:rPr>
                <w:sz w:val="20"/>
                <w:szCs w:val="20"/>
                <w:color w:val="auto"/>
              </w:rPr>
            </w:pPr>
            <w:r>
              <w:rPr>
                <w:rFonts w:ascii="Times New Roman" w:cs="Times New Roman" w:eastAsia="Times New Roman" w:hAnsi="Times New Roman"/>
                <w:sz w:val="11"/>
                <w:szCs w:val="11"/>
                <w:color w:val="auto"/>
              </w:rPr>
              <w:t>ProAir Holdco, LLC</w:t>
            </w:r>
            <w:r>
              <w:rPr>
                <w:rFonts w:ascii="Times New Roman" w:cs="Times New Roman" w:eastAsia="Times New Roman" w:hAnsi="Times New Roman"/>
                <w:sz w:val="14"/>
                <w:szCs w:val="14"/>
                <w:color w:val="auto"/>
                <w:vertAlign w:val="superscript"/>
              </w:rPr>
              <w:t>(6)</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97"/>
              </w:rPr>
              <w:t>Common Stock and Membership</w:t>
            </w:r>
          </w:p>
        </w:tc>
        <w:tc>
          <w:tcPr>
            <w:tcW w:w="1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Capital Equipment</w:t>
            </w: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Units</w:t>
            </w:r>
          </w:p>
        </w:tc>
        <w:tc>
          <w:tcPr>
            <w:tcW w:w="1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2,749,997</w:t>
            </w: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1"/>
                <w:szCs w:val="11"/>
                <w:color w:val="auto"/>
              </w:rPr>
              <w:t>ProAir, LLC</w:t>
            </w:r>
          </w:p>
        </w:tc>
        <w:tc>
          <w:tcPr>
            <w:tcW w:w="1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Subordinated Debt</w:t>
            </w:r>
          </w:p>
        </w:tc>
        <w:tc>
          <w:tcPr>
            <w:tcW w:w="1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Capital Equipment</w:t>
            </w:r>
          </w:p>
        </w:tc>
        <w:tc>
          <w:tcPr>
            <w:tcW w:w="60" w:type="dxa"/>
            <w:vAlign w:val="bottom"/>
          </w:tcPr>
          <w:p>
            <w:pPr>
              <w:spacing w:after="0"/>
              <w:rPr>
                <w:sz w:val="12"/>
                <w:szCs w:val="12"/>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2,020</w:t>
            </w:r>
          </w:p>
        </w:tc>
        <w:tc>
          <w:tcPr>
            <w:tcW w:w="140" w:type="dxa"/>
            <w:vAlign w:val="bottom"/>
          </w:tcPr>
          <w:p>
            <w:pPr>
              <w:spacing w:after="0"/>
              <w:rPr>
                <w:sz w:val="12"/>
                <w:szCs w:val="12"/>
                <w:color w:val="auto"/>
              </w:rPr>
            </w:pP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0" w:type="dxa"/>
            <w:vAlign w:val="bottom"/>
            <w:tcBorders>
              <w:bottom w:val="single" w:sz="8" w:color="CFF0FC"/>
            </w:tcBorders>
            <w:shd w:val="clear" w:color="auto" w:fill="CFF0FC"/>
          </w:tcPr>
          <w:p>
            <w:pPr>
              <w:spacing w:after="0"/>
              <w:rPr>
                <w:sz w:val="13"/>
                <w:szCs w:val="13"/>
                <w:color w:val="auto"/>
              </w:rPr>
            </w:pPr>
          </w:p>
        </w:tc>
        <w:tc>
          <w:tcPr>
            <w:tcW w:w="1520" w:type="dxa"/>
            <w:vAlign w:val="bottom"/>
            <w:tcBorders>
              <w:bottom w:val="single" w:sz="8" w:color="CFF0FC"/>
            </w:tcBorders>
            <w:gridSpan w:val="6"/>
            <w:shd w:val="clear" w:color="auto" w:fill="CFF0FC"/>
          </w:tcPr>
          <w:p>
            <w:pPr>
              <w:spacing w:after="0" w:line="153" w:lineRule="exact"/>
              <w:rPr>
                <w:sz w:val="20"/>
                <w:szCs w:val="20"/>
                <w:color w:val="auto"/>
              </w:rPr>
            </w:pPr>
            <w:r>
              <w:rPr>
                <w:rFonts w:ascii="Times New Roman" w:cs="Times New Roman" w:eastAsia="Times New Roman" w:hAnsi="Times New Roman"/>
                <w:sz w:val="11"/>
                <w:szCs w:val="11"/>
                <w:color w:val="auto"/>
              </w:rPr>
              <w:t>KCAP Freedom 3, LLC</w:t>
            </w:r>
            <w:r>
              <w:rPr>
                <w:rFonts w:ascii="Times New Roman" w:cs="Times New Roman" w:eastAsia="Times New Roman" w:hAnsi="Times New Roman"/>
                <w:sz w:val="14"/>
                <w:szCs w:val="14"/>
                <w:color w:val="auto"/>
                <w:vertAlign w:val="superscript"/>
              </w:rPr>
              <w:t>(2)</w:t>
            </w:r>
          </w:p>
        </w:tc>
        <w:tc>
          <w:tcPr>
            <w:tcW w:w="1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Joint Ventures</w:t>
            </w:r>
          </w:p>
        </w:tc>
        <w:tc>
          <w:tcPr>
            <w:tcW w:w="15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Joint Venture</w:t>
            </w:r>
          </w:p>
        </w:tc>
        <w:tc>
          <w:tcPr>
            <w:tcW w:w="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14,275</w:t>
            </w:r>
          </w:p>
        </w:tc>
        <w:tc>
          <w:tcPr>
            <w:tcW w:w="20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(969 )</w:t>
            </w:r>
          </w:p>
        </w:tc>
        <w:tc>
          <w:tcPr>
            <w:tcW w:w="16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241</w:t>
            </w: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13,547</w:t>
            </w:r>
          </w:p>
        </w:tc>
        <w:tc>
          <w:tcPr>
            <w:tcW w:w="1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27,220</w:t>
            </w:r>
          </w:p>
        </w:tc>
        <w:tc>
          <w:tcPr>
            <w:tcW w:w="14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52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Total Controlled investments</w:t>
            </w:r>
          </w:p>
        </w:tc>
        <w:tc>
          <w:tcPr>
            <w:tcW w:w="1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14,318</w:t>
            </w:r>
          </w:p>
        </w:tc>
        <w:tc>
          <w:tcPr>
            <w:tcW w:w="20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(969 )</w:t>
            </w:r>
          </w:p>
        </w:tc>
        <w:tc>
          <w:tcPr>
            <w:tcW w:w="16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ind w:left="4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rPr>
              <w:t>6,842</w:t>
            </w:r>
          </w:p>
        </w:tc>
        <w:tc>
          <w:tcPr>
            <w:tcW w:w="1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(6,644 )</w:t>
            </w:r>
          </w:p>
        </w:tc>
        <w:tc>
          <w:tcPr>
            <w:tcW w:w="1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rPr>
              <w:t>13,547</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shd w:val="clear" w:color="auto" w:fill="CFF0FC"/>
          </w:tcPr>
          <w:p>
            <w:pPr>
              <w:spacing w:after="0"/>
              <w:rPr>
                <w:sz w:val="7"/>
                <w:szCs w:val="7"/>
                <w:color w:val="auto"/>
              </w:rPr>
            </w:pPr>
          </w:p>
        </w:tc>
        <w:tc>
          <w:tcPr>
            <w:tcW w:w="1520" w:type="dxa"/>
            <w:vAlign w:val="bottom"/>
            <w:gridSpan w:val="6"/>
            <w:shd w:val="clear" w:color="auto" w:fill="CFF0FC"/>
          </w:tcPr>
          <w:p>
            <w:pPr>
              <w:spacing w:after="0" w:line="89" w:lineRule="exact"/>
              <w:rPr>
                <w:sz w:val="20"/>
                <w:szCs w:val="20"/>
                <w:color w:val="auto"/>
              </w:rPr>
            </w:pPr>
            <w:r>
              <w:rPr>
                <w:rFonts w:ascii="Times New Roman" w:cs="Times New Roman" w:eastAsia="Times New Roman" w:hAnsi="Times New Roman"/>
                <w:sz w:val="10"/>
                <w:szCs w:val="10"/>
                <w:b w:val="1"/>
                <w:bCs w:val="1"/>
                <w:i w:val="1"/>
                <w:iCs w:val="1"/>
                <w:color w:val="auto"/>
              </w:rPr>
              <w:t>Non-controlled affiliated</w:t>
            </w:r>
          </w:p>
        </w:tc>
        <w:tc>
          <w:tcPr>
            <w:tcW w:w="1460" w:type="dxa"/>
            <w:vAlign w:val="bottom"/>
            <w:shd w:val="clear" w:color="auto" w:fill="CFF0FC"/>
          </w:tcPr>
          <w:p>
            <w:pPr>
              <w:spacing w:after="0"/>
              <w:rPr>
                <w:sz w:val="7"/>
                <w:szCs w:val="7"/>
                <w:color w:val="auto"/>
              </w:rPr>
            </w:pPr>
          </w:p>
        </w:tc>
        <w:tc>
          <w:tcPr>
            <w:tcW w:w="154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52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investments</w:t>
            </w:r>
            <w:r>
              <w:rPr>
                <w:rFonts w:ascii="Times New Roman" w:cs="Times New Roman" w:eastAsia="Times New Roman" w:hAnsi="Times New Roman"/>
                <w:sz w:val="14"/>
                <w:szCs w:val="14"/>
                <w:b w:val="1"/>
                <w:bCs w:val="1"/>
                <w:i w:val="1"/>
                <w:iCs w:val="1"/>
                <w:color w:val="auto"/>
                <w:vertAlign w:val="superscript"/>
              </w:rPr>
              <w:t>(5)</w:t>
            </w:r>
          </w:p>
        </w:tc>
        <w:tc>
          <w:tcPr>
            <w:tcW w:w="14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gridSpan w:val="6"/>
          </w:tcPr>
          <w:p>
            <w:pPr>
              <w:spacing w:after="0" w:line="108" w:lineRule="exact"/>
              <w:rPr>
                <w:sz w:val="20"/>
                <w:szCs w:val="20"/>
                <w:color w:val="auto"/>
              </w:rPr>
            </w:pPr>
            <w:r>
              <w:rPr>
                <w:rFonts w:ascii="Times New Roman" w:cs="Times New Roman" w:eastAsia="Times New Roman" w:hAnsi="Times New Roman"/>
                <w:sz w:val="11"/>
                <w:szCs w:val="11"/>
                <w:color w:val="auto"/>
              </w:rPr>
              <w:t>Series A-Great Lakes Funding II</w:t>
            </w:r>
          </w:p>
        </w:tc>
        <w:tc>
          <w:tcPr>
            <w:tcW w:w="14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Joint Ventures</w:t>
            </w:r>
          </w:p>
        </w:tc>
        <w:tc>
          <w:tcPr>
            <w:tcW w:w="154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rPr>
              <w:t>Joint Venture</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20" w:type="dxa"/>
            <w:vAlign w:val="bottom"/>
            <w:gridSpan w:val="6"/>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(2)(6)(7)</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45,012</w:t>
            </w:r>
          </w:p>
        </w:tc>
        <w:tc>
          <w:tcPr>
            <w:tcW w:w="2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(4,671 )</w:t>
            </w:r>
          </w:p>
        </w:tc>
        <w:tc>
          <w:tcPr>
            <w:tcW w:w="1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404</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40,745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39,329</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3,453</w:t>
            </w:r>
          </w:p>
        </w:tc>
        <w:tc>
          <w:tcPr>
            <w:tcW w:w="0" w:type="dxa"/>
            <w:vAlign w:val="bottom"/>
          </w:tcPr>
          <w:p>
            <w:pPr>
              <w:spacing w:after="0"/>
              <w:rPr>
                <w:sz w:val="1"/>
                <w:szCs w:val="1"/>
                <w:color w:val="auto"/>
              </w:rPr>
            </w:pPr>
          </w:p>
        </w:tc>
      </w:tr>
      <w:tr>
        <w:trPr>
          <w:trHeight w:val="108"/>
        </w:trPr>
        <w:tc>
          <w:tcPr>
            <w:tcW w:w="20" w:type="dxa"/>
            <w:vAlign w:val="bottom"/>
            <w:shd w:val="clear" w:color="auto" w:fill="CFF0FC"/>
          </w:tcPr>
          <w:p>
            <w:pPr>
              <w:spacing w:after="0"/>
              <w:rPr>
                <w:sz w:val="9"/>
                <w:szCs w:val="9"/>
                <w:color w:val="auto"/>
              </w:rPr>
            </w:pPr>
          </w:p>
        </w:tc>
        <w:tc>
          <w:tcPr>
            <w:tcW w:w="1520" w:type="dxa"/>
            <w:vAlign w:val="bottom"/>
            <w:gridSpan w:val="6"/>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GreenPark Infrastructure, LLC -</w:t>
            </w:r>
          </w:p>
        </w:tc>
        <w:tc>
          <w:tcPr>
            <w:tcW w:w="14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Preferred Stock and Units</w:t>
            </w:r>
          </w:p>
        </w:tc>
        <w:tc>
          <w:tcPr>
            <w:tcW w:w="1540" w:type="dxa"/>
            <w:vAlign w:val="bottom"/>
            <w:shd w:val="clear" w:color="auto" w:fill="CFF0FC"/>
          </w:tcPr>
          <w:p>
            <w:pPr>
              <w:ind w:left="100"/>
              <w:spacing w:after="0" w:line="108" w:lineRule="exact"/>
              <w:rPr>
                <w:sz w:val="20"/>
                <w:szCs w:val="20"/>
                <w:color w:val="auto"/>
              </w:rPr>
            </w:pPr>
            <w:r>
              <w:rPr>
                <w:rFonts w:ascii="Times New Roman" w:cs="Times New Roman" w:eastAsia="Times New Roman" w:hAnsi="Times New Roman"/>
                <w:sz w:val="11"/>
                <w:szCs w:val="11"/>
                <w:color w:val="auto"/>
              </w:rPr>
              <w:t>Energy: Electricity</w:t>
            </w:r>
          </w:p>
        </w:tc>
        <w:tc>
          <w:tcPr>
            <w:tcW w:w="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52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1"/>
                <w:szCs w:val="11"/>
                <w:color w:val="auto"/>
              </w:rPr>
              <w:t>Series A</w:t>
            </w:r>
            <w:r>
              <w:rPr>
                <w:rFonts w:ascii="Times New Roman" w:cs="Times New Roman" w:eastAsia="Times New Roman" w:hAnsi="Times New Roman"/>
                <w:sz w:val="14"/>
                <w:szCs w:val="14"/>
                <w:color w:val="auto"/>
                <w:vertAlign w:val="superscript"/>
              </w:rPr>
              <w:t>(6)</w:t>
            </w:r>
          </w:p>
        </w:tc>
        <w:tc>
          <w:tcPr>
            <w:tcW w:w="14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500</w:t>
            </w: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1,000</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gridSpan w:val="6"/>
          </w:tcPr>
          <w:p>
            <w:pPr>
              <w:spacing w:after="0" w:line="108" w:lineRule="exact"/>
              <w:rPr>
                <w:sz w:val="20"/>
                <w:szCs w:val="20"/>
                <w:color w:val="auto"/>
              </w:rPr>
            </w:pPr>
            <w:r>
              <w:rPr>
                <w:rFonts w:ascii="Times New Roman" w:cs="Times New Roman" w:eastAsia="Times New Roman" w:hAnsi="Times New Roman"/>
                <w:sz w:val="11"/>
                <w:szCs w:val="11"/>
                <w:color w:val="auto"/>
              </w:rPr>
              <w:t>GreenPark Infrastructure, LLC -</w:t>
            </w:r>
          </w:p>
        </w:tc>
        <w:tc>
          <w:tcPr>
            <w:tcW w:w="14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w w:val="97"/>
              </w:rPr>
              <w:t>Common Stock and Membership</w:t>
            </w:r>
          </w:p>
        </w:tc>
        <w:tc>
          <w:tcPr>
            <w:tcW w:w="154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rPr>
              <w:t>Energy: Electricity</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1"/>
                <w:szCs w:val="11"/>
                <w:color w:val="auto"/>
              </w:rPr>
              <w:t>Series M-1</w:t>
            </w:r>
            <w:r>
              <w:rPr>
                <w:rFonts w:ascii="Times New Roman" w:cs="Times New Roman" w:eastAsia="Times New Roman" w:hAnsi="Times New Roman"/>
                <w:sz w:val="14"/>
                <w:szCs w:val="14"/>
                <w:color w:val="auto"/>
                <w:vertAlign w:val="superscript"/>
              </w:rPr>
              <w:t>(6)</w:t>
            </w:r>
          </w:p>
        </w:tc>
        <w:tc>
          <w:tcPr>
            <w:tcW w:w="1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Units</w:t>
            </w: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171</w:t>
            </w:r>
          </w:p>
        </w:tc>
        <w:tc>
          <w:tcPr>
            <w:tcW w:w="200" w:type="dxa"/>
            <w:vAlign w:val="bottom"/>
          </w:tcPr>
          <w:p>
            <w:pPr>
              <w:spacing w:after="0"/>
              <w:rPr>
                <w:sz w:val="14"/>
                <w:szCs w:val="14"/>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171</w:t>
            </w: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500</w:t>
            </w:r>
          </w:p>
        </w:tc>
        <w:tc>
          <w:tcPr>
            <w:tcW w:w="140" w:type="dxa"/>
            <w:vAlign w:val="bottom"/>
          </w:tcPr>
          <w:p>
            <w:pPr>
              <w:spacing w:after="0"/>
              <w:rPr>
                <w:sz w:val="14"/>
                <w:szCs w:val="14"/>
                <w:color w:val="auto"/>
              </w:rPr>
            </w:pP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1520" w:type="dxa"/>
            <w:vAlign w:val="bottom"/>
            <w:gridSpan w:val="6"/>
            <w:shd w:val="clear" w:color="auto" w:fill="CFF0FC"/>
          </w:tcPr>
          <w:p>
            <w:pPr>
              <w:spacing w:after="0" w:line="149" w:lineRule="exact"/>
              <w:rPr>
                <w:sz w:val="20"/>
                <w:szCs w:val="20"/>
                <w:color w:val="auto"/>
              </w:rPr>
            </w:pPr>
            <w:r>
              <w:rPr>
                <w:rFonts w:ascii="Times New Roman" w:cs="Times New Roman" w:eastAsia="Times New Roman" w:hAnsi="Times New Roman"/>
                <w:sz w:val="11"/>
                <w:szCs w:val="11"/>
                <w:color w:val="auto"/>
              </w:rPr>
              <w:t xml:space="preserve">Kleen-Tech Acquisition, LLC </w:t>
            </w:r>
            <w:r>
              <w:rPr>
                <w:rFonts w:ascii="Times New Roman" w:cs="Times New Roman" w:eastAsia="Times New Roman" w:hAnsi="Times New Roman"/>
                <w:sz w:val="14"/>
                <w:szCs w:val="14"/>
                <w:color w:val="auto"/>
                <w:vertAlign w:val="superscript"/>
              </w:rPr>
              <w:t>(6)</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1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Services: Business</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998</w:t>
            </w: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335</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1,333</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250,000</w:t>
            </w: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gridSpan w:val="6"/>
          </w:tcPr>
          <w:p>
            <w:pPr>
              <w:spacing w:after="0" w:line="108" w:lineRule="exact"/>
              <w:rPr>
                <w:sz w:val="20"/>
                <w:szCs w:val="20"/>
                <w:color w:val="auto"/>
              </w:rPr>
            </w:pPr>
            <w:r>
              <w:rPr>
                <w:rFonts w:ascii="Times New Roman" w:cs="Times New Roman" w:eastAsia="Times New Roman" w:hAnsi="Times New Roman"/>
                <w:sz w:val="11"/>
                <w:szCs w:val="11"/>
                <w:color w:val="auto"/>
              </w:rPr>
              <w:t>Northeast Metal Works LLC -</w:t>
            </w:r>
          </w:p>
        </w:tc>
        <w:tc>
          <w:tcPr>
            <w:tcW w:w="14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Preferred Stock and Units</w:t>
            </w:r>
          </w:p>
        </w:tc>
        <w:tc>
          <w:tcPr>
            <w:tcW w:w="154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rPr>
              <w:t>Metals &amp; Mining</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1"/>
                <w:szCs w:val="11"/>
                <w:color w:val="auto"/>
              </w:rPr>
              <w:t>Preferred</w:t>
            </w:r>
            <w:r>
              <w:rPr>
                <w:rFonts w:ascii="Times New Roman" w:cs="Times New Roman" w:eastAsia="Times New Roman" w:hAnsi="Times New Roman"/>
                <w:sz w:val="14"/>
                <w:szCs w:val="14"/>
                <w:color w:val="auto"/>
                <w:vertAlign w:val="superscript"/>
              </w:rPr>
              <w:t>(6)</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2,368</w:t>
            </w:r>
          </w:p>
        </w:tc>
        <w:tc>
          <w:tcPr>
            <w:tcW w:w="140" w:type="dxa"/>
            <w:vAlign w:val="bottom"/>
          </w:tcPr>
          <w:p>
            <w:pPr>
              <w:spacing w:after="0"/>
              <w:rPr>
                <w:sz w:val="14"/>
                <w:szCs w:val="14"/>
                <w:color w:val="auto"/>
              </w:rPr>
            </w:pP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0" w:type="dxa"/>
            <w:vAlign w:val="bottom"/>
            <w:shd w:val="clear" w:color="auto" w:fill="CFF0FC"/>
          </w:tcPr>
          <w:p>
            <w:pPr>
              <w:spacing w:after="0"/>
              <w:rPr>
                <w:sz w:val="9"/>
                <w:szCs w:val="9"/>
                <w:color w:val="auto"/>
              </w:rPr>
            </w:pPr>
          </w:p>
        </w:tc>
        <w:tc>
          <w:tcPr>
            <w:tcW w:w="1520" w:type="dxa"/>
            <w:vAlign w:val="bottom"/>
            <w:gridSpan w:val="6"/>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Northeast Metal Works LLC -</w:t>
            </w:r>
          </w:p>
        </w:tc>
        <w:tc>
          <w:tcPr>
            <w:tcW w:w="14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Preferred Stock and Units</w:t>
            </w:r>
          </w:p>
        </w:tc>
        <w:tc>
          <w:tcPr>
            <w:tcW w:w="1540" w:type="dxa"/>
            <w:vAlign w:val="bottom"/>
            <w:shd w:val="clear" w:color="auto" w:fill="CFF0FC"/>
          </w:tcPr>
          <w:p>
            <w:pPr>
              <w:ind w:left="100"/>
              <w:spacing w:after="0" w:line="108" w:lineRule="exact"/>
              <w:rPr>
                <w:sz w:val="20"/>
                <w:szCs w:val="20"/>
                <w:color w:val="auto"/>
              </w:rPr>
            </w:pPr>
            <w:r>
              <w:rPr>
                <w:rFonts w:ascii="Times New Roman" w:cs="Times New Roman" w:eastAsia="Times New Roman" w:hAnsi="Times New Roman"/>
                <w:sz w:val="11"/>
                <w:szCs w:val="11"/>
                <w:color w:val="auto"/>
              </w:rPr>
              <w:t>Metals &amp; Mining</w:t>
            </w:r>
          </w:p>
        </w:tc>
        <w:tc>
          <w:tcPr>
            <w:tcW w:w="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52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1"/>
                <w:szCs w:val="11"/>
                <w:color w:val="auto"/>
              </w:rPr>
              <w:t>Class O Preferred</w:t>
            </w:r>
            <w:r>
              <w:rPr>
                <w:rFonts w:ascii="Times New Roman" w:cs="Times New Roman" w:eastAsia="Times New Roman" w:hAnsi="Times New Roman"/>
                <w:sz w:val="14"/>
                <w:szCs w:val="14"/>
                <w:color w:val="auto"/>
                <w:vertAlign w:val="superscript"/>
              </w:rPr>
              <w:t>(6)</w:t>
            </w:r>
          </w:p>
        </w:tc>
        <w:tc>
          <w:tcPr>
            <w:tcW w:w="14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4,182</w:t>
            </w: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450</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(2,592 )</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2,040</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4,950,000</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235</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1"/>
                <w:szCs w:val="11"/>
                <w:color w:val="auto"/>
              </w:rPr>
              <w:t>Northeast Metal Works LLC</w:t>
            </w:r>
          </w:p>
        </w:tc>
        <w:tc>
          <w:tcPr>
            <w:tcW w:w="1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Subordinated Debt</w:t>
            </w:r>
          </w:p>
        </w:tc>
        <w:tc>
          <w:tcPr>
            <w:tcW w:w="1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Metals &amp; Mining</w:t>
            </w:r>
          </w:p>
        </w:tc>
        <w:tc>
          <w:tcPr>
            <w:tcW w:w="60" w:type="dxa"/>
            <w:vAlign w:val="bottom"/>
          </w:tcPr>
          <w:p>
            <w:pPr>
              <w:spacing w:after="0"/>
              <w:rPr>
                <w:sz w:val="12"/>
                <w:szCs w:val="12"/>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3,560</w:t>
            </w:r>
          </w:p>
        </w:tc>
        <w:tc>
          <w:tcPr>
            <w:tcW w:w="20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(108 )</w:t>
            </w: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3,452</w:t>
            </w: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4,500</w:t>
            </w:r>
          </w:p>
        </w:tc>
        <w:tc>
          <w:tcPr>
            <w:tcW w:w="140" w:type="dxa"/>
            <w:vAlign w:val="bottom"/>
          </w:tcPr>
          <w:p>
            <w:pPr>
              <w:spacing w:after="0"/>
              <w:rPr>
                <w:sz w:val="12"/>
                <w:szCs w:val="12"/>
                <w:color w:val="auto"/>
              </w:rPr>
            </w:pP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182</w:t>
            </w:r>
          </w:p>
        </w:tc>
        <w:tc>
          <w:tcPr>
            <w:tcW w:w="14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0" w:type="dxa"/>
            <w:vAlign w:val="bottom"/>
            <w:shd w:val="clear" w:color="auto" w:fill="CFF0FC"/>
          </w:tcPr>
          <w:p>
            <w:pPr>
              <w:spacing w:after="0"/>
              <w:rPr>
                <w:sz w:val="13"/>
                <w:szCs w:val="13"/>
                <w:color w:val="auto"/>
              </w:rPr>
            </w:pPr>
          </w:p>
        </w:tc>
        <w:tc>
          <w:tcPr>
            <w:tcW w:w="152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1"/>
                <w:szCs w:val="11"/>
                <w:color w:val="auto"/>
              </w:rPr>
              <w:t>Northeast Metal Works LLC</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Subordinated Debt</w:t>
            </w:r>
          </w:p>
        </w:tc>
        <w:tc>
          <w:tcPr>
            <w:tcW w:w="1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Metals &amp; Mining</w:t>
            </w: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500</w:t>
            </w: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500</w:t>
            </w:r>
          </w:p>
        </w:tc>
        <w:tc>
          <w:tcPr>
            <w:tcW w:w="14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15</w:t>
            </w: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6"/>
          </w:tcPr>
          <w:p>
            <w:pPr>
              <w:spacing w:after="0" w:line="149" w:lineRule="exact"/>
              <w:rPr>
                <w:sz w:val="20"/>
                <w:szCs w:val="20"/>
                <w:color w:val="auto"/>
              </w:rPr>
            </w:pPr>
            <w:r>
              <w:rPr>
                <w:rFonts w:ascii="Times New Roman" w:cs="Times New Roman" w:eastAsia="Times New Roman" w:hAnsi="Times New Roman"/>
                <w:sz w:val="11"/>
                <w:szCs w:val="11"/>
                <w:color w:val="auto"/>
              </w:rPr>
              <w:t>BMP Slappey Holdco, LLC</w:t>
            </w:r>
            <w:r>
              <w:rPr>
                <w:rFonts w:ascii="Times New Roman" w:cs="Times New Roman" w:eastAsia="Times New Roman" w:hAnsi="Times New Roman"/>
                <w:sz w:val="14"/>
                <w:szCs w:val="14"/>
                <w:color w:val="auto"/>
                <w:vertAlign w:val="superscript"/>
              </w:rPr>
              <w:t>(6)</w:t>
            </w:r>
          </w:p>
        </w:tc>
        <w:tc>
          <w:tcPr>
            <w:tcW w:w="1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Stock and Units</w:t>
            </w:r>
          </w:p>
        </w:tc>
        <w:tc>
          <w:tcPr>
            <w:tcW w:w="1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Telecommunications</w:t>
            </w:r>
          </w:p>
        </w:tc>
        <w:tc>
          <w:tcPr>
            <w:tcW w:w="60" w:type="dxa"/>
            <w:vAlign w:val="bottom"/>
          </w:tcPr>
          <w:p>
            <w:pPr>
              <w:spacing w:after="0"/>
              <w:rPr>
                <w:sz w:val="12"/>
                <w:szCs w:val="12"/>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553</w:t>
            </w:r>
          </w:p>
        </w:tc>
        <w:tc>
          <w:tcPr>
            <w:tcW w:w="20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585</w:t>
            </w: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200,000</w:t>
            </w:r>
          </w:p>
        </w:tc>
        <w:tc>
          <w:tcPr>
            <w:tcW w:w="140" w:type="dxa"/>
            <w:vAlign w:val="bottom"/>
          </w:tcPr>
          <w:p>
            <w:pPr>
              <w:spacing w:after="0"/>
              <w:rPr>
                <w:sz w:val="12"/>
                <w:szCs w:val="12"/>
                <w:color w:val="auto"/>
              </w:rPr>
            </w:pP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1520" w:type="dxa"/>
            <w:vAlign w:val="bottom"/>
            <w:gridSpan w:val="6"/>
            <w:shd w:val="clear" w:color="auto" w:fill="CFF0FC"/>
          </w:tcPr>
          <w:p>
            <w:pPr>
              <w:spacing w:after="0" w:line="149" w:lineRule="exact"/>
              <w:rPr>
                <w:sz w:val="20"/>
                <w:szCs w:val="20"/>
                <w:color w:val="auto"/>
              </w:rPr>
            </w:pPr>
            <w:r>
              <w:rPr>
                <w:rFonts w:ascii="Times New Roman" w:cs="Times New Roman" w:eastAsia="Times New Roman" w:hAnsi="Times New Roman"/>
                <w:sz w:val="11"/>
                <w:szCs w:val="11"/>
                <w:color w:val="auto"/>
              </w:rPr>
              <w:t>BMP Slappey Investment II</w:t>
            </w:r>
            <w:r>
              <w:rPr>
                <w:rFonts w:ascii="Times New Roman" w:cs="Times New Roman" w:eastAsia="Times New Roman" w:hAnsi="Times New Roman"/>
                <w:sz w:val="14"/>
                <w:szCs w:val="14"/>
                <w:color w:val="auto"/>
                <w:vertAlign w:val="superscript"/>
              </w:rPr>
              <w:t>(6)</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Preferred Stock and Units</w:t>
            </w:r>
          </w:p>
        </w:tc>
        <w:tc>
          <w:tcPr>
            <w:tcW w:w="1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Telecommunications</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246</w:t>
            </w: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260</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88,946</w:t>
            </w: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gridSpan w:val="6"/>
          </w:tcPr>
          <w:p>
            <w:pPr>
              <w:spacing w:after="0" w:line="149" w:lineRule="exact"/>
              <w:rPr>
                <w:sz w:val="20"/>
                <w:szCs w:val="20"/>
                <w:color w:val="auto"/>
              </w:rPr>
            </w:pPr>
            <w:r>
              <w:rPr>
                <w:rFonts w:ascii="Times New Roman" w:cs="Times New Roman" w:eastAsia="Times New Roman" w:hAnsi="Times New Roman"/>
                <w:sz w:val="11"/>
                <w:szCs w:val="11"/>
                <w:color w:val="auto"/>
                <w:w w:val="96"/>
              </w:rPr>
              <w:t>Princeton Medspa Partners, LLC</w:t>
            </w:r>
            <w:r>
              <w:rPr>
                <w:rFonts w:ascii="Times New Roman" w:cs="Times New Roman" w:eastAsia="Times New Roman" w:hAnsi="Times New Roman"/>
                <w:sz w:val="14"/>
                <w:szCs w:val="14"/>
                <w:color w:val="auto"/>
                <w:w w:val="96"/>
                <w:vertAlign w:val="superscript"/>
              </w:rPr>
              <w:t>(6)</w:t>
            </w:r>
          </w:p>
        </w:tc>
        <w:tc>
          <w:tcPr>
            <w:tcW w:w="1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Stock and Units</w:t>
            </w:r>
          </w:p>
        </w:tc>
        <w:tc>
          <w:tcPr>
            <w:tcW w:w="1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Healthcare &amp; Pharmaceuticals</w:t>
            </w:r>
          </w:p>
        </w:tc>
        <w:tc>
          <w:tcPr>
            <w:tcW w:w="60" w:type="dxa"/>
            <w:vAlign w:val="bottom"/>
          </w:tcPr>
          <w:p>
            <w:pPr>
              <w:spacing w:after="0"/>
              <w:rPr>
                <w:sz w:val="12"/>
                <w:szCs w:val="12"/>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1,000</w:t>
            </w: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1,000,000</w:t>
            </w:r>
          </w:p>
        </w:tc>
        <w:tc>
          <w:tcPr>
            <w:tcW w:w="140" w:type="dxa"/>
            <w:vAlign w:val="bottom"/>
          </w:tcPr>
          <w:p>
            <w:pPr>
              <w:spacing w:after="0"/>
              <w:rPr>
                <w:sz w:val="12"/>
                <w:szCs w:val="12"/>
                <w:color w:val="auto"/>
              </w:rPr>
            </w:pP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14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0" w:type="dxa"/>
            <w:vAlign w:val="bottom"/>
            <w:shd w:val="clear" w:color="auto" w:fill="CFF0FC"/>
          </w:tcPr>
          <w:p>
            <w:pPr>
              <w:spacing w:after="0"/>
              <w:rPr>
                <w:sz w:val="9"/>
                <w:szCs w:val="9"/>
                <w:color w:val="auto"/>
              </w:rPr>
            </w:pPr>
          </w:p>
        </w:tc>
        <w:tc>
          <w:tcPr>
            <w:tcW w:w="1520" w:type="dxa"/>
            <w:vAlign w:val="bottom"/>
            <w:gridSpan w:val="6"/>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w w:val="99"/>
              </w:rPr>
              <w:t>Princeton Medspa Partners, LLC -</w:t>
            </w:r>
          </w:p>
        </w:tc>
        <w:tc>
          <w:tcPr>
            <w:tcW w:w="14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w w:val="97"/>
              </w:rPr>
              <w:t>Common Stock and Membership</w:t>
            </w:r>
          </w:p>
        </w:tc>
        <w:tc>
          <w:tcPr>
            <w:tcW w:w="1540" w:type="dxa"/>
            <w:vAlign w:val="bottom"/>
            <w:shd w:val="clear" w:color="auto" w:fill="CFF0FC"/>
          </w:tcPr>
          <w:p>
            <w:pPr>
              <w:ind w:left="100"/>
              <w:spacing w:after="0" w:line="108" w:lineRule="exact"/>
              <w:rPr>
                <w:sz w:val="20"/>
                <w:szCs w:val="20"/>
                <w:color w:val="auto"/>
              </w:rPr>
            </w:pPr>
            <w:r>
              <w:rPr>
                <w:rFonts w:ascii="Times New Roman" w:cs="Times New Roman" w:eastAsia="Times New Roman" w:hAnsi="Times New Roman"/>
                <w:sz w:val="11"/>
                <w:szCs w:val="11"/>
                <w:color w:val="auto"/>
              </w:rPr>
              <w:t>Healthcare &amp; Pharmaceuticals</w:t>
            </w:r>
          </w:p>
        </w:tc>
        <w:tc>
          <w:tcPr>
            <w:tcW w:w="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52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1"/>
                <w:szCs w:val="11"/>
                <w:color w:val="auto"/>
              </w:rPr>
              <w:t>Warrant</w:t>
            </w:r>
            <w:r>
              <w:rPr>
                <w:rFonts w:ascii="Times New Roman" w:cs="Times New Roman" w:eastAsia="Times New Roman" w:hAnsi="Times New Roman"/>
                <w:sz w:val="14"/>
                <w:szCs w:val="14"/>
                <w:color w:val="auto"/>
                <w:vertAlign w:val="superscript"/>
              </w:rPr>
              <w:t>(6)</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Units</w:t>
            </w:r>
          </w:p>
        </w:tc>
        <w:tc>
          <w:tcPr>
            <w:tcW w:w="15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0</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gridSpan w:val="6"/>
          </w:tcPr>
          <w:p>
            <w:pPr>
              <w:spacing w:after="0" w:line="108" w:lineRule="exact"/>
              <w:rPr>
                <w:sz w:val="20"/>
                <w:szCs w:val="20"/>
                <w:color w:val="auto"/>
              </w:rPr>
            </w:pPr>
            <w:r>
              <w:rPr>
                <w:rFonts w:ascii="Times New Roman" w:cs="Times New Roman" w:eastAsia="Times New Roman" w:hAnsi="Times New Roman"/>
                <w:sz w:val="11"/>
                <w:szCs w:val="11"/>
                <w:color w:val="auto"/>
                <w:w w:val="99"/>
              </w:rPr>
              <w:t>Princeton Medspa Partners, LLC -</w:t>
            </w:r>
          </w:p>
        </w:tc>
        <w:tc>
          <w:tcPr>
            <w:tcW w:w="14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Derivatives</w:t>
            </w:r>
          </w:p>
        </w:tc>
        <w:tc>
          <w:tcPr>
            <w:tcW w:w="154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color w:val="auto"/>
              </w:rPr>
              <w:t>Healthcare &amp; Pharmaceuticals</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1"/>
                <w:szCs w:val="11"/>
                <w:color w:val="auto"/>
              </w:rPr>
              <w:t>Put Option</w:t>
            </w:r>
            <w:r>
              <w:rPr>
                <w:rFonts w:ascii="Times New Roman" w:cs="Times New Roman" w:eastAsia="Times New Roman" w:hAnsi="Times New Roman"/>
                <w:sz w:val="14"/>
                <w:szCs w:val="14"/>
                <w:color w:val="auto"/>
                <w:vertAlign w:val="superscript"/>
              </w:rPr>
              <w:t>(2)(6)</w:t>
            </w: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1,000,000</w:t>
            </w:r>
          </w:p>
        </w:tc>
        <w:tc>
          <w:tcPr>
            <w:tcW w:w="140" w:type="dxa"/>
            <w:vAlign w:val="bottom"/>
          </w:tcPr>
          <w:p>
            <w:pPr>
              <w:spacing w:after="0"/>
              <w:rPr>
                <w:sz w:val="14"/>
                <w:szCs w:val="14"/>
                <w:color w:val="auto"/>
              </w:rPr>
            </w:pP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0" w:type="dxa"/>
            <w:vAlign w:val="bottom"/>
            <w:shd w:val="clear" w:color="auto" w:fill="CFF0FC"/>
          </w:tcPr>
          <w:p>
            <w:pPr>
              <w:spacing w:after="0"/>
              <w:rPr>
                <w:sz w:val="9"/>
                <w:szCs w:val="9"/>
                <w:color w:val="auto"/>
              </w:rPr>
            </w:pPr>
          </w:p>
        </w:tc>
        <w:tc>
          <w:tcPr>
            <w:tcW w:w="1520" w:type="dxa"/>
            <w:vAlign w:val="bottom"/>
            <w:gridSpan w:val="6"/>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PMP OPCO, LLC ((Princeton</w:t>
            </w:r>
          </w:p>
        </w:tc>
        <w:tc>
          <w:tcPr>
            <w:tcW w:w="14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First Lien/Senior Secured Debt</w:t>
            </w:r>
          </w:p>
        </w:tc>
        <w:tc>
          <w:tcPr>
            <w:tcW w:w="1540" w:type="dxa"/>
            <w:vAlign w:val="bottom"/>
            <w:shd w:val="clear" w:color="auto" w:fill="CFF0FC"/>
          </w:tcPr>
          <w:p>
            <w:pPr>
              <w:ind w:left="100"/>
              <w:spacing w:after="0" w:line="108" w:lineRule="exact"/>
              <w:rPr>
                <w:sz w:val="20"/>
                <w:szCs w:val="20"/>
                <w:color w:val="auto"/>
              </w:rPr>
            </w:pPr>
            <w:r>
              <w:rPr>
                <w:rFonts w:ascii="Times New Roman" w:cs="Times New Roman" w:eastAsia="Times New Roman" w:hAnsi="Times New Roman"/>
                <w:sz w:val="11"/>
                <w:szCs w:val="11"/>
                <w:color w:val="auto"/>
              </w:rPr>
              <w:t>Healthcare &amp; Pharmaceuticals</w:t>
            </w:r>
          </w:p>
        </w:tc>
        <w:tc>
          <w:tcPr>
            <w:tcW w:w="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52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1"/>
                <w:szCs w:val="11"/>
                <w:color w:val="auto"/>
              </w:rPr>
              <w:t>Medspa Partners, LLC)</w:t>
            </w:r>
            <w:r>
              <w:rPr>
                <w:rFonts w:ascii="Times New Roman" w:cs="Times New Roman" w:eastAsia="Times New Roman" w:hAnsi="Times New Roman"/>
                <w:sz w:val="14"/>
                <w:szCs w:val="14"/>
                <w:color w:val="auto"/>
                <w:vertAlign w:val="superscript"/>
              </w:rPr>
              <w:t>(8)</w:t>
            </w:r>
          </w:p>
        </w:tc>
        <w:tc>
          <w:tcPr>
            <w:tcW w:w="14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1,643</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1,643</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1,688</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21</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20" w:type="dxa"/>
            <w:vAlign w:val="bottom"/>
            <w:gridSpan w:val="6"/>
          </w:tcPr>
          <w:p>
            <w:pPr>
              <w:spacing w:after="0" w:line="122" w:lineRule="exact"/>
              <w:rPr>
                <w:sz w:val="20"/>
                <w:szCs w:val="20"/>
                <w:color w:val="auto"/>
              </w:rPr>
            </w:pPr>
            <w:r>
              <w:rPr>
                <w:rFonts w:ascii="Times New Roman" w:cs="Times New Roman" w:eastAsia="Times New Roman" w:hAnsi="Times New Roman"/>
                <w:sz w:val="11"/>
                <w:szCs w:val="11"/>
                <w:color w:val="auto"/>
              </w:rPr>
              <w:t>PMP OPCO, LLC (Princeton</w:t>
            </w:r>
          </w:p>
        </w:tc>
        <w:tc>
          <w:tcPr>
            <w:tcW w:w="14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First Lien/Senior Secured Debt</w:t>
            </w:r>
          </w:p>
        </w:tc>
        <w:tc>
          <w:tcPr>
            <w:tcW w:w="154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Healthcare &amp; Pharmaceuticals</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gridSpan w:val="6"/>
          </w:tcPr>
          <w:p>
            <w:pPr>
              <w:spacing w:after="0" w:line="109" w:lineRule="exact"/>
              <w:rPr>
                <w:sz w:val="20"/>
                <w:szCs w:val="20"/>
                <w:color w:val="auto"/>
              </w:rPr>
            </w:pPr>
            <w:r>
              <w:rPr>
                <w:rFonts w:ascii="Times New Roman" w:cs="Times New Roman" w:eastAsia="Times New Roman" w:hAnsi="Times New Roman"/>
                <w:sz w:val="11"/>
                <w:szCs w:val="11"/>
                <w:color w:val="auto"/>
                <w:w w:val="97"/>
              </w:rPr>
              <w:t>Medspa Partners, LLC) (Revolver)</w:t>
            </w:r>
          </w:p>
        </w:tc>
        <w:tc>
          <w:tcPr>
            <w:tcW w:w="14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7"/>
                <w:szCs w:val="7"/>
                <w:color w:val="auto"/>
              </w:rPr>
              <w:t>(8)</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restart"/>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7"/>
                <w:szCs w:val="7"/>
                <w:color w:val="auto"/>
              </w:rPr>
            </w:pPr>
          </w:p>
        </w:tc>
        <w:tc>
          <w:tcPr>
            <w:tcW w:w="52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(4 )</w:t>
            </w:r>
          </w:p>
        </w:tc>
        <w:tc>
          <w:tcPr>
            <w:tcW w:w="160" w:type="dxa"/>
            <w:vAlign w:val="bottom"/>
          </w:tcPr>
          <w:p>
            <w:pPr>
              <w:spacing w:after="0"/>
              <w:rPr>
                <w:sz w:val="7"/>
                <w:szCs w:val="7"/>
                <w:color w:val="auto"/>
              </w:rPr>
            </w:pPr>
          </w:p>
        </w:tc>
        <w:tc>
          <w:tcPr>
            <w:tcW w:w="480" w:type="dxa"/>
            <w:vAlign w:val="bottom"/>
            <w:vMerge w:val="restart"/>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7"/>
                <w:szCs w:val="7"/>
                <w:color w:val="auto"/>
              </w:rPr>
            </w:pPr>
          </w:p>
        </w:tc>
        <w:tc>
          <w:tcPr>
            <w:tcW w:w="580" w:type="dxa"/>
            <w:vAlign w:val="bottom"/>
            <w:vMerge w:val="restart"/>
          </w:tcPr>
          <w:p>
            <w:pPr>
              <w:ind w:left="4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7"/>
                <w:szCs w:val="7"/>
                <w:color w:val="auto"/>
              </w:rPr>
            </w:pPr>
          </w:p>
        </w:tc>
        <w:tc>
          <w:tcPr>
            <w:tcW w:w="52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7"/>
                <w:szCs w:val="7"/>
                <w:color w:val="auto"/>
              </w:rPr>
            </w:pPr>
          </w:p>
        </w:tc>
        <w:tc>
          <w:tcPr>
            <w:tcW w:w="56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7"/>
                <w:szCs w:val="7"/>
                <w:color w:val="auto"/>
              </w:rPr>
            </w:pPr>
          </w:p>
        </w:tc>
        <w:tc>
          <w:tcPr>
            <w:tcW w:w="5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(4 )</w:t>
            </w:r>
          </w:p>
        </w:tc>
        <w:tc>
          <w:tcPr>
            <w:tcW w:w="100" w:type="dxa"/>
            <w:vAlign w:val="bottom"/>
          </w:tcPr>
          <w:p>
            <w:pPr>
              <w:spacing w:after="0"/>
              <w:rPr>
                <w:sz w:val="7"/>
                <w:szCs w:val="7"/>
                <w:color w:val="auto"/>
              </w:rPr>
            </w:pPr>
          </w:p>
        </w:tc>
        <w:tc>
          <w:tcPr>
            <w:tcW w:w="540" w:type="dxa"/>
            <w:vAlign w:val="bottom"/>
            <w:vMerge w:val="restart"/>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7"/>
                <w:szCs w:val="7"/>
                <w:color w:val="auto"/>
              </w:rPr>
            </w:pPr>
          </w:p>
        </w:tc>
        <w:tc>
          <w:tcPr>
            <w:tcW w:w="340" w:type="dxa"/>
            <w:vAlign w:val="bottom"/>
            <w:vMerge w:val="restart"/>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7"/>
                <w:szCs w:val="7"/>
                <w:color w:val="auto"/>
              </w:rPr>
            </w:pPr>
          </w:p>
        </w:tc>
        <w:tc>
          <w:tcPr>
            <w:tcW w:w="540" w:type="dxa"/>
            <w:vAlign w:val="bottom"/>
            <w:vMerge w:val="restart"/>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CFF0FC"/>
          </w:tcPr>
          <w:p>
            <w:pPr>
              <w:spacing w:after="0"/>
              <w:rPr>
                <w:sz w:val="9"/>
                <w:szCs w:val="9"/>
                <w:color w:val="auto"/>
              </w:rPr>
            </w:pPr>
          </w:p>
        </w:tc>
        <w:tc>
          <w:tcPr>
            <w:tcW w:w="1520" w:type="dxa"/>
            <w:vAlign w:val="bottom"/>
            <w:gridSpan w:val="6"/>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EBSC Holdings LLC (Riddell,</w:t>
            </w:r>
          </w:p>
        </w:tc>
        <w:tc>
          <w:tcPr>
            <w:tcW w:w="14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Preferred Stock and Units</w:t>
            </w:r>
          </w:p>
        </w:tc>
        <w:tc>
          <w:tcPr>
            <w:tcW w:w="1540" w:type="dxa"/>
            <w:vAlign w:val="bottom"/>
            <w:shd w:val="clear" w:color="auto" w:fill="CFF0FC"/>
          </w:tcPr>
          <w:p>
            <w:pPr>
              <w:ind w:left="100"/>
              <w:spacing w:after="0" w:line="108" w:lineRule="exact"/>
              <w:rPr>
                <w:sz w:val="20"/>
                <w:szCs w:val="20"/>
                <w:color w:val="auto"/>
              </w:rPr>
            </w:pPr>
            <w:r>
              <w:rPr>
                <w:rFonts w:ascii="Times New Roman" w:cs="Times New Roman" w:eastAsia="Times New Roman" w:hAnsi="Times New Roman"/>
                <w:sz w:val="11"/>
                <w:szCs w:val="11"/>
                <w:color w:val="auto"/>
              </w:rPr>
              <w:t>Consumer goods: Durable</w:t>
            </w:r>
          </w:p>
        </w:tc>
        <w:tc>
          <w:tcPr>
            <w:tcW w:w="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52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1"/>
                <w:szCs w:val="11"/>
                <w:color w:val="auto"/>
              </w:rPr>
              <w:t>Inc.)</w:t>
            </w:r>
            <w:r>
              <w:rPr>
                <w:rFonts w:ascii="Times New Roman" w:cs="Times New Roman" w:eastAsia="Times New Roman" w:hAnsi="Times New Roman"/>
                <w:sz w:val="14"/>
                <w:szCs w:val="14"/>
                <w:color w:val="auto"/>
                <w:vertAlign w:val="superscript"/>
              </w:rPr>
              <w:t>(6)</w:t>
            </w:r>
          </w:p>
        </w:tc>
        <w:tc>
          <w:tcPr>
            <w:tcW w:w="14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2,023</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2,028</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2,049,315</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50</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6"/>
          </w:tcPr>
          <w:p>
            <w:pPr>
              <w:spacing w:after="0" w:line="149" w:lineRule="exact"/>
              <w:rPr>
                <w:sz w:val="20"/>
                <w:szCs w:val="20"/>
                <w:color w:val="auto"/>
              </w:rPr>
            </w:pPr>
            <w:r>
              <w:rPr>
                <w:rFonts w:ascii="Times New Roman" w:cs="Times New Roman" w:eastAsia="Times New Roman" w:hAnsi="Times New Roman"/>
                <w:sz w:val="11"/>
                <w:szCs w:val="11"/>
                <w:color w:val="auto"/>
              </w:rPr>
              <w:t>Riddell, Inc.</w:t>
            </w:r>
            <w:r>
              <w:rPr>
                <w:rFonts w:ascii="Times New Roman" w:cs="Times New Roman" w:eastAsia="Times New Roman" w:hAnsi="Times New Roman"/>
                <w:sz w:val="14"/>
                <w:szCs w:val="14"/>
                <w:color w:val="auto"/>
                <w:vertAlign w:val="superscript"/>
              </w:rPr>
              <w:t>(8)</w:t>
            </w:r>
          </w:p>
        </w:tc>
        <w:tc>
          <w:tcPr>
            <w:tcW w:w="1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First Lien/Senior Secured Debt</w:t>
            </w:r>
          </w:p>
        </w:tc>
        <w:tc>
          <w:tcPr>
            <w:tcW w:w="1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Consumer goods: Durable</w:t>
            </w: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6,211</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6,211</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6,324</w:t>
            </w: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188</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20" w:type="dxa"/>
            <w:vAlign w:val="bottom"/>
            <w:shd w:val="clear" w:color="auto" w:fill="CFF0FC"/>
          </w:tcPr>
          <w:p>
            <w:pPr>
              <w:spacing w:after="0"/>
              <w:rPr>
                <w:sz w:val="10"/>
                <w:szCs w:val="10"/>
                <w:color w:val="auto"/>
              </w:rPr>
            </w:pPr>
          </w:p>
        </w:tc>
        <w:tc>
          <w:tcPr>
            <w:tcW w:w="1520" w:type="dxa"/>
            <w:vAlign w:val="bottom"/>
            <w:gridSpan w:val="6"/>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Total non-controlled affiliated</w:t>
            </w:r>
          </w:p>
        </w:tc>
        <w:tc>
          <w:tcPr>
            <w:tcW w:w="146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55,222</w:t>
            </w:r>
          </w:p>
        </w:tc>
        <w:tc>
          <w:tcPr>
            <w:tcW w:w="20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7,152</w:t>
            </w:r>
          </w:p>
        </w:tc>
        <w:tc>
          <w:tcPr>
            <w:tcW w:w="16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(1,915 )</w:t>
            </w:r>
          </w:p>
        </w:tc>
        <w:tc>
          <w:tcPr>
            <w:tcW w:w="10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60,464</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702</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3,453</w:t>
            </w:r>
          </w:p>
        </w:tc>
        <w:tc>
          <w:tcPr>
            <w:tcW w:w="0" w:type="dxa"/>
            <w:vAlign w:val="bottom"/>
          </w:tcPr>
          <w:p>
            <w:pPr>
              <w:spacing w:after="0"/>
              <w:rPr>
                <w:sz w:val="1"/>
                <w:szCs w:val="1"/>
                <w:color w:val="auto"/>
              </w:rPr>
            </w:pPr>
          </w:p>
        </w:tc>
      </w:tr>
      <w:tr>
        <w:trPr>
          <w:trHeight w:val="108"/>
        </w:trPr>
        <w:tc>
          <w:tcPr>
            <w:tcW w:w="20" w:type="dxa"/>
            <w:vAlign w:val="bottom"/>
            <w:tcBorders>
              <w:top w:val="single" w:sz="8" w:color="CFF0FC"/>
            </w:tcBorders>
            <w:shd w:val="clear" w:color="auto" w:fill="CFF0FC"/>
          </w:tcPr>
          <w:p>
            <w:pPr>
              <w:spacing w:after="0"/>
              <w:rPr>
                <w:sz w:val="9"/>
                <w:szCs w:val="9"/>
                <w:color w:val="auto"/>
              </w:rPr>
            </w:pPr>
          </w:p>
        </w:tc>
        <w:tc>
          <w:tcPr>
            <w:tcW w:w="1360" w:type="dxa"/>
            <w:vAlign w:val="bottom"/>
            <w:tcBorders>
              <w:top w:val="single" w:sz="8" w:color="auto"/>
            </w:tcBorders>
            <w:gridSpan w:val="4"/>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i w:val="1"/>
                <w:iCs w:val="1"/>
                <w:color w:val="auto"/>
              </w:rPr>
              <w:t>investments</w:t>
            </w:r>
          </w:p>
        </w:tc>
        <w:tc>
          <w:tcPr>
            <w:tcW w:w="4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460" w:type="dxa"/>
            <w:vAlign w:val="bottom"/>
            <w:tcBorders>
              <w:top w:val="single" w:sz="8" w:color="CFF0FC"/>
            </w:tcBorders>
            <w:shd w:val="clear" w:color="auto" w:fill="CFF0FC"/>
          </w:tcPr>
          <w:p>
            <w:pPr>
              <w:spacing w:after="0"/>
              <w:rPr>
                <w:sz w:val="9"/>
                <w:szCs w:val="9"/>
                <w:color w:val="auto"/>
              </w:rPr>
            </w:pPr>
          </w:p>
        </w:tc>
        <w:tc>
          <w:tcPr>
            <w:tcW w:w="154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CFF0FC"/>
            </w:tcBorders>
            <w:vMerge w:val="continue"/>
            <w:shd w:val="clear" w:color="auto" w:fill="CFF0FC"/>
          </w:tcPr>
          <w:p>
            <w:pPr>
              <w:spacing w:after="0"/>
              <w:rPr>
                <w:sz w:val="9"/>
                <w:szCs w:val="9"/>
                <w:color w:val="auto"/>
              </w:rPr>
            </w:pPr>
          </w:p>
        </w:tc>
        <w:tc>
          <w:tcPr>
            <w:tcW w:w="620" w:type="dxa"/>
            <w:vAlign w:val="bottom"/>
            <w:tcBorders>
              <w:top w:val="single" w:sz="8" w:color="CFF0FC"/>
            </w:tcBorders>
            <w:vMerge w:val="continue"/>
            <w:shd w:val="clear" w:color="auto" w:fill="CFF0FC"/>
          </w:tcPr>
          <w:p>
            <w:pPr>
              <w:spacing w:after="0"/>
              <w:rPr>
                <w:sz w:val="9"/>
                <w:szCs w:val="9"/>
                <w:color w:val="auto"/>
              </w:rPr>
            </w:pPr>
          </w:p>
        </w:tc>
        <w:tc>
          <w:tcPr>
            <w:tcW w:w="200" w:type="dxa"/>
            <w:vAlign w:val="bottom"/>
            <w:tcBorders>
              <w:top w:val="single" w:sz="8" w:color="CFF0FC"/>
            </w:tcBorders>
            <w:vMerge w:val="continue"/>
            <w:shd w:val="clear" w:color="auto" w:fill="CFF0FC"/>
          </w:tcPr>
          <w:p>
            <w:pPr>
              <w:spacing w:after="0"/>
              <w:rPr>
                <w:sz w:val="9"/>
                <w:szCs w:val="9"/>
                <w:color w:val="auto"/>
              </w:rPr>
            </w:pPr>
          </w:p>
        </w:tc>
        <w:tc>
          <w:tcPr>
            <w:tcW w:w="520" w:type="dxa"/>
            <w:vAlign w:val="bottom"/>
            <w:tcBorders>
              <w:top w:val="single" w:sz="8" w:color="CFF0FC"/>
            </w:tcBorders>
            <w:vMerge w:val="continue"/>
            <w:shd w:val="clear" w:color="auto" w:fill="CFF0FC"/>
          </w:tcPr>
          <w:p>
            <w:pPr>
              <w:spacing w:after="0"/>
              <w:rPr>
                <w:sz w:val="9"/>
                <w:szCs w:val="9"/>
                <w:color w:val="auto"/>
              </w:rPr>
            </w:pPr>
          </w:p>
        </w:tc>
        <w:tc>
          <w:tcPr>
            <w:tcW w:w="160" w:type="dxa"/>
            <w:vAlign w:val="bottom"/>
            <w:tcBorders>
              <w:top w:val="single" w:sz="8" w:color="CFF0FC"/>
            </w:tcBorders>
            <w:vMerge w:val="continue"/>
            <w:shd w:val="clear" w:color="auto" w:fill="CFF0FC"/>
          </w:tcPr>
          <w:p>
            <w:pPr>
              <w:spacing w:after="0"/>
              <w:rPr>
                <w:sz w:val="9"/>
                <w:szCs w:val="9"/>
                <w:color w:val="auto"/>
              </w:rPr>
            </w:pPr>
          </w:p>
        </w:tc>
        <w:tc>
          <w:tcPr>
            <w:tcW w:w="480" w:type="dxa"/>
            <w:vAlign w:val="bottom"/>
            <w:tcBorders>
              <w:top w:val="single" w:sz="8" w:color="CFF0FC"/>
            </w:tcBorders>
            <w:vMerge w:val="continue"/>
            <w:shd w:val="clear" w:color="auto" w:fill="CFF0FC"/>
          </w:tcPr>
          <w:p>
            <w:pPr>
              <w:spacing w:after="0"/>
              <w:rPr>
                <w:sz w:val="9"/>
                <w:szCs w:val="9"/>
                <w:color w:val="auto"/>
              </w:rPr>
            </w:pPr>
          </w:p>
        </w:tc>
        <w:tc>
          <w:tcPr>
            <w:tcW w:w="140" w:type="dxa"/>
            <w:vAlign w:val="bottom"/>
            <w:tcBorders>
              <w:top w:val="single" w:sz="8" w:color="CFF0FC"/>
            </w:tcBorders>
            <w:vMerge w:val="continue"/>
            <w:shd w:val="clear" w:color="auto" w:fill="CFF0FC"/>
          </w:tcPr>
          <w:p>
            <w:pPr>
              <w:spacing w:after="0"/>
              <w:rPr>
                <w:sz w:val="9"/>
                <w:szCs w:val="9"/>
                <w:color w:val="auto"/>
              </w:rPr>
            </w:pPr>
          </w:p>
        </w:tc>
        <w:tc>
          <w:tcPr>
            <w:tcW w:w="580" w:type="dxa"/>
            <w:vAlign w:val="bottom"/>
            <w:tcBorders>
              <w:top w:val="single" w:sz="8" w:color="CFF0FC"/>
            </w:tcBorders>
            <w:vMerge w:val="continue"/>
            <w:shd w:val="clear" w:color="auto" w:fill="CFF0FC"/>
          </w:tcPr>
          <w:p>
            <w:pPr>
              <w:spacing w:after="0"/>
              <w:rPr>
                <w:sz w:val="9"/>
                <w:szCs w:val="9"/>
                <w:color w:val="auto"/>
              </w:rPr>
            </w:pPr>
          </w:p>
        </w:tc>
        <w:tc>
          <w:tcPr>
            <w:tcW w:w="260" w:type="dxa"/>
            <w:vAlign w:val="bottom"/>
            <w:tcBorders>
              <w:top w:val="single" w:sz="8" w:color="CFF0FC"/>
            </w:tcBorders>
            <w:vMerge w:val="continue"/>
            <w:shd w:val="clear" w:color="auto" w:fill="CFF0FC"/>
          </w:tcPr>
          <w:p>
            <w:pPr>
              <w:spacing w:after="0"/>
              <w:rPr>
                <w:sz w:val="9"/>
                <w:szCs w:val="9"/>
                <w:color w:val="auto"/>
              </w:rPr>
            </w:pPr>
          </w:p>
        </w:tc>
        <w:tc>
          <w:tcPr>
            <w:tcW w:w="520" w:type="dxa"/>
            <w:vAlign w:val="bottom"/>
            <w:tcBorders>
              <w:top w:val="single" w:sz="8" w:color="CFF0FC"/>
            </w:tcBorders>
            <w:vMerge w:val="continue"/>
            <w:shd w:val="clear" w:color="auto" w:fill="CFF0FC"/>
          </w:tcPr>
          <w:p>
            <w:pPr>
              <w:spacing w:after="0"/>
              <w:rPr>
                <w:sz w:val="9"/>
                <w:szCs w:val="9"/>
                <w:color w:val="auto"/>
              </w:rPr>
            </w:pPr>
          </w:p>
        </w:tc>
        <w:tc>
          <w:tcPr>
            <w:tcW w:w="100" w:type="dxa"/>
            <w:vAlign w:val="bottom"/>
            <w:tcBorders>
              <w:top w:val="single" w:sz="8" w:color="CFF0FC"/>
            </w:tcBorders>
            <w:vMerge w:val="continue"/>
            <w:shd w:val="clear" w:color="auto" w:fill="CFF0FC"/>
          </w:tcPr>
          <w:p>
            <w:pPr>
              <w:spacing w:after="0"/>
              <w:rPr>
                <w:sz w:val="9"/>
                <w:szCs w:val="9"/>
                <w:color w:val="auto"/>
              </w:rPr>
            </w:pPr>
          </w:p>
        </w:tc>
        <w:tc>
          <w:tcPr>
            <w:tcW w:w="560" w:type="dxa"/>
            <w:vAlign w:val="bottom"/>
            <w:tcBorders>
              <w:top w:val="single" w:sz="8" w:color="CFF0FC"/>
            </w:tcBorders>
            <w:vMerge w:val="continue"/>
            <w:shd w:val="clear" w:color="auto" w:fill="CFF0FC"/>
          </w:tcPr>
          <w:p>
            <w:pPr>
              <w:spacing w:after="0"/>
              <w:rPr>
                <w:sz w:val="9"/>
                <w:szCs w:val="9"/>
                <w:color w:val="auto"/>
              </w:rPr>
            </w:pPr>
          </w:p>
        </w:tc>
        <w:tc>
          <w:tcPr>
            <w:tcW w:w="120" w:type="dxa"/>
            <w:vAlign w:val="bottom"/>
            <w:tcBorders>
              <w:top w:val="single" w:sz="8" w:color="CFF0FC"/>
            </w:tcBorders>
            <w:vMerge w:val="continue"/>
            <w:shd w:val="clear" w:color="auto" w:fill="CFF0FC"/>
          </w:tcPr>
          <w:p>
            <w:pPr>
              <w:spacing w:after="0"/>
              <w:rPr>
                <w:sz w:val="9"/>
                <w:szCs w:val="9"/>
                <w:color w:val="auto"/>
              </w:rPr>
            </w:pPr>
          </w:p>
        </w:tc>
        <w:tc>
          <w:tcPr>
            <w:tcW w:w="580" w:type="dxa"/>
            <w:vAlign w:val="bottom"/>
            <w:tcBorders>
              <w:top w:val="single" w:sz="8" w:color="CFF0FC"/>
            </w:tcBorders>
            <w:vMerge w:val="continue"/>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54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CFF0FC"/>
            </w:tcBorders>
            <w:vMerge w:val="continue"/>
            <w:shd w:val="clear" w:color="auto" w:fill="CFF0FC"/>
          </w:tcPr>
          <w:p>
            <w:pPr>
              <w:spacing w:after="0"/>
              <w:rPr>
                <w:sz w:val="9"/>
                <w:szCs w:val="9"/>
                <w:color w:val="auto"/>
              </w:rPr>
            </w:pPr>
          </w:p>
        </w:tc>
        <w:tc>
          <w:tcPr>
            <w:tcW w:w="340" w:type="dxa"/>
            <w:vAlign w:val="bottom"/>
            <w:tcBorders>
              <w:top w:val="single" w:sz="8" w:color="CFF0FC"/>
            </w:tcBorders>
            <w:vMerge w:val="continue"/>
            <w:shd w:val="clear" w:color="auto" w:fill="CFF0FC"/>
          </w:tcPr>
          <w:p>
            <w:pPr>
              <w:spacing w:after="0"/>
              <w:rPr>
                <w:sz w:val="9"/>
                <w:szCs w:val="9"/>
                <w:color w:val="auto"/>
              </w:rPr>
            </w:pPr>
          </w:p>
        </w:tc>
        <w:tc>
          <w:tcPr>
            <w:tcW w:w="140" w:type="dxa"/>
            <w:vAlign w:val="bottom"/>
            <w:tcBorders>
              <w:top w:val="single" w:sz="8" w:color="CFF0FC"/>
            </w:tcBorders>
            <w:vMerge w:val="continue"/>
            <w:shd w:val="clear" w:color="auto" w:fill="CFF0FC"/>
          </w:tcPr>
          <w:p>
            <w:pPr>
              <w:spacing w:after="0"/>
              <w:rPr>
                <w:sz w:val="9"/>
                <w:szCs w:val="9"/>
                <w:color w:val="auto"/>
              </w:rPr>
            </w:pPr>
          </w:p>
        </w:tc>
        <w:tc>
          <w:tcPr>
            <w:tcW w:w="540" w:type="dxa"/>
            <w:vAlign w:val="bottom"/>
            <w:tcBorders>
              <w:top w:val="single" w:sz="8" w:color="CFF0FC"/>
            </w:tcBorders>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CFF0FC"/>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20" w:type="dxa"/>
            <w:vAlign w:val="bottom"/>
            <w:tcBorders>
              <w:top w:val="single" w:sz="8" w:color="CFF0FC"/>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60" w:type="dxa"/>
            <w:vAlign w:val="bottom"/>
            <w:tcBorders>
              <w:top w:val="single" w:sz="8" w:color="CFF0FC"/>
            </w:tcBorders>
          </w:tcPr>
          <w:p>
            <w:pPr>
              <w:spacing w:after="0"/>
              <w:rPr>
                <w:sz w:val="12"/>
                <w:szCs w:val="12"/>
                <w:color w:val="auto"/>
              </w:rPr>
            </w:pPr>
          </w:p>
        </w:tc>
        <w:tc>
          <w:tcPr>
            <w:tcW w:w="1540" w:type="dxa"/>
            <w:vAlign w:val="bottom"/>
            <w:tcBorders>
              <w:top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auto"/>
            </w:tcBorders>
            <w:gridSpan w:val="5"/>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97"/>
              </w:rPr>
              <w:t>Total non-controlled affiliated</w:t>
            </w:r>
          </w:p>
        </w:tc>
        <w:tc>
          <w:tcPr>
            <w:tcW w:w="120" w:type="dxa"/>
            <w:vAlign w:val="bottom"/>
            <w:tcBorders>
              <w:bottom w:val="single" w:sz="8" w:color="CFF0FC"/>
            </w:tcBorders>
            <w:shd w:val="clear" w:color="auto" w:fill="CFF0FC"/>
          </w:tcPr>
          <w:p>
            <w:pPr>
              <w:spacing w:after="0"/>
              <w:rPr>
                <w:sz w:val="10"/>
                <w:szCs w:val="10"/>
                <w:color w:val="auto"/>
              </w:rPr>
            </w:pPr>
          </w:p>
        </w:tc>
        <w:tc>
          <w:tcPr>
            <w:tcW w:w="1460" w:type="dxa"/>
            <w:vAlign w:val="bottom"/>
            <w:tcBorders>
              <w:bottom w:val="single" w:sz="8" w:color="CFF0FC"/>
            </w:tcBorders>
            <w:shd w:val="clear" w:color="auto" w:fill="CFF0FC"/>
          </w:tcPr>
          <w:p>
            <w:pPr>
              <w:spacing w:after="0"/>
              <w:rPr>
                <w:sz w:val="10"/>
                <w:szCs w:val="10"/>
                <w:color w:val="auto"/>
              </w:rPr>
            </w:pPr>
          </w:p>
        </w:tc>
        <w:tc>
          <w:tcPr>
            <w:tcW w:w="154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FF0FC"/>
            </w:tcBorders>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69,540</w:t>
            </w:r>
          </w:p>
        </w:tc>
        <w:tc>
          <w:tcPr>
            <w:tcW w:w="200" w:type="dxa"/>
            <w:vAlign w:val="bottom"/>
            <w:tcBorders>
              <w:bottom w:val="single" w:sz="8" w:color="CFF0FC"/>
            </w:tcBorders>
            <w:vMerge w:val="restart"/>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FF0FC"/>
            </w:tcBorders>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6,183</w:t>
            </w:r>
          </w:p>
        </w:tc>
        <w:tc>
          <w:tcPr>
            <w:tcW w:w="160" w:type="dxa"/>
            <w:vAlign w:val="bottom"/>
            <w:tcBorders>
              <w:bottom w:val="single" w:sz="8" w:color="CFF0FC"/>
            </w:tcBorders>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FF0FC"/>
            </w:tcBorders>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tcBorders>
              <w:bottom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FF0FC"/>
            </w:tcBorders>
            <w:vMerge w:val="restart"/>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FF0FC"/>
            </w:tcBorders>
            <w:vMerge w:val="restart"/>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FF0FC"/>
            </w:tcBorders>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4,927</w:t>
            </w:r>
          </w:p>
        </w:tc>
        <w:tc>
          <w:tcPr>
            <w:tcW w:w="100" w:type="dxa"/>
            <w:vAlign w:val="bottom"/>
            <w:tcBorders>
              <w:bottom w:val="single" w:sz="8" w:color="CFF0FC"/>
            </w:tcBorders>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(6,644 )</w:t>
            </w:r>
          </w:p>
        </w:tc>
        <w:tc>
          <w:tcPr>
            <w:tcW w:w="120" w:type="dxa"/>
            <w:vAlign w:val="bottom"/>
            <w:tcBorders>
              <w:bottom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FF0FC"/>
            </w:tcBorders>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74,011</w:t>
            </w:r>
          </w:p>
        </w:tc>
        <w:tc>
          <w:tcPr>
            <w:tcW w:w="10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vMerge w:val="restart"/>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FF0FC"/>
            </w:tcBorders>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702</w:t>
            </w:r>
          </w:p>
        </w:tc>
        <w:tc>
          <w:tcPr>
            <w:tcW w:w="140" w:type="dxa"/>
            <w:vAlign w:val="bottom"/>
            <w:tcBorders>
              <w:bottom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FF0FC"/>
            </w:tcBorders>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3,453</w:t>
            </w:r>
          </w:p>
        </w:tc>
        <w:tc>
          <w:tcPr>
            <w:tcW w:w="0" w:type="dxa"/>
            <w:vAlign w:val="bottom"/>
          </w:tcPr>
          <w:p>
            <w:pPr>
              <w:spacing w:after="0"/>
              <w:rPr>
                <w:sz w:val="1"/>
                <w:szCs w:val="1"/>
                <w:color w:val="auto"/>
              </w:rPr>
            </w:pPr>
          </w:p>
        </w:tc>
      </w:tr>
      <w:tr>
        <w:trPr>
          <w:trHeight w:val="133"/>
        </w:trPr>
        <w:tc>
          <w:tcPr>
            <w:tcW w:w="20" w:type="dxa"/>
            <w:vAlign w:val="bottom"/>
            <w:tcBorders>
              <w:bottom w:val="single" w:sz="8" w:color="CFF0FC"/>
            </w:tcBorders>
            <w:shd w:val="clear" w:color="auto" w:fill="CFF0FC"/>
          </w:tcPr>
          <w:p>
            <w:pPr>
              <w:spacing w:after="0"/>
              <w:rPr>
                <w:sz w:val="11"/>
                <w:szCs w:val="11"/>
                <w:color w:val="auto"/>
              </w:rPr>
            </w:pPr>
          </w:p>
        </w:tc>
        <w:tc>
          <w:tcPr>
            <w:tcW w:w="1520" w:type="dxa"/>
            <w:vAlign w:val="bottom"/>
            <w:tcBorders>
              <w:bottom w:val="single" w:sz="8" w:color="CFF0FC"/>
            </w:tcBorders>
            <w:gridSpan w:val="6"/>
            <w:shd w:val="clear" w:color="auto" w:fill="CFF0FC"/>
          </w:tcPr>
          <w:p>
            <w:pPr>
              <w:spacing w:after="0" w:line="75" w:lineRule="exact"/>
              <w:rPr>
                <w:sz w:val="20"/>
                <w:szCs w:val="20"/>
                <w:color w:val="auto"/>
              </w:rPr>
            </w:pPr>
            <w:r>
              <w:rPr>
                <w:rFonts w:ascii="Times New Roman" w:cs="Times New Roman" w:eastAsia="Times New Roman" w:hAnsi="Times New Roman"/>
                <w:sz w:val="8"/>
                <w:szCs w:val="8"/>
                <w:b w:val="1"/>
                <w:bCs w:val="1"/>
                <w:color w:val="auto"/>
              </w:rPr>
              <w:t>and controlled investments</w:t>
            </w:r>
          </w:p>
        </w:tc>
        <w:tc>
          <w:tcPr>
            <w:tcW w:w="1460" w:type="dxa"/>
            <w:vAlign w:val="bottom"/>
            <w:tcBorders>
              <w:bottom w:val="single" w:sz="8" w:color="CFF0FC"/>
            </w:tcBorders>
            <w:shd w:val="clear" w:color="auto" w:fill="CFF0FC"/>
          </w:tcPr>
          <w:p>
            <w:pPr>
              <w:spacing w:after="0"/>
              <w:rPr>
                <w:sz w:val="11"/>
                <w:szCs w:val="11"/>
                <w:color w:val="auto"/>
              </w:rPr>
            </w:pPr>
          </w:p>
        </w:tc>
        <w:tc>
          <w:tcPr>
            <w:tcW w:w="15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vMerge w:val="continue"/>
            <w:shd w:val="clear" w:color="auto" w:fill="CFF0FC"/>
          </w:tcPr>
          <w:p>
            <w:pPr>
              <w:spacing w:after="0"/>
              <w:rPr>
                <w:sz w:val="11"/>
                <w:szCs w:val="11"/>
                <w:color w:val="auto"/>
              </w:rPr>
            </w:pPr>
          </w:p>
        </w:tc>
        <w:tc>
          <w:tcPr>
            <w:tcW w:w="62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auto"/>
            </w:tcBorders>
            <w:vMerge w:val="continue"/>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160" w:type="dxa"/>
            <w:vAlign w:val="bottom"/>
            <w:tcBorders>
              <w:bottom w:val="single" w:sz="8" w:color="auto"/>
            </w:tcBorders>
            <w:vMerge w:val="continue"/>
            <w:shd w:val="clear" w:color="auto" w:fill="CFF0FC"/>
          </w:tcPr>
          <w:p>
            <w:pPr>
              <w:spacing w:after="0"/>
              <w:rPr>
                <w:sz w:val="11"/>
                <w:szCs w:val="11"/>
                <w:color w:val="auto"/>
              </w:rPr>
            </w:pPr>
          </w:p>
        </w:tc>
        <w:tc>
          <w:tcPr>
            <w:tcW w:w="480" w:type="dxa"/>
            <w:vAlign w:val="bottom"/>
            <w:tcBorders>
              <w:bottom w:val="single" w:sz="8" w:color="auto"/>
            </w:tcBorders>
            <w:vMerge w:val="continue"/>
            <w:shd w:val="clear" w:color="auto" w:fill="CFF0FC"/>
          </w:tcPr>
          <w:p>
            <w:pPr>
              <w:spacing w:after="0"/>
              <w:rPr>
                <w:sz w:val="11"/>
                <w:szCs w:val="11"/>
                <w:color w:val="auto"/>
              </w:rPr>
            </w:pPr>
          </w:p>
        </w:tc>
        <w:tc>
          <w:tcPr>
            <w:tcW w:w="140" w:type="dxa"/>
            <w:vAlign w:val="bottom"/>
            <w:tcBorders>
              <w:bottom w:val="single" w:sz="8" w:color="auto"/>
            </w:tcBorders>
            <w:vMerge w:val="continue"/>
            <w:shd w:val="clear" w:color="auto" w:fill="CFF0FC"/>
          </w:tcPr>
          <w:p>
            <w:pPr>
              <w:spacing w:after="0"/>
              <w:rPr>
                <w:sz w:val="11"/>
                <w:szCs w:val="11"/>
                <w:color w:val="auto"/>
              </w:rPr>
            </w:pPr>
          </w:p>
        </w:tc>
        <w:tc>
          <w:tcPr>
            <w:tcW w:w="580" w:type="dxa"/>
            <w:vAlign w:val="bottom"/>
            <w:tcBorders>
              <w:bottom w:val="single" w:sz="8" w:color="auto"/>
            </w:tcBorders>
            <w:vMerge w:val="continue"/>
            <w:shd w:val="clear" w:color="auto" w:fill="CFF0FC"/>
          </w:tcPr>
          <w:p>
            <w:pPr>
              <w:spacing w:after="0"/>
              <w:rPr>
                <w:sz w:val="11"/>
                <w:szCs w:val="11"/>
                <w:color w:val="auto"/>
              </w:rPr>
            </w:pPr>
          </w:p>
        </w:tc>
        <w:tc>
          <w:tcPr>
            <w:tcW w:w="260" w:type="dxa"/>
            <w:vAlign w:val="bottom"/>
            <w:tcBorders>
              <w:bottom w:val="single" w:sz="8" w:color="auto"/>
            </w:tcBorders>
            <w:vMerge w:val="continue"/>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auto"/>
            </w:tcBorders>
            <w:vMerge w:val="continue"/>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auto"/>
            </w:tcBorders>
            <w:vMerge w:val="continue"/>
            <w:shd w:val="clear" w:color="auto" w:fill="CFF0FC"/>
          </w:tcPr>
          <w:p>
            <w:pPr>
              <w:spacing w:after="0"/>
              <w:rPr>
                <w:sz w:val="11"/>
                <w:szCs w:val="11"/>
                <w:color w:val="auto"/>
              </w:rPr>
            </w:pPr>
          </w:p>
        </w:tc>
        <w:tc>
          <w:tcPr>
            <w:tcW w:w="58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vMerge w:val="continue"/>
            <w:shd w:val="clear" w:color="auto" w:fill="CFF0FC"/>
          </w:tcPr>
          <w:p>
            <w:pPr>
              <w:spacing w:after="0"/>
              <w:rPr>
                <w:sz w:val="11"/>
                <w:szCs w:val="11"/>
                <w:color w:val="auto"/>
              </w:rPr>
            </w:pPr>
          </w:p>
        </w:tc>
        <w:tc>
          <w:tcPr>
            <w:tcW w:w="340" w:type="dxa"/>
            <w:vAlign w:val="bottom"/>
            <w:tcBorders>
              <w:bottom w:val="single" w:sz="8" w:color="auto"/>
            </w:tcBorders>
            <w:vMerge w:val="continue"/>
            <w:shd w:val="clear" w:color="auto" w:fill="CFF0FC"/>
          </w:tcPr>
          <w:p>
            <w:pPr>
              <w:spacing w:after="0"/>
              <w:rPr>
                <w:sz w:val="11"/>
                <w:szCs w:val="11"/>
                <w:color w:val="auto"/>
              </w:rPr>
            </w:pPr>
          </w:p>
        </w:tc>
        <w:tc>
          <w:tcPr>
            <w:tcW w:w="140" w:type="dxa"/>
            <w:vAlign w:val="bottom"/>
            <w:tcBorders>
              <w:bottom w:val="single" w:sz="8" w:color="auto"/>
            </w:tcBorders>
            <w:vMerge w:val="continue"/>
            <w:shd w:val="clear" w:color="auto" w:fill="CFF0FC"/>
          </w:tcPr>
          <w:p>
            <w:pPr>
              <w:spacing w:after="0"/>
              <w:rPr>
                <w:sz w:val="11"/>
                <w:szCs w:val="11"/>
                <w:color w:val="auto"/>
              </w:rPr>
            </w:pPr>
          </w:p>
        </w:tc>
        <w:tc>
          <w:tcPr>
            <w:tcW w:w="540" w:type="dxa"/>
            <w:vAlign w:val="bottom"/>
            <w:tcBorders>
              <w:bottom w:val="single" w:sz="8" w:color="auto"/>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Borders>
              <w:top w:val="single" w:sz="8" w:color="CFF0FC"/>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CFF0FC"/>
              <w:bottom w:val="single" w:sz="8" w:color="auto"/>
            </w:tcBorders>
          </w:tcPr>
          <w:p>
            <w:pPr>
              <w:spacing w:after="0"/>
              <w:rPr>
                <w:sz w:val="10"/>
                <w:szCs w:val="10"/>
                <w:color w:val="auto"/>
              </w:rPr>
            </w:pPr>
          </w:p>
        </w:tc>
        <w:tc>
          <w:tcPr>
            <w:tcW w:w="80" w:type="dxa"/>
            <w:vAlign w:val="bottom"/>
            <w:tcBorders>
              <w:top w:val="single" w:sz="8" w:color="CFF0FC"/>
              <w:bottom w:val="single" w:sz="8" w:color="auto"/>
            </w:tcBorders>
          </w:tcPr>
          <w:p>
            <w:pPr>
              <w:spacing w:after="0"/>
              <w:rPr>
                <w:sz w:val="10"/>
                <w:szCs w:val="10"/>
                <w:color w:val="auto"/>
              </w:rPr>
            </w:pPr>
          </w:p>
        </w:tc>
        <w:tc>
          <w:tcPr>
            <w:tcW w:w="40" w:type="dxa"/>
            <w:vAlign w:val="bottom"/>
            <w:tcBorders>
              <w:top w:val="single" w:sz="8" w:color="CFF0FC"/>
              <w:bottom w:val="single" w:sz="8" w:color="auto"/>
            </w:tcBorders>
          </w:tcPr>
          <w:p>
            <w:pPr>
              <w:spacing w:after="0"/>
              <w:rPr>
                <w:sz w:val="10"/>
                <w:szCs w:val="10"/>
                <w:color w:val="auto"/>
              </w:rPr>
            </w:pPr>
          </w:p>
        </w:tc>
        <w:tc>
          <w:tcPr>
            <w:tcW w:w="120" w:type="dxa"/>
            <w:vAlign w:val="bottom"/>
            <w:tcBorders>
              <w:top w:val="single" w:sz="8" w:color="CFF0FC"/>
              <w:bottom w:val="single" w:sz="8" w:color="auto"/>
            </w:tcBorders>
          </w:tcPr>
          <w:p>
            <w:pPr>
              <w:spacing w:after="0"/>
              <w:rPr>
                <w:sz w:val="10"/>
                <w:szCs w:val="10"/>
                <w:color w:val="auto"/>
              </w:rPr>
            </w:pPr>
          </w:p>
        </w:tc>
        <w:tc>
          <w:tcPr>
            <w:tcW w:w="1460" w:type="dxa"/>
            <w:vAlign w:val="bottom"/>
            <w:tcBorders>
              <w:top w:val="single" w:sz="8" w:color="CFF0FC"/>
              <w:bottom w:val="single" w:sz="8" w:color="auto"/>
            </w:tcBorders>
          </w:tcPr>
          <w:p>
            <w:pPr>
              <w:spacing w:after="0"/>
              <w:rPr>
                <w:sz w:val="10"/>
                <w:szCs w:val="10"/>
                <w:color w:val="auto"/>
              </w:rPr>
            </w:pPr>
          </w:p>
        </w:tc>
        <w:tc>
          <w:tcPr>
            <w:tcW w:w="154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 value of this investment was determined using significant unobservable inputs, unless otherwise noted.</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Non-qualified asset for purposes of section 55(a) of the Investment Company Act of 1940.</w:t>
      </w:r>
    </w:p>
    <w:p>
      <w:pPr>
        <w:spacing w:after="0" w:line="93" w:lineRule="exact"/>
        <w:rPr>
          <w:rFonts w:ascii="Times New Roman" w:cs="Times New Roman" w:eastAsia="Times New Roman" w:hAnsi="Times New Roman"/>
          <w:sz w:val="13"/>
          <w:szCs w:val="13"/>
          <w:color w:val="auto"/>
        </w:rPr>
      </w:pPr>
    </w:p>
    <w:p>
      <w:pPr>
        <w:ind w:left="380" w:right="340" w:hanging="372"/>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used.</w:t>
      </w:r>
    </w:p>
    <w:p>
      <w:pPr>
        <w:spacing w:after="0" w:line="93" w:lineRule="exact"/>
        <w:rPr>
          <w:rFonts w:ascii="Times New Roman" w:cs="Times New Roman" w:eastAsia="Times New Roman" w:hAnsi="Times New Roman"/>
          <w:sz w:val="13"/>
          <w:szCs w:val="13"/>
          <w:color w:val="auto"/>
        </w:rPr>
      </w:pPr>
    </w:p>
    <w:p>
      <w:pPr>
        <w:ind w:left="380" w:right="340" w:hanging="372"/>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the 1940 Act, the Company is deemed to be an “Affiliated Person” of, as defined in the 1940 Act, this portfolio company as the Company owns at least 5% of the portfolio company’s outstanding voting securities or is under common control with such portfolio company.</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Number of shares held.</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investment is valued at the NAV of the underlying fund.</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Security has an unfunded commitment in addition to the amounts shown in the Consolidated Schedule of Investments. See Note 8 for additional information on the Company’s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details investments in affiliates at December 31, 2023 (dollars in thousands):</w:t>
      </w:r>
    </w:p>
    <w:p>
      <w:pPr>
        <w:spacing w:after="0" w:line="26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0" w:type="dxa"/>
            <w:vAlign w:val="bottom"/>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Purchases/</w:t>
            </w:r>
          </w:p>
        </w:tc>
        <w:tc>
          <w:tcPr>
            <w:tcW w:w="7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Transfers</w:t>
            </w: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Principal /</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0" w:type="dxa"/>
            <w:vAlign w:val="bottom"/>
          </w:tcPr>
          <w:p>
            <w:pPr>
              <w:jc w:val="center"/>
              <w:ind w:left="126"/>
              <w:spacing w:after="0" w:line="122" w:lineRule="exact"/>
              <w:rPr>
                <w:sz w:val="20"/>
                <w:szCs w:val="20"/>
                <w:color w:val="auto"/>
              </w:rPr>
            </w:pPr>
            <w:r>
              <w:rPr>
                <w:rFonts w:ascii="Times New Roman" w:cs="Times New Roman" w:eastAsia="Times New Roman" w:hAnsi="Times New Roman"/>
                <w:sz w:val="11"/>
                <w:szCs w:val="11"/>
                <w:b w:val="1"/>
                <w:bCs w:val="1"/>
                <w:color w:val="auto"/>
              </w:rPr>
              <w:t>as of</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(Sales) of or</w:t>
            </w:r>
          </w:p>
        </w:tc>
        <w:tc>
          <w:tcPr>
            <w:tcW w:w="74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In/(Out)</w:t>
            </w: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Net Change in</w:t>
            </w:r>
          </w:p>
        </w:tc>
        <w:tc>
          <w:tcPr>
            <w:tcW w:w="7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1"/>
              </w:rPr>
              <w:t>as of</w:t>
            </w: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at</w:t>
            </w: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Company</w:t>
            </w:r>
            <w:r>
              <w:rPr>
                <w:rFonts w:ascii="Times New Roman" w:cs="Times New Roman" w:eastAsia="Times New Roman" w:hAnsi="Times New Roman"/>
                <w:sz w:val="14"/>
                <w:szCs w:val="14"/>
                <w:b w:val="1"/>
                <w:bCs w:val="1"/>
                <w:color w:val="auto"/>
                <w:vertAlign w:val="superscript"/>
              </w:rPr>
              <w:t>(1)</w:t>
            </w:r>
          </w:p>
        </w:tc>
        <w:tc>
          <w:tcPr>
            <w:tcW w:w="148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Industry</w:t>
            </w:r>
          </w:p>
        </w:tc>
        <w:tc>
          <w:tcPr>
            <w:tcW w:w="1000" w:type="dxa"/>
            <w:vAlign w:val="bottom"/>
          </w:tcPr>
          <w:p>
            <w:pPr>
              <w:jc w:val="center"/>
              <w:ind w:left="1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Advances/</w:t>
            </w:r>
          </w:p>
        </w:tc>
        <w:tc>
          <w:tcPr>
            <w:tcW w:w="74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Realized</w:t>
            </w: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and Fee</w:t>
            </w:r>
          </w:p>
        </w:tc>
        <w:tc>
          <w:tcPr>
            <w:tcW w:w="520" w:type="dxa"/>
            <w:vAlign w:val="bottom"/>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Dividend</w:t>
            </w:r>
          </w:p>
        </w:tc>
        <w:tc>
          <w:tcPr>
            <w:tcW w:w="0" w:type="dxa"/>
            <w:vAlign w:val="bottom"/>
          </w:tcPr>
          <w:p>
            <w:pPr>
              <w:spacing w:after="0"/>
              <w:rPr>
                <w:sz w:val="1"/>
                <w:szCs w:val="1"/>
                <w:color w:val="auto"/>
              </w:rPr>
            </w:pPr>
          </w:p>
        </w:tc>
      </w:tr>
      <w:tr>
        <w:trPr>
          <w:trHeight w:val="154"/>
        </w:trPr>
        <w:tc>
          <w:tcPr>
            <w:tcW w:w="1100" w:type="dxa"/>
            <w:vAlign w:val="bottom"/>
            <w:vMerge w:val="continue"/>
          </w:tcPr>
          <w:p>
            <w:pPr>
              <w:spacing w:after="0"/>
              <w:rPr>
                <w:sz w:val="13"/>
                <w:szCs w:val="13"/>
                <w:color w:val="auto"/>
              </w:rPr>
            </w:pPr>
          </w:p>
        </w:tc>
        <w:tc>
          <w:tcPr>
            <w:tcW w:w="1480" w:type="dxa"/>
            <w:vAlign w:val="bottom"/>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1000" w:type="dxa"/>
            <w:vAlign w:val="bottom"/>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(Distributions)</w:t>
            </w:r>
          </w:p>
        </w:tc>
        <w:tc>
          <w:tcPr>
            <w:tcW w:w="7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5"/>
              </w:rPr>
              <w:t>Accretion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Affiliates</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Gain/(Loss)</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Gain/(Loss)</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520" w:type="dxa"/>
            <w:vAlign w:val="bottom"/>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tbl>
      <w:tblPr>
        <w:tblLayout w:type="fixed"/>
        <w:tblInd w:w="20" w:type="dxa"/>
        <w:tblCellMar>
          <w:top w:w="0" w:type="dxa"/>
          <w:left w:w="0" w:type="dxa"/>
          <w:bottom w:w="0" w:type="dxa"/>
          <w:right w:w="0" w:type="dxa"/>
        </w:tblCellMar>
      </w:tblPr>
      <w:tr>
        <w:trPr>
          <w:trHeight w:val="141"/>
        </w:trPr>
        <w:tc>
          <w:tcPr>
            <w:tcW w:w="1760" w:type="dxa"/>
            <w:vAlign w:val="bottom"/>
            <w:gridSpan w:val="2"/>
          </w:tcPr>
          <w:p>
            <w:pPr>
              <w:spacing w:after="0" w:line="141" w:lineRule="exact"/>
              <w:rPr>
                <w:sz w:val="20"/>
                <w:szCs w:val="20"/>
                <w:color w:val="auto"/>
              </w:rPr>
            </w:pPr>
            <w:r>
              <w:rPr>
                <w:rFonts w:ascii="Times New Roman" w:cs="Times New Roman" w:eastAsia="Times New Roman" w:hAnsi="Times New Roman"/>
                <w:sz w:val="11"/>
                <w:szCs w:val="11"/>
                <w:b w:val="1"/>
                <w:bCs w:val="1"/>
                <w:i w:val="1"/>
                <w:iCs w:val="1"/>
                <w:color w:val="auto"/>
              </w:rPr>
              <w:t>Controlled investments</w:t>
            </w:r>
            <w:r>
              <w:rPr>
                <w:rFonts w:ascii="Times New Roman" w:cs="Times New Roman" w:eastAsia="Times New Roman" w:hAnsi="Times New Roman"/>
                <w:sz w:val="14"/>
                <w:szCs w:val="14"/>
                <w:b w:val="1"/>
                <w:bCs w:val="1"/>
                <w:i w:val="1"/>
                <w:iCs w:val="1"/>
                <w:color w:val="auto"/>
                <w:vertAlign w:val="superscript"/>
              </w:rPr>
              <w:t>(3)</w:t>
            </w:r>
          </w:p>
        </w:tc>
        <w:tc>
          <w:tcPr>
            <w:tcW w:w="1040" w:type="dxa"/>
            <w:vAlign w:val="bottom"/>
          </w:tcPr>
          <w:p>
            <w:pPr>
              <w:spacing w:after="0"/>
              <w:rPr>
                <w:sz w:val="12"/>
                <w:szCs w:val="12"/>
                <w:color w:val="auto"/>
              </w:rPr>
            </w:pPr>
          </w:p>
        </w:tc>
      </w:tr>
      <w:tr>
        <w:trPr>
          <w:trHeight w:val="140"/>
        </w:trPr>
        <w:tc>
          <w:tcPr>
            <w:tcW w:w="1760" w:type="dxa"/>
            <w:vAlign w:val="bottom"/>
            <w:gridSpan w:val="2"/>
          </w:tcPr>
          <w:p>
            <w:pPr>
              <w:spacing w:after="0" w:line="140" w:lineRule="exact"/>
              <w:rPr>
                <w:sz w:val="20"/>
                <w:szCs w:val="20"/>
                <w:color w:val="auto"/>
              </w:rPr>
            </w:pPr>
            <w:r>
              <w:rPr>
                <w:rFonts w:ascii="Times New Roman" w:cs="Times New Roman" w:eastAsia="Times New Roman" w:hAnsi="Times New Roman"/>
                <w:sz w:val="11"/>
                <w:szCs w:val="11"/>
                <w:color w:val="auto"/>
              </w:rPr>
              <w:t>Asset Manager Affiliates</w:t>
            </w:r>
            <w:r>
              <w:rPr>
                <w:rFonts w:ascii="Times New Roman" w:cs="Times New Roman" w:eastAsia="Times New Roman" w:hAnsi="Times New Roman"/>
                <w:sz w:val="14"/>
                <w:szCs w:val="14"/>
                <w:color w:val="auto"/>
                <w:vertAlign w:val="superscript"/>
              </w:rPr>
              <w:t>(2)</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w:t>
            </w:r>
          </w:p>
        </w:tc>
      </w:tr>
      <w:tr>
        <w:trPr>
          <w:trHeight w:val="122"/>
        </w:trPr>
        <w:tc>
          <w:tcPr>
            <w:tcW w:w="1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Management</w:t>
            </w:r>
          </w:p>
        </w:tc>
      </w:tr>
      <w:tr>
        <w:trPr>
          <w:trHeight w:val="140"/>
        </w:trPr>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Company</w:t>
            </w:r>
          </w:p>
        </w:tc>
      </w:tr>
      <w:tr>
        <w:trPr>
          <w:trHeight w:val="117"/>
        </w:trPr>
        <w:tc>
          <w:tcPr>
            <w:tcW w:w="17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color w:val="auto"/>
              </w:rPr>
              <w:t>Tank Partners Equipment Holdings,</w:t>
            </w:r>
          </w:p>
        </w:tc>
        <w:tc>
          <w:tcPr>
            <w:tcW w:w="10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Energy: Oil &amp;</w:t>
            </w:r>
          </w:p>
        </w:tc>
      </w:tr>
      <w:tr>
        <w:trPr>
          <w:trHeight w:val="162"/>
        </w:trPr>
        <w:tc>
          <w:tcPr>
            <w:tcW w:w="1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LLC - Class A Units</w:t>
            </w:r>
            <w:r>
              <w:rPr>
                <w:rFonts w:ascii="Times New Roman" w:cs="Times New Roman" w:eastAsia="Times New Roman" w:hAnsi="Times New Roman"/>
                <w:sz w:val="14"/>
                <w:szCs w:val="14"/>
                <w:color w:val="auto"/>
                <w:vertAlign w:val="superscript"/>
              </w:rPr>
              <w:t>(6)</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Gas</w:t>
            </w:r>
          </w:p>
        </w:tc>
      </w:tr>
      <w:tr>
        <w:trPr>
          <w:trHeight w:val="122"/>
        </w:trPr>
        <w:tc>
          <w:tcPr>
            <w:tcW w:w="17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Tank Partners Equipment Holdings,</w:t>
            </w:r>
          </w:p>
        </w:tc>
        <w:tc>
          <w:tcPr>
            <w:tcW w:w="10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Energy: Oil &amp;</w:t>
            </w:r>
          </w:p>
        </w:tc>
      </w:tr>
      <w:tr>
        <w:trPr>
          <w:trHeight w:val="130"/>
        </w:trPr>
        <w:tc>
          <w:tcPr>
            <w:tcW w:w="1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LLC</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Gas</w:t>
            </w:r>
          </w:p>
        </w:tc>
      </w:tr>
      <w:tr>
        <w:trPr>
          <w:trHeight w:val="149"/>
        </w:trPr>
        <w:tc>
          <w:tcPr>
            <w:tcW w:w="1760" w:type="dxa"/>
            <w:vAlign w:val="bottom"/>
            <w:gridSpan w:val="2"/>
          </w:tcPr>
          <w:p>
            <w:pPr>
              <w:spacing w:after="0" w:line="149" w:lineRule="exact"/>
              <w:rPr>
                <w:sz w:val="20"/>
                <w:szCs w:val="20"/>
                <w:color w:val="auto"/>
              </w:rPr>
            </w:pPr>
            <w:r>
              <w:rPr>
                <w:rFonts w:ascii="Times New Roman" w:cs="Times New Roman" w:eastAsia="Times New Roman" w:hAnsi="Times New Roman"/>
                <w:sz w:val="11"/>
                <w:szCs w:val="11"/>
                <w:color w:val="auto"/>
              </w:rPr>
              <w:t xml:space="preserve">Flight Lease VII </w:t>
            </w:r>
            <w:r>
              <w:rPr>
                <w:rFonts w:ascii="Times New Roman" w:cs="Times New Roman" w:eastAsia="Times New Roman" w:hAnsi="Times New Roman"/>
                <w:sz w:val="14"/>
                <w:szCs w:val="14"/>
                <w:color w:val="auto"/>
                <w:vertAlign w:val="superscript"/>
              </w:rPr>
              <w:t>(4)(6)</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6"/>
              </w:rPr>
              <w:t>Aerospace and Defense</w:t>
            </w:r>
          </w:p>
        </w:tc>
      </w:tr>
      <w:tr>
        <w:trPr>
          <w:trHeight w:val="167"/>
        </w:trPr>
        <w:tc>
          <w:tcPr>
            <w:tcW w:w="1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ProAir, LLC</w:t>
            </w:r>
            <w:r>
              <w:rPr>
                <w:rFonts w:ascii="Times New Roman" w:cs="Times New Roman" w:eastAsia="Times New Roman" w:hAnsi="Times New Roman"/>
                <w:sz w:val="14"/>
                <w:szCs w:val="14"/>
                <w:color w:val="auto"/>
                <w:vertAlign w:val="superscript"/>
              </w:rPr>
              <w:t>(6)</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Capital Equipment</w:t>
            </w:r>
          </w:p>
        </w:tc>
      </w:tr>
      <w:tr>
        <w:trPr>
          <w:trHeight w:val="130"/>
        </w:trPr>
        <w:tc>
          <w:tcPr>
            <w:tcW w:w="1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ProAir, LLC</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Capital Equipment</w:t>
            </w:r>
          </w:p>
        </w:tc>
      </w:tr>
      <w:tr>
        <w:trPr>
          <w:trHeight w:val="178"/>
        </w:trPr>
        <w:tc>
          <w:tcPr>
            <w:tcW w:w="1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KCAP Freedom 3, LLC</w:t>
            </w:r>
            <w:r>
              <w:rPr>
                <w:rFonts w:ascii="Times New Roman" w:cs="Times New Roman" w:eastAsia="Times New Roman" w:hAnsi="Times New Roman"/>
                <w:sz w:val="14"/>
                <w:szCs w:val="14"/>
                <w:color w:val="auto"/>
                <w:vertAlign w:val="superscript"/>
              </w:rPr>
              <w:t>(2)</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Joint Venture</w:t>
            </w:r>
          </w:p>
        </w:tc>
      </w:tr>
      <w:tr>
        <w:trPr>
          <w:trHeight w:val="124"/>
        </w:trPr>
        <w:tc>
          <w:tcPr>
            <w:tcW w:w="1260" w:type="dxa"/>
            <w:vAlign w:val="bottom"/>
            <w:tcBorders>
              <w:bottom w:val="single" w:sz="8" w:color="auto"/>
            </w:tcBorders>
          </w:tcPr>
          <w:p>
            <w:pPr>
              <w:spacing w:after="0" w:line="124" w:lineRule="exact"/>
              <w:rPr>
                <w:sz w:val="20"/>
                <w:szCs w:val="20"/>
                <w:color w:val="auto"/>
              </w:rPr>
            </w:pPr>
            <w:r>
              <w:rPr>
                <w:rFonts w:ascii="Times New Roman" w:cs="Times New Roman" w:eastAsia="Times New Roman" w:hAnsi="Times New Roman"/>
                <w:sz w:val="11"/>
                <w:szCs w:val="11"/>
                <w:b w:val="1"/>
                <w:bCs w:val="1"/>
                <w:i w:val="1"/>
                <w:iCs w:val="1"/>
                <w:color w:val="auto"/>
                <w:w w:val="96"/>
              </w:rPr>
              <w:t>Total controlled investments</w:t>
            </w: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51"/>
        </w:trPr>
        <w:tc>
          <w:tcPr>
            <w:tcW w:w="1760" w:type="dxa"/>
            <w:vAlign w:val="bottom"/>
            <w:gridSpan w:val="2"/>
          </w:tcPr>
          <w:p>
            <w:pPr>
              <w:spacing w:after="0" w:line="151" w:lineRule="exact"/>
              <w:rPr>
                <w:sz w:val="20"/>
                <w:szCs w:val="20"/>
                <w:color w:val="auto"/>
              </w:rPr>
            </w:pPr>
            <w:r>
              <w:rPr>
                <w:rFonts w:ascii="Times New Roman" w:cs="Times New Roman" w:eastAsia="Times New Roman" w:hAnsi="Times New Roman"/>
                <w:sz w:val="11"/>
                <w:szCs w:val="11"/>
                <w:b w:val="1"/>
                <w:bCs w:val="1"/>
                <w:i w:val="1"/>
                <w:iCs w:val="1"/>
                <w:color w:val="auto"/>
                <w:w w:val="96"/>
              </w:rPr>
              <w:t>Non-controlled affiliated investments</w:t>
            </w:r>
            <w:r>
              <w:rPr>
                <w:rFonts w:ascii="Times New Roman" w:cs="Times New Roman" w:eastAsia="Times New Roman" w:hAnsi="Times New Roman"/>
                <w:sz w:val="14"/>
                <w:szCs w:val="14"/>
                <w:b w:val="1"/>
                <w:bCs w:val="1"/>
                <w:i w:val="1"/>
                <w:iCs w:val="1"/>
                <w:color w:val="auto"/>
                <w:w w:val="96"/>
                <w:vertAlign w:val="superscript"/>
              </w:rPr>
              <w:t>(5)</w:t>
            </w:r>
          </w:p>
        </w:tc>
        <w:tc>
          <w:tcPr>
            <w:tcW w:w="1040" w:type="dxa"/>
            <w:vAlign w:val="bottom"/>
          </w:tcPr>
          <w:p>
            <w:pPr>
              <w:spacing w:after="0"/>
              <w:rPr>
                <w:sz w:val="13"/>
                <w:szCs w:val="13"/>
                <w:color w:val="auto"/>
              </w:rPr>
            </w:pPr>
          </w:p>
        </w:tc>
      </w:tr>
      <w:tr>
        <w:trPr>
          <w:trHeight w:val="126"/>
        </w:trPr>
        <w:tc>
          <w:tcPr>
            <w:tcW w:w="1760" w:type="dxa"/>
            <w:vAlign w:val="bottom"/>
            <w:gridSpan w:val="2"/>
          </w:tcPr>
          <w:p>
            <w:pPr>
              <w:spacing w:after="0" w:line="127" w:lineRule="exact"/>
              <w:rPr>
                <w:sz w:val="20"/>
                <w:szCs w:val="20"/>
                <w:color w:val="auto"/>
              </w:rPr>
            </w:pPr>
            <w:r>
              <w:rPr>
                <w:rFonts w:ascii="Times New Roman" w:cs="Times New Roman" w:eastAsia="Times New Roman" w:hAnsi="Times New Roman"/>
                <w:sz w:val="11"/>
                <w:szCs w:val="11"/>
                <w:color w:val="auto"/>
                <w:w w:val="97"/>
              </w:rPr>
              <w:t>Series A-Great Lakes Funding II LLC</w:t>
            </w:r>
            <w:r>
              <w:rPr>
                <w:rFonts w:ascii="Times New Roman" w:cs="Times New Roman" w:eastAsia="Times New Roman" w:hAnsi="Times New Roman"/>
                <w:sz w:val="14"/>
                <w:szCs w:val="14"/>
                <w:color w:val="auto"/>
                <w:w w:val="97"/>
                <w:vertAlign w:val="superscript"/>
              </w:rPr>
              <w:t>(2)</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Joint Venture</w:t>
            </w:r>
          </w:p>
        </w:tc>
      </w:tr>
      <w:tr>
        <w:trPr>
          <w:trHeight w:val="94"/>
        </w:trPr>
        <w:tc>
          <w:tcPr>
            <w:tcW w:w="1260" w:type="dxa"/>
            <w:vAlign w:val="bottom"/>
          </w:tcPr>
          <w:p>
            <w:pPr>
              <w:spacing w:after="0"/>
              <w:rPr>
                <w:sz w:val="20"/>
                <w:szCs w:val="20"/>
                <w:color w:val="auto"/>
              </w:rPr>
            </w:pPr>
            <w:r>
              <w:rPr>
                <w:rFonts w:ascii="Times New Roman" w:cs="Times New Roman" w:eastAsia="Times New Roman" w:hAnsi="Times New Roman"/>
                <w:sz w:val="7"/>
                <w:szCs w:val="7"/>
                <w:color w:val="auto"/>
              </w:rPr>
              <w:t>(6)(7)</w:t>
            </w: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135"/>
        </w:trPr>
        <w:tc>
          <w:tcPr>
            <w:tcW w:w="1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GreenPark Infrastructure, LLC - Series</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Energy: Electricity</w:t>
            </w:r>
          </w:p>
        </w:tc>
      </w:tr>
      <w:tr>
        <w:trPr>
          <w:trHeight w:val="162"/>
        </w:trPr>
        <w:tc>
          <w:tcPr>
            <w:tcW w:w="176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A</w:t>
            </w:r>
            <w:r>
              <w:rPr>
                <w:rFonts w:ascii="Times New Roman" w:cs="Times New Roman" w:eastAsia="Times New Roman" w:hAnsi="Times New Roman"/>
                <w:sz w:val="7"/>
                <w:szCs w:val="7"/>
                <w:color w:val="auto"/>
              </w:rPr>
              <w:t>(6)</w:t>
            </w:r>
          </w:p>
        </w:tc>
        <w:tc>
          <w:tcPr>
            <w:tcW w:w="1040" w:type="dxa"/>
            <w:vAlign w:val="bottom"/>
          </w:tcPr>
          <w:p>
            <w:pPr>
              <w:spacing w:after="0"/>
              <w:rPr>
                <w:sz w:val="14"/>
                <w:szCs w:val="14"/>
                <w:color w:val="auto"/>
              </w:rPr>
            </w:pPr>
          </w:p>
        </w:tc>
      </w:tr>
      <w:tr>
        <w:trPr>
          <w:trHeight w:val="108"/>
        </w:trPr>
        <w:tc>
          <w:tcPr>
            <w:tcW w:w="1760" w:type="dxa"/>
            <w:vAlign w:val="bottom"/>
            <w:gridSpan w:val="2"/>
          </w:tcPr>
          <w:p>
            <w:pPr>
              <w:spacing w:after="0" w:line="109" w:lineRule="exact"/>
              <w:rPr>
                <w:sz w:val="20"/>
                <w:szCs w:val="20"/>
                <w:color w:val="auto"/>
              </w:rPr>
            </w:pPr>
            <w:r>
              <w:rPr>
                <w:rFonts w:ascii="Times New Roman" w:cs="Times New Roman" w:eastAsia="Times New Roman" w:hAnsi="Times New Roman"/>
                <w:sz w:val="11"/>
                <w:szCs w:val="11"/>
                <w:color w:val="auto"/>
              </w:rPr>
              <w:t>GreenPark Infrastructure, LLC - Series</w:t>
            </w:r>
          </w:p>
        </w:tc>
        <w:tc>
          <w:tcPr>
            <w:tcW w:w="104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Energy: Electricity</w:t>
            </w:r>
          </w:p>
        </w:tc>
      </w:tr>
      <w:tr>
        <w:trPr>
          <w:trHeight w:val="144"/>
        </w:trPr>
        <w:tc>
          <w:tcPr>
            <w:tcW w:w="1760" w:type="dxa"/>
            <w:vAlign w:val="bottom"/>
            <w:gridSpan w:val="2"/>
          </w:tcPr>
          <w:p>
            <w:pPr>
              <w:spacing w:after="0" w:line="144" w:lineRule="exact"/>
              <w:rPr>
                <w:sz w:val="20"/>
                <w:szCs w:val="20"/>
                <w:color w:val="auto"/>
              </w:rPr>
            </w:pPr>
            <w:r>
              <w:rPr>
                <w:rFonts w:ascii="Times New Roman" w:cs="Times New Roman" w:eastAsia="Times New Roman" w:hAnsi="Times New Roman"/>
                <w:sz w:val="16"/>
                <w:szCs w:val="16"/>
                <w:color w:val="auto"/>
                <w:vertAlign w:val="subscript"/>
              </w:rPr>
              <w:t>M-1</w:t>
            </w:r>
            <w:r>
              <w:rPr>
                <w:rFonts w:ascii="Times New Roman" w:cs="Times New Roman" w:eastAsia="Times New Roman" w:hAnsi="Times New Roman"/>
                <w:sz w:val="6"/>
                <w:szCs w:val="6"/>
                <w:color w:val="auto"/>
              </w:rPr>
              <w:t>(6)</w:t>
            </w:r>
          </w:p>
        </w:tc>
        <w:tc>
          <w:tcPr>
            <w:tcW w:w="1040" w:type="dxa"/>
            <w:vAlign w:val="bottom"/>
          </w:tcPr>
          <w:p>
            <w:pPr>
              <w:spacing w:after="0"/>
              <w:rPr>
                <w:sz w:val="12"/>
                <w:szCs w:val="12"/>
                <w:color w:val="auto"/>
              </w:rPr>
            </w:pPr>
          </w:p>
        </w:tc>
      </w:tr>
      <w:tr>
        <w:trPr>
          <w:trHeight w:val="167"/>
        </w:trPr>
        <w:tc>
          <w:tcPr>
            <w:tcW w:w="1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Kleen-Tech Acquisition, LLC</w:t>
            </w:r>
            <w:r>
              <w:rPr>
                <w:rFonts w:ascii="Times New Roman" w:cs="Times New Roman" w:eastAsia="Times New Roman" w:hAnsi="Times New Roman"/>
                <w:sz w:val="14"/>
                <w:szCs w:val="14"/>
                <w:color w:val="auto"/>
                <w:vertAlign w:val="superscript"/>
              </w:rPr>
              <w:t>(6)</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r>
      <w:tr>
        <w:trPr>
          <w:trHeight w:val="140"/>
        </w:trPr>
        <w:tc>
          <w:tcPr>
            <w:tcW w:w="1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Northeast Metal Works LLC</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Metals &amp; Mining</w:t>
            </w:r>
          </w:p>
        </w:tc>
      </w:tr>
      <w:tr>
        <w:trPr>
          <w:trHeight w:val="117"/>
        </w:trPr>
        <w:tc>
          <w:tcPr>
            <w:tcW w:w="17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color w:val="auto"/>
              </w:rPr>
              <w:t>Northeast Metal Works LLC -</w:t>
            </w:r>
          </w:p>
        </w:tc>
        <w:tc>
          <w:tcPr>
            <w:tcW w:w="10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Metals &amp; Mining</w:t>
            </w:r>
          </w:p>
        </w:tc>
      </w:tr>
      <w:tr>
        <w:trPr>
          <w:trHeight w:val="162"/>
        </w:trPr>
        <w:tc>
          <w:tcPr>
            <w:tcW w:w="1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Preferred</w:t>
            </w:r>
            <w:r>
              <w:rPr>
                <w:rFonts w:ascii="Times New Roman" w:cs="Times New Roman" w:eastAsia="Times New Roman" w:hAnsi="Times New Roman"/>
                <w:sz w:val="14"/>
                <w:szCs w:val="14"/>
                <w:color w:val="auto"/>
                <w:vertAlign w:val="superscript"/>
              </w:rPr>
              <w:t>(6)</w:t>
            </w:r>
          </w:p>
        </w:tc>
        <w:tc>
          <w:tcPr>
            <w:tcW w:w="1040" w:type="dxa"/>
            <w:vAlign w:val="bottom"/>
          </w:tcPr>
          <w:p>
            <w:pPr>
              <w:spacing w:after="0"/>
              <w:rPr>
                <w:sz w:val="14"/>
                <w:szCs w:val="14"/>
                <w:color w:val="auto"/>
              </w:rPr>
            </w:pPr>
          </w:p>
        </w:tc>
      </w:tr>
      <w:tr>
        <w:trPr>
          <w:trHeight w:val="108"/>
        </w:trPr>
        <w:tc>
          <w:tcPr>
            <w:tcW w:w="1760" w:type="dxa"/>
            <w:vAlign w:val="bottom"/>
            <w:gridSpan w:val="2"/>
          </w:tcPr>
          <w:p>
            <w:pPr>
              <w:spacing w:after="0" w:line="109" w:lineRule="exact"/>
              <w:rPr>
                <w:sz w:val="20"/>
                <w:szCs w:val="20"/>
                <w:color w:val="auto"/>
              </w:rPr>
            </w:pPr>
            <w:r>
              <w:rPr>
                <w:rFonts w:ascii="Times New Roman" w:cs="Times New Roman" w:eastAsia="Times New Roman" w:hAnsi="Times New Roman"/>
                <w:sz w:val="11"/>
                <w:szCs w:val="11"/>
                <w:color w:val="auto"/>
              </w:rPr>
              <w:t>Northeast Metal Works LLC - Class O</w:t>
            </w:r>
          </w:p>
        </w:tc>
        <w:tc>
          <w:tcPr>
            <w:tcW w:w="104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Metals &amp; Mining</w:t>
            </w:r>
          </w:p>
        </w:tc>
      </w:tr>
      <w:tr>
        <w:trPr>
          <w:trHeight w:val="162"/>
        </w:trPr>
        <w:tc>
          <w:tcPr>
            <w:tcW w:w="1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Preferred</w:t>
            </w:r>
            <w:r>
              <w:rPr>
                <w:rFonts w:ascii="Times New Roman" w:cs="Times New Roman" w:eastAsia="Times New Roman" w:hAnsi="Times New Roman"/>
                <w:sz w:val="14"/>
                <w:szCs w:val="14"/>
                <w:color w:val="auto"/>
                <w:vertAlign w:val="superscript"/>
              </w:rPr>
              <w:t>(6)</w:t>
            </w:r>
          </w:p>
        </w:tc>
        <w:tc>
          <w:tcPr>
            <w:tcW w:w="1040" w:type="dxa"/>
            <w:vAlign w:val="bottom"/>
          </w:tcPr>
          <w:p>
            <w:pPr>
              <w:spacing w:after="0"/>
              <w:rPr>
                <w:sz w:val="14"/>
                <w:szCs w:val="14"/>
                <w:color w:val="auto"/>
              </w:rPr>
            </w:pPr>
          </w:p>
        </w:tc>
      </w:tr>
      <w:tr>
        <w:trPr>
          <w:trHeight w:val="130"/>
        </w:trPr>
        <w:tc>
          <w:tcPr>
            <w:tcW w:w="1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Northeast Metal Works LLC</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Metals &amp; Mining</w:t>
            </w:r>
          </w:p>
        </w:tc>
      </w:tr>
      <w:tr>
        <w:trPr>
          <w:trHeight w:val="148"/>
        </w:trPr>
        <w:tc>
          <w:tcPr>
            <w:tcW w:w="1760" w:type="dxa"/>
            <w:vAlign w:val="bottom"/>
            <w:gridSpan w:val="2"/>
          </w:tcPr>
          <w:p>
            <w:pPr>
              <w:spacing w:after="0" w:line="149" w:lineRule="exact"/>
              <w:rPr>
                <w:sz w:val="20"/>
                <w:szCs w:val="20"/>
                <w:color w:val="auto"/>
              </w:rPr>
            </w:pPr>
            <w:r>
              <w:rPr>
                <w:rFonts w:ascii="Times New Roman" w:cs="Times New Roman" w:eastAsia="Times New Roman" w:hAnsi="Times New Roman"/>
                <w:sz w:val="11"/>
                <w:szCs w:val="11"/>
                <w:color w:val="auto"/>
              </w:rPr>
              <w:t>BMP Slappey Holdco, LLC</w:t>
            </w:r>
            <w:r>
              <w:rPr>
                <w:rFonts w:ascii="Times New Roman" w:cs="Times New Roman" w:eastAsia="Times New Roman" w:hAnsi="Times New Roman"/>
                <w:sz w:val="14"/>
                <w:szCs w:val="14"/>
                <w:color w:val="auto"/>
                <w:vertAlign w:val="superscript"/>
              </w:rPr>
              <w:t>(6)</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Telecommunications</w:t>
            </w:r>
          </w:p>
        </w:tc>
      </w:tr>
      <w:tr>
        <w:trPr>
          <w:trHeight w:val="148"/>
        </w:trPr>
        <w:tc>
          <w:tcPr>
            <w:tcW w:w="1760" w:type="dxa"/>
            <w:vAlign w:val="bottom"/>
            <w:gridSpan w:val="2"/>
          </w:tcPr>
          <w:p>
            <w:pPr>
              <w:spacing w:after="0" w:line="149" w:lineRule="exact"/>
              <w:rPr>
                <w:sz w:val="20"/>
                <w:szCs w:val="20"/>
                <w:color w:val="auto"/>
              </w:rPr>
            </w:pPr>
            <w:r>
              <w:rPr>
                <w:rFonts w:ascii="Times New Roman" w:cs="Times New Roman" w:eastAsia="Times New Roman" w:hAnsi="Times New Roman"/>
                <w:sz w:val="11"/>
                <w:szCs w:val="11"/>
                <w:color w:val="auto"/>
              </w:rPr>
              <w:t>BMP Slappey Investment II</w:t>
            </w:r>
            <w:r>
              <w:rPr>
                <w:rFonts w:ascii="Times New Roman" w:cs="Times New Roman" w:eastAsia="Times New Roman" w:hAnsi="Times New Roman"/>
                <w:sz w:val="14"/>
                <w:szCs w:val="14"/>
                <w:color w:val="auto"/>
                <w:vertAlign w:val="superscript"/>
              </w:rPr>
              <w:t>(6)</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Telecommunications</w:t>
            </w:r>
          </w:p>
        </w:tc>
      </w:tr>
      <w:tr>
        <w:trPr>
          <w:trHeight w:val="149"/>
        </w:trPr>
        <w:tc>
          <w:tcPr>
            <w:tcW w:w="1760" w:type="dxa"/>
            <w:vAlign w:val="bottom"/>
            <w:gridSpan w:val="2"/>
          </w:tcPr>
          <w:p>
            <w:pPr>
              <w:spacing w:after="0" w:line="149" w:lineRule="exact"/>
              <w:rPr>
                <w:sz w:val="20"/>
                <w:szCs w:val="20"/>
                <w:color w:val="auto"/>
              </w:rPr>
            </w:pPr>
            <w:r>
              <w:rPr>
                <w:rFonts w:ascii="Times New Roman" w:cs="Times New Roman" w:eastAsia="Times New Roman" w:hAnsi="Times New Roman"/>
                <w:sz w:val="11"/>
                <w:szCs w:val="11"/>
                <w:color w:val="auto"/>
              </w:rPr>
              <w:t>Surge Hippodrome Partners LP</w:t>
            </w:r>
            <w:r>
              <w:rPr>
                <w:rFonts w:ascii="Times New Roman" w:cs="Times New Roman" w:eastAsia="Times New Roman" w:hAnsi="Times New Roman"/>
                <w:sz w:val="14"/>
                <w:szCs w:val="14"/>
                <w:color w:val="auto"/>
                <w:vertAlign w:val="superscript"/>
              </w:rPr>
              <w:t>(6)</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r>
      <w:tr>
        <w:trPr>
          <w:trHeight w:val="167"/>
        </w:trPr>
        <w:tc>
          <w:tcPr>
            <w:tcW w:w="1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Surge Hippodrome Holdings LLC</w:t>
            </w:r>
            <w:r>
              <w:rPr>
                <w:rFonts w:ascii="Times New Roman" w:cs="Times New Roman" w:eastAsia="Times New Roman" w:hAnsi="Times New Roman"/>
                <w:sz w:val="14"/>
                <w:szCs w:val="14"/>
                <w:color w:val="auto"/>
                <w:vertAlign w:val="superscript"/>
              </w:rPr>
              <w:t>(6)</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r>
      <w:tr>
        <w:trPr>
          <w:trHeight w:val="140"/>
        </w:trPr>
        <w:tc>
          <w:tcPr>
            <w:tcW w:w="1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Surge Hippodrome Holdings LLC</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Services: Business</w:t>
            </w:r>
          </w:p>
        </w:tc>
      </w:tr>
      <w:tr>
        <w:trPr>
          <w:trHeight w:val="148"/>
        </w:trPr>
        <w:tc>
          <w:tcPr>
            <w:tcW w:w="1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Navex Topco, Inc.</w:t>
            </w:r>
          </w:p>
        </w:tc>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Electronics</w:t>
            </w:r>
          </w:p>
        </w:tc>
      </w:tr>
    </w:tbl>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   $</w:t>
            </w:r>
          </w:p>
        </w:tc>
        <w:tc>
          <w:tcPr>
            <w:tcW w:w="86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   $</w:t>
            </w:r>
          </w:p>
        </w:tc>
        <w:tc>
          <w:tcPr>
            <w:tcW w:w="74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   $</w:t>
            </w:r>
          </w:p>
        </w:tc>
        <w:tc>
          <w:tcPr>
            <w:tcW w:w="88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   $</w:t>
            </w: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   $</w:t>
            </w:r>
          </w:p>
        </w:tc>
        <w:tc>
          <w:tcPr>
            <w:tcW w:w="8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   $</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270"/>
        </w:trPr>
        <w:tc>
          <w:tcPr>
            <w:tcW w:w="22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3"/>
                <w:szCs w:val="23"/>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49,000</w:t>
            </w:r>
          </w:p>
        </w:tc>
        <w:tc>
          <w:tcPr>
            <w:tcW w:w="200" w:type="dxa"/>
            <w:vAlign w:val="bottom"/>
          </w:tcPr>
          <w:p>
            <w:pPr>
              <w:spacing w:after="0"/>
              <w:rPr>
                <w:sz w:val="23"/>
                <w:szCs w:val="23"/>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270"/>
        </w:trPr>
        <w:tc>
          <w:tcPr>
            <w:tcW w:w="22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w:t>
            </w:r>
          </w:p>
        </w:tc>
        <w:tc>
          <w:tcPr>
            <w:tcW w:w="3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w:t>
            </w:r>
          </w:p>
        </w:tc>
        <w:tc>
          <w:tcPr>
            <w:tcW w:w="220" w:type="dxa"/>
            <w:vAlign w:val="bottom"/>
          </w:tcPr>
          <w:p>
            <w:pPr>
              <w:spacing w:after="0"/>
              <w:rPr>
                <w:sz w:val="23"/>
                <w:szCs w:val="23"/>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511</w:t>
            </w:r>
          </w:p>
        </w:tc>
        <w:tc>
          <w:tcPr>
            <w:tcW w:w="200" w:type="dxa"/>
            <w:vAlign w:val="bottom"/>
          </w:tcPr>
          <w:p>
            <w:pPr>
              <w:spacing w:after="0"/>
              <w:rPr>
                <w:sz w:val="23"/>
                <w:szCs w:val="23"/>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242</w:t>
            </w:r>
          </w:p>
        </w:tc>
        <w:tc>
          <w:tcPr>
            <w:tcW w:w="3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(248 )</w:t>
            </w:r>
          </w:p>
        </w:tc>
        <w:tc>
          <w:tcPr>
            <w:tcW w:w="3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w:t>
            </w: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24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2,749,997</w:t>
            </w:r>
          </w:p>
        </w:tc>
        <w:tc>
          <w:tcPr>
            <w:tcW w:w="200" w:type="dxa"/>
            <w:vAlign w:val="bottom"/>
          </w:tcPr>
          <w:p>
            <w:pPr>
              <w:spacing w:after="0"/>
              <w:rPr>
                <w:sz w:val="12"/>
                <w:szCs w:val="12"/>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2,020</w:t>
            </w:r>
          </w:p>
        </w:tc>
        <w:tc>
          <w:tcPr>
            <w:tcW w:w="200" w:type="dxa"/>
            <w:vAlign w:val="bottom"/>
          </w:tcPr>
          <w:p>
            <w:pPr>
              <w:spacing w:after="0"/>
              <w:rPr>
                <w:sz w:val="12"/>
                <w:szCs w:val="12"/>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18,668</w:t>
            </w: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(4,393 )</w:t>
            </w: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14,275</w:t>
            </w: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27,220</w:t>
            </w: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2,184</w:t>
            </w:r>
          </w:p>
        </w:tc>
      </w:tr>
      <w:tr>
        <w:trPr>
          <w:trHeight w:val="142"/>
        </w:trPr>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18,953</w:t>
            </w:r>
          </w:p>
        </w:tc>
        <w:tc>
          <w:tcPr>
            <w:tcW w:w="3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(248 )</w:t>
            </w:r>
          </w:p>
        </w:tc>
        <w:tc>
          <w:tcPr>
            <w:tcW w:w="3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(4,354 )</w:t>
            </w:r>
          </w:p>
        </w:tc>
        <w:tc>
          <w:tcPr>
            <w:tcW w:w="2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2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14,318</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2,184</w:t>
            </w:r>
          </w:p>
        </w:tc>
      </w:tr>
      <w:tr>
        <w:trPr>
          <w:trHeight w:val="367"/>
        </w:trPr>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40,287</w:t>
            </w:r>
          </w:p>
        </w:tc>
        <w:tc>
          <w:tcPr>
            <w:tcW w:w="3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2,565</w:t>
            </w:r>
          </w:p>
        </w:tc>
        <w:tc>
          <w:tcPr>
            <w:tcW w:w="3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2,160</w:t>
            </w:r>
          </w:p>
        </w:tc>
        <w:tc>
          <w:tcPr>
            <w:tcW w:w="2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45,012</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44,000</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6,764</w:t>
            </w:r>
          </w:p>
        </w:tc>
      </w:tr>
      <w:tr>
        <w:trPr>
          <w:trHeight w:val="270"/>
        </w:trPr>
        <w:tc>
          <w:tcPr>
            <w:tcW w:w="22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500</w:t>
            </w:r>
          </w:p>
        </w:tc>
        <w:tc>
          <w:tcPr>
            <w:tcW w:w="3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23"/>
                <w:szCs w:val="23"/>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1,000</w:t>
            </w:r>
          </w:p>
        </w:tc>
        <w:tc>
          <w:tcPr>
            <w:tcW w:w="200" w:type="dxa"/>
            <w:vAlign w:val="bottom"/>
          </w:tcPr>
          <w:p>
            <w:pPr>
              <w:spacing w:after="0"/>
              <w:rPr>
                <w:sz w:val="23"/>
                <w:szCs w:val="23"/>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270"/>
        </w:trPr>
        <w:tc>
          <w:tcPr>
            <w:tcW w:w="22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171</w:t>
            </w:r>
          </w:p>
        </w:tc>
        <w:tc>
          <w:tcPr>
            <w:tcW w:w="3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171</w:t>
            </w:r>
          </w:p>
        </w:tc>
        <w:tc>
          <w:tcPr>
            <w:tcW w:w="220" w:type="dxa"/>
            <w:vAlign w:val="bottom"/>
          </w:tcPr>
          <w:p>
            <w:pPr>
              <w:spacing w:after="0"/>
              <w:rPr>
                <w:sz w:val="23"/>
                <w:szCs w:val="23"/>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500</w:t>
            </w:r>
          </w:p>
        </w:tc>
        <w:tc>
          <w:tcPr>
            <w:tcW w:w="200" w:type="dxa"/>
            <w:vAlign w:val="bottom"/>
          </w:tcPr>
          <w:p>
            <w:pPr>
              <w:spacing w:after="0"/>
              <w:rPr>
                <w:sz w:val="23"/>
                <w:szCs w:val="23"/>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1,300</w:t>
            </w:r>
          </w:p>
        </w:tc>
        <w:tc>
          <w:tcPr>
            <w:tcW w:w="32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(302 )</w:t>
            </w:r>
          </w:p>
        </w:tc>
        <w:tc>
          <w:tcPr>
            <w:tcW w:w="26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998</w:t>
            </w:r>
          </w:p>
        </w:tc>
        <w:tc>
          <w:tcPr>
            <w:tcW w:w="2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250,000</w:t>
            </w:r>
          </w:p>
        </w:tc>
        <w:tc>
          <w:tcPr>
            <w:tcW w:w="200" w:type="dxa"/>
            <w:vAlign w:val="bottom"/>
          </w:tcPr>
          <w:p>
            <w:pPr>
              <w:spacing w:after="0"/>
              <w:rPr>
                <w:sz w:val="12"/>
                <w:szCs w:val="12"/>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13,445</w:t>
            </w:r>
          </w:p>
        </w:tc>
        <w:tc>
          <w:tcPr>
            <w:tcW w:w="3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(4,428 )</w:t>
            </w:r>
          </w:p>
        </w:tc>
        <w:tc>
          <w:tcPr>
            <w:tcW w:w="3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(9,000 )</w:t>
            </w:r>
          </w:p>
        </w:tc>
        <w:tc>
          <w:tcPr>
            <w:tcW w:w="32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1,107</w:t>
            </w: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(1,124 )</w:t>
            </w:r>
          </w:p>
        </w:tc>
        <w:tc>
          <w:tcPr>
            <w:tcW w:w="24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377</w:t>
            </w:r>
          </w:p>
        </w:tc>
        <w:tc>
          <w:tcPr>
            <w:tcW w:w="26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270"/>
        </w:trPr>
        <w:tc>
          <w:tcPr>
            <w:tcW w:w="22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3"/>
                <w:szCs w:val="23"/>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2,368</w:t>
            </w:r>
          </w:p>
        </w:tc>
        <w:tc>
          <w:tcPr>
            <w:tcW w:w="200" w:type="dxa"/>
            <w:vAlign w:val="bottom"/>
          </w:tcPr>
          <w:p>
            <w:pPr>
              <w:spacing w:after="0"/>
              <w:rPr>
                <w:sz w:val="23"/>
                <w:szCs w:val="23"/>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270"/>
        </w:trPr>
        <w:tc>
          <w:tcPr>
            <w:tcW w:w="22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4,500</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(318 )</w:t>
            </w:r>
          </w:p>
        </w:tc>
        <w:tc>
          <w:tcPr>
            <w:tcW w:w="26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4,182</w:t>
            </w:r>
          </w:p>
        </w:tc>
        <w:tc>
          <w:tcPr>
            <w:tcW w:w="220" w:type="dxa"/>
            <w:vAlign w:val="bottom"/>
          </w:tcPr>
          <w:p>
            <w:pPr>
              <w:spacing w:after="0"/>
              <w:rPr>
                <w:sz w:val="23"/>
                <w:szCs w:val="23"/>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4,500,000</w:t>
            </w:r>
          </w:p>
        </w:tc>
        <w:tc>
          <w:tcPr>
            <w:tcW w:w="200" w:type="dxa"/>
            <w:vAlign w:val="bottom"/>
          </w:tcPr>
          <w:p>
            <w:pPr>
              <w:spacing w:after="0"/>
              <w:rPr>
                <w:sz w:val="23"/>
                <w:szCs w:val="23"/>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333</w:t>
            </w:r>
          </w:p>
        </w:tc>
        <w:tc>
          <w:tcPr>
            <w:tcW w:w="260" w:type="dxa"/>
            <w:vAlign w:val="bottom"/>
          </w:tcPr>
          <w:p>
            <w:pPr>
              <w:spacing w:after="0"/>
              <w:rPr>
                <w:sz w:val="23"/>
                <w:szCs w:val="23"/>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4,500</w:t>
            </w:r>
          </w:p>
        </w:tc>
        <w:tc>
          <w:tcPr>
            <w:tcW w:w="3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(940 )</w:t>
            </w:r>
          </w:p>
        </w:tc>
        <w:tc>
          <w:tcPr>
            <w:tcW w:w="26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3,560</w:t>
            </w:r>
          </w:p>
        </w:tc>
        <w:tc>
          <w:tcPr>
            <w:tcW w:w="2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4,500</w:t>
            </w:r>
          </w:p>
        </w:tc>
        <w:tc>
          <w:tcPr>
            <w:tcW w:w="200" w:type="dxa"/>
            <w:vAlign w:val="bottom"/>
          </w:tcPr>
          <w:p>
            <w:pPr>
              <w:spacing w:after="0"/>
              <w:rPr>
                <w:sz w:val="12"/>
                <w:szCs w:val="12"/>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270</w:t>
            </w:r>
          </w:p>
        </w:tc>
        <w:tc>
          <w:tcPr>
            <w:tcW w:w="26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464</w:t>
            </w:r>
          </w:p>
        </w:tc>
        <w:tc>
          <w:tcPr>
            <w:tcW w:w="32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89</w:t>
            </w:r>
          </w:p>
        </w:tc>
        <w:tc>
          <w:tcPr>
            <w:tcW w:w="26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553</w:t>
            </w:r>
          </w:p>
        </w:tc>
        <w:tc>
          <w:tcPr>
            <w:tcW w:w="2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200,000</w:t>
            </w:r>
          </w:p>
        </w:tc>
        <w:tc>
          <w:tcPr>
            <w:tcW w:w="200" w:type="dxa"/>
            <w:vAlign w:val="bottom"/>
          </w:tcPr>
          <w:p>
            <w:pPr>
              <w:spacing w:after="0"/>
              <w:rPr>
                <w:sz w:val="12"/>
                <w:szCs w:val="12"/>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206</w:t>
            </w:r>
          </w:p>
        </w:tc>
        <w:tc>
          <w:tcPr>
            <w:tcW w:w="32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40</w:t>
            </w:r>
          </w:p>
        </w:tc>
        <w:tc>
          <w:tcPr>
            <w:tcW w:w="26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246</w:t>
            </w:r>
          </w:p>
        </w:tc>
        <w:tc>
          <w:tcPr>
            <w:tcW w:w="2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88,946</w:t>
            </w:r>
          </w:p>
        </w:tc>
        <w:tc>
          <w:tcPr>
            <w:tcW w:w="200" w:type="dxa"/>
            <w:vAlign w:val="bottom"/>
          </w:tcPr>
          <w:p>
            <w:pPr>
              <w:spacing w:after="0"/>
              <w:rPr>
                <w:sz w:val="12"/>
                <w:szCs w:val="12"/>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811</w:t>
            </w:r>
          </w:p>
        </w:tc>
        <w:tc>
          <w:tcPr>
            <w:tcW w:w="3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(813 )</w:t>
            </w:r>
          </w:p>
        </w:tc>
        <w:tc>
          <w:tcPr>
            <w:tcW w:w="3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(386 )</w:t>
            </w:r>
          </w:p>
        </w:tc>
        <w:tc>
          <w:tcPr>
            <w:tcW w:w="26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388</w:t>
            </w:r>
          </w:p>
        </w:tc>
        <w:tc>
          <w:tcPr>
            <w:tcW w:w="24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484</w:t>
            </w:r>
          </w:p>
        </w:tc>
        <w:tc>
          <w:tcPr>
            <w:tcW w:w="3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(496 )</w:t>
            </w:r>
          </w:p>
        </w:tc>
        <w:tc>
          <w:tcPr>
            <w:tcW w:w="3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(325 )</w:t>
            </w:r>
          </w:p>
        </w:tc>
        <w:tc>
          <w:tcPr>
            <w:tcW w:w="26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337</w:t>
            </w:r>
          </w:p>
        </w:tc>
        <w:tc>
          <w:tcPr>
            <w:tcW w:w="24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5,165</w:t>
            </w:r>
          </w:p>
        </w:tc>
        <w:tc>
          <w:tcPr>
            <w:tcW w:w="3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(5,460 )</w:t>
            </w:r>
          </w:p>
        </w:tc>
        <w:tc>
          <w:tcPr>
            <w:tcW w:w="3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328</w:t>
            </w:r>
          </w:p>
        </w:tc>
        <w:tc>
          <w:tcPr>
            <w:tcW w:w="3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26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675</w:t>
            </w:r>
          </w:p>
        </w:tc>
        <w:tc>
          <w:tcPr>
            <w:tcW w:w="26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7,604</w:t>
            </w:r>
          </w:p>
        </w:tc>
        <w:tc>
          <w:tcPr>
            <w:tcW w:w="3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(7,700 )</w:t>
            </w:r>
          </w:p>
        </w:tc>
        <w:tc>
          <w:tcPr>
            <w:tcW w:w="3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310</w:t>
            </w:r>
          </w:p>
        </w:tc>
        <w:tc>
          <w:tcPr>
            <w:tcW w:w="3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(214 )</w:t>
            </w:r>
          </w:p>
        </w:tc>
        <w:tc>
          <w:tcPr>
            <w:tcW w:w="26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804</w:t>
            </w:r>
          </w:p>
        </w:tc>
        <w:tc>
          <w:tcPr>
            <w:tcW w:w="26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-2942590</wp:posOffset>
            </wp:positionV>
            <wp:extent cx="7132320" cy="939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-2599690</wp:posOffset>
            </wp:positionV>
            <wp:extent cx="713232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-2256790</wp:posOffset>
            </wp:positionV>
            <wp:extent cx="7132320" cy="939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-2068195</wp:posOffset>
            </wp:positionV>
            <wp:extent cx="7132320" cy="939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-1871345</wp:posOffset>
            </wp:positionV>
            <wp:extent cx="7132320" cy="1028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-1674495</wp:posOffset>
            </wp:positionV>
            <wp:extent cx="713232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-1356995</wp:posOffset>
            </wp:positionV>
            <wp:extent cx="713232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-1090930</wp:posOffset>
            </wp:positionV>
            <wp:extent cx="7132320" cy="939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-825500</wp:posOffset>
            </wp:positionV>
            <wp:extent cx="713232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-560070</wp:posOffset>
            </wp:positionV>
            <wp:extent cx="7132320" cy="939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-371475</wp:posOffset>
            </wp:positionV>
            <wp:extent cx="7132320" cy="946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-182245</wp:posOffset>
            </wp:positionV>
            <wp:extent cx="7132320" cy="939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20" w:space="640"/>
            <w:col w:w="7780"/>
          </w:cols>
          <w:pgMar w:left="320" w:top="763" w:right="33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 w:type="dxa"/>
            <w:vAlign w:val="bottom"/>
            <w:tcBorders>
              <w:bottom w:val="single" w:sz="8" w:color="CFF0FC"/>
            </w:tcBorders>
            <w:shd w:val="clear" w:color="auto" w:fill="CFF0FC"/>
          </w:tcPr>
          <w:p>
            <w:pPr>
              <w:spacing w:after="0"/>
              <w:rPr>
                <w:sz w:val="11"/>
                <w:szCs w:val="11"/>
                <w:color w:val="auto"/>
              </w:rPr>
            </w:pPr>
          </w:p>
        </w:tc>
        <w:tc>
          <w:tcPr>
            <w:tcW w:w="160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1"/>
                <w:szCs w:val="11"/>
                <w:color w:val="auto"/>
              </w:rPr>
              <w:t>Zest Acquisition Corp.</w:t>
            </w:r>
          </w:p>
        </w:tc>
        <w:tc>
          <w:tcPr>
            <w:tcW w:w="18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Healthcare, Education and Childcare</w:t>
            </w:r>
          </w:p>
        </w:tc>
        <w:tc>
          <w:tcPr>
            <w:tcW w:w="22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3,390</w:t>
            </w:r>
          </w:p>
        </w:tc>
        <w:tc>
          <w:tcPr>
            <w:tcW w:w="30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(3,501 )</w:t>
            </w:r>
          </w:p>
        </w:tc>
        <w:tc>
          <w:tcPr>
            <w:tcW w:w="300" w:type="dxa"/>
            <w:vAlign w:val="bottom"/>
            <w:tcBorders>
              <w:bottom w:val="single" w:sz="8" w:color="auto"/>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w:t>
            </w:r>
          </w:p>
        </w:tc>
        <w:tc>
          <w:tcPr>
            <w:tcW w:w="400" w:type="dxa"/>
            <w:vAlign w:val="bottom"/>
            <w:tcBorders>
              <w:bottom w:val="single" w:sz="8" w:color="auto"/>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102</w:t>
            </w:r>
          </w:p>
        </w:tc>
        <w:tc>
          <w:tcPr>
            <w:tcW w:w="30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42</w:t>
            </w:r>
          </w:p>
        </w:tc>
        <w:tc>
          <w:tcPr>
            <w:tcW w:w="26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0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Total non-controlled affiliated</w:t>
            </w:r>
          </w:p>
        </w:tc>
        <w:tc>
          <w:tcPr>
            <w:tcW w:w="20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73,827</w:t>
            </w:r>
          </w:p>
        </w:tc>
        <w:tc>
          <w:tcPr>
            <w:tcW w:w="30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(19,833 )</w:t>
            </w:r>
          </w:p>
        </w:tc>
        <w:tc>
          <w:tcPr>
            <w:tcW w:w="30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647</w:t>
            </w:r>
          </w:p>
        </w:tc>
        <w:tc>
          <w:tcPr>
            <w:tcW w:w="40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980</w:t>
            </w:r>
          </w:p>
        </w:tc>
        <w:tc>
          <w:tcPr>
            <w:tcW w:w="30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(399 )</w:t>
            </w:r>
          </w:p>
        </w:tc>
        <w:tc>
          <w:tcPr>
            <w:tcW w:w="24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55,222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2,501</w:t>
            </w:r>
          </w:p>
        </w:tc>
        <w:tc>
          <w:tcPr>
            <w:tcW w:w="26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6,764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60" w:type="dxa"/>
            <w:vAlign w:val="bottom"/>
            <w:tcBorders>
              <w:top w:val="single" w:sz="8" w:color="auto"/>
            </w:tcBorders>
            <w:gridSpan w:val="3"/>
          </w:tcPr>
          <w:p>
            <w:pPr>
              <w:spacing w:after="0" w:line="102" w:lineRule="exact"/>
              <w:rPr>
                <w:sz w:val="20"/>
                <w:szCs w:val="20"/>
                <w:color w:val="auto"/>
              </w:rPr>
            </w:pPr>
            <w:r>
              <w:rPr>
                <w:rFonts w:ascii="Times New Roman" w:cs="Times New Roman" w:eastAsia="Times New Roman" w:hAnsi="Times New Roman"/>
                <w:sz w:val="11"/>
                <w:szCs w:val="11"/>
                <w:b w:val="1"/>
                <w:bCs w:val="1"/>
                <w:i w:val="1"/>
                <w:iCs w:val="1"/>
                <w:color w:val="auto"/>
              </w:rPr>
              <w:t>investments</w:t>
            </w:r>
          </w:p>
        </w:tc>
        <w:tc>
          <w:tcPr>
            <w:tcW w:w="2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top w:val="single" w:sz="8" w:color="auto"/>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38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00" w:type="dxa"/>
            <w:vAlign w:val="bottom"/>
            <w:tcBorders>
              <w:bottom w:val="single" w:sz="8" w:color="auto"/>
            </w:tcBorders>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97"/>
              </w:rPr>
              <w:t>Total non-controlled affiliated and</w:t>
            </w:r>
          </w:p>
        </w:tc>
        <w:tc>
          <w:tcPr>
            <w:tcW w:w="20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92,780</w:t>
            </w:r>
          </w:p>
        </w:tc>
        <w:tc>
          <w:tcPr>
            <w:tcW w:w="30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(20,081 )</w:t>
            </w:r>
          </w:p>
        </w:tc>
        <w:tc>
          <w:tcPr>
            <w:tcW w:w="30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647</w:t>
            </w:r>
          </w:p>
        </w:tc>
        <w:tc>
          <w:tcPr>
            <w:tcW w:w="40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(3,374 )</w:t>
            </w:r>
          </w:p>
        </w:tc>
        <w:tc>
          <w:tcPr>
            <w:tcW w:w="30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(432 )</w:t>
            </w:r>
          </w:p>
        </w:tc>
        <w:tc>
          <w:tcPr>
            <w:tcW w:w="24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69,540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2,501</w:t>
            </w:r>
          </w:p>
        </w:tc>
        <w:tc>
          <w:tcPr>
            <w:tcW w:w="26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8,948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600" w:type="dxa"/>
            <w:vAlign w:val="bottom"/>
            <w:gridSpan w:val="4"/>
          </w:tcPr>
          <w:p>
            <w:pPr>
              <w:spacing w:after="0" w:line="75" w:lineRule="exact"/>
              <w:rPr>
                <w:sz w:val="20"/>
                <w:szCs w:val="20"/>
                <w:color w:val="auto"/>
              </w:rPr>
            </w:pPr>
            <w:r>
              <w:rPr>
                <w:rFonts w:ascii="Times New Roman" w:cs="Times New Roman" w:eastAsia="Times New Roman" w:hAnsi="Times New Roman"/>
                <w:sz w:val="8"/>
                <w:szCs w:val="8"/>
                <w:b w:val="1"/>
                <w:bCs w:val="1"/>
                <w:color w:val="auto"/>
              </w:rPr>
              <w:t>controlled investments</w:t>
            </w:r>
          </w:p>
        </w:tc>
        <w:tc>
          <w:tcPr>
            <w:tcW w:w="2060" w:type="dxa"/>
            <w:vAlign w:val="bottom"/>
            <w:gridSpan w:val="3"/>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 value of this investment was determined using significant unobservable inputs, unless otherwise noted.</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Non-qualified asset for purposes of section 55(a) of the Investment Company Act of 1940.</w:t>
      </w:r>
    </w:p>
    <w:p>
      <w:pPr>
        <w:spacing w:after="0" w:line="93" w:lineRule="exact"/>
        <w:rPr>
          <w:rFonts w:ascii="Times New Roman" w:cs="Times New Roman" w:eastAsia="Times New Roman" w:hAnsi="Times New Roman"/>
          <w:sz w:val="13"/>
          <w:szCs w:val="13"/>
          <w:color w:val="auto"/>
        </w:rPr>
      </w:pPr>
    </w:p>
    <w:p>
      <w:pPr>
        <w:ind w:left="380" w:right="340" w:hanging="372"/>
        <w:spacing w:after="0"/>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79" w:lineRule="exact"/>
        <w:rPr>
          <w:rFonts w:ascii="Times New Roman" w:cs="Times New Roman" w:eastAsia="Times New Roman" w:hAnsi="Times New Roman"/>
          <w:sz w:val="13"/>
          <w:szCs w:val="13"/>
          <w:color w:val="auto"/>
        </w:rPr>
      </w:pPr>
    </w:p>
    <w:p>
      <w:pPr>
        <w:ind w:left="380" w:right="340" w:hanging="372"/>
        <w:spacing w:after="0"/>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79" w:lineRule="exact"/>
        <w:rPr>
          <w:rFonts w:ascii="Times New Roman" w:cs="Times New Roman" w:eastAsia="Times New Roman" w:hAnsi="Times New Roman"/>
          <w:sz w:val="13"/>
          <w:szCs w:val="13"/>
          <w:color w:val="auto"/>
        </w:rPr>
      </w:pPr>
    </w:p>
    <w:p>
      <w:pPr>
        <w:ind w:left="380" w:right="340" w:hanging="372"/>
        <w:spacing w:after="0"/>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the 1940 Act, the Company is deemed to be an “Affiliated Person” of, as defined in the 1940 Act, this portfolio company as the Company owns at least 5% of the portfolio company’s outstanding voting securities or is under common control with such portfolio company.</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Number of shares held.</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investment is valued at the NAV of the underlying fund.</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Security has an unfunded commitment in addition to the amounts shown in consolidated schedule of investments. See Note 8 for additional information on the Company's commitments and contingencies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Investments in Joint Ventures</w:t>
      </w:r>
    </w:p>
    <w:p>
      <w:pPr>
        <w:spacing w:after="0" w:line="98" w:lineRule="exact"/>
        <w:rPr>
          <w:sz w:val="20"/>
          <w:szCs w:val="20"/>
          <w:color w:val="auto"/>
        </w:rPr>
      </w:pPr>
    </w:p>
    <w:p>
      <w:pPr>
        <w:ind w:right="100" w:firstLine="374"/>
        <w:spacing w:after="0" w:line="241" w:lineRule="auto"/>
        <w:rPr>
          <w:sz w:val="20"/>
          <w:szCs w:val="20"/>
          <w:color w:val="auto"/>
        </w:rPr>
      </w:pPr>
      <w:r>
        <w:rPr>
          <w:rFonts w:ascii="Times New Roman" w:cs="Times New Roman" w:eastAsia="Times New Roman" w:hAnsi="Times New Roman"/>
          <w:sz w:val="14"/>
          <w:szCs w:val="14"/>
          <w:color w:val="auto"/>
        </w:rPr>
        <w:t>For the three months ended June 30, 2024 and 2023, the Company recognized $1.8 million and $2.3 million, respectively, in investment income from its investments in Joint Ventures. For the six months ended June 30, 2024 and 2023, the Company recognized $3.5 million and $4.8 million, respectively, in investment income from its investments in Joint Ventures. As of June 30, 2024 and December 31, 2023, the aggregate fair value of the Company’s investments in Joint Ventures was approximately $54.3 million and $59.3 million,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KCAP Freedom 3 LLC</w:t>
      </w:r>
    </w:p>
    <w:p>
      <w:pPr>
        <w:spacing w:after="0" w:line="98" w:lineRule="exact"/>
        <w:rPr>
          <w:sz w:val="20"/>
          <w:szCs w:val="20"/>
          <w:color w:val="auto"/>
        </w:rPr>
      </w:pPr>
    </w:p>
    <w:p>
      <w:pPr>
        <w:jc w:val="both"/>
        <w:ind w:right="40" w:firstLine="374"/>
        <w:spacing w:after="0" w:line="241" w:lineRule="auto"/>
        <w:rPr>
          <w:sz w:val="20"/>
          <w:szCs w:val="20"/>
          <w:color w:val="auto"/>
        </w:rPr>
      </w:pPr>
      <w:r>
        <w:rPr>
          <w:rFonts w:ascii="Times New Roman" w:cs="Times New Roman" w:eastAsia="Times New Roman" w:hAnsi="Times New Roman"/>
          <w:sz w:val="14"/>
          <w:szCs w:val="14"/>
          <w:color w:val="auto"/>
        </w:rPr>
        <w:t>During the third quarter of 2017, the Company and Freedom 3 Opportunities LLC (“Freedom 3 Opportunities”), an affiliate of Freedom 3 Capital LLC, entered into an agreement to create KCAP Freedom 3 LLC (the “F3C Joint Venture”). The fund capitalized by the F3C Joint Venture invests primarily in middle-market loans and the F3C Joint Venture partners may source middle-market loans from time-to-time for the fund.</w:t>
      </w:r>
    </w:p>
    <w:p>
      <w:pPr>
        <w:spacing w:after="0" w:line="69" w:lineRule="exact"/>
        <w:rPr>
          <w:sz w:val="20"/>
          <w:szCs w:val="20"/>
          <w:color w:val="auto"/>
        </w:rPr>
      </w:pPr>
    </w:p>
    <w:p>
      <w:pPr>
        <w:ind w:right="140" w:firstLine="374"/>
        <w:spacing w:after="0" w:line="241" w:lineRule="auto"/>
        <w:rPr>
          <w:sz w:val="20"/>
          <w:szCs w:val="20"/>
          <w:color w:val="auto"/>
        </w:rPr>
      </w:pPr>
      <w:r>
        <w:rPr>
          <w:rFonts w:ascii="Times New Roman" w:cs="Times New Roman" w:eastAsia="Times New Roman" w:hAnsi="Times New Roman"/>
          <w:sz w:val="14"/>
          <w:szCs w:val="14"/>
          <w:color w:val="auto"/>
        </w:rPr>
        <w:t>The Company owns a 62.8% equity investment in the F3C Joint Venture. The F3C Joint Venture is structured as an unconsolidated Delaware limited liability company. All portfolio and other material decisions regarding the F3C Joint Venture must be submitted to its board of managers, which is comprised of four members, two of whom were selected by the Company and two of whom were selected by Freedom 3 Opportunities, and must be approved by at least one member appointed by the Company and one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4"/>
          <w:szCs w:val="14"/>
          <w:color w:val="auto"/>
        </w:rPr>
        <w:t>appointed by Freedom 3 Opportunities. In addition, certain matters may be approved by the F3C Joint Venture’s investment committee, which is comprised of one member appointed by the Company and one member appointed by Freedom 3 Opportunities.</w:t>
      </w:r>
    </w:p>
    <w:p>
      <w:pPr>
        <w:spacing w:after="0" w:line="55" w:lineRule="exact"/>
        <w:rPr>
          <w:sz w:val="20"/>
          <w:szCs w:val="20"/>
          <w:color w:val="auto"/>
        </w:rPr>
      </w:pPr>
    </w:p>
    <w:p>
      <w:pPr>
        <w:ind w:right="20" w:firstLine="374"/>
        <w:spacing w:after="0" w:line="236" w:lineRule="auto"/>
        <w:rPr>
          <w:sz w:val="20"/>
          <w:szCs w:val="20"/>
          <w:color w:val="auto"/>
        </w:rPr>
      </w:pPr>
      <w:r>
        <w:rPr>
          <w:rFonts w:ascii="Times New Roman" w:cs="Times New Roman" w:eastAsia="Times New Roman" w:hAnsi="Times New Roman"/>
          <w:sz w:val="14"/>
          <w:szCs w:val="14"/>
          <w:color w:val="auto"/>
        </w:rPr>
        <w:t>The Company has determined that the F3C Joint Venture is an investment company under Accounting Standards Codification (“ASC”), Financial Services —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F3C Joint Venture because the Company does not control the F3C Joint Venture due to allocation of the voting rights among the F3C Joint Venture partners.</w:t>
      </w:r>
    </w:p>
    <w:p>
      <w:pPr>
        <w:spacing w:after="0" w:line="6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4"/>
          <w:szCs w:val="14"/>
          <w:color w:val="auto"/>
        </w:rPr>
        <w:t>The fair value of the Company’s investment in the F3C Joint Venture at June 30, 2024 was $13.5 million. The fair value of the Company’s investment in the F3C Joint Venture at December 31, 2023 was $14.3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Series A – Great Lakes Funding II LLC</w:t>
      </w:r>
    </w:p>
    <w:p>
      <w:pPr>
        <w:spacing w:after="0" w:line="98" w:lineRule="exact"/>
        <w:rPr>
          <w:sz w:val="20"/>
          <w:szCs w:val="20"/>
          <w:color w:val="auto"/>
        </w:rPr>
      </w:pPr>
    </w:p>
    <w:p>
      <w:pPr>
        <w:ind w:right="60" w:firstLine="374"/>
        <w:spacing w:after="0" w:line="229" w:lineRule="auto"/>
        <w:rPr>
          <w:sz w:val="20"/>
          <w:szCs w:val="20"/>
          <w:color w:val="auto"/>
        </w:rPr>
      </w:pPr>
      <w:r>
        <w:rPr>
          <w:rFonts w:ascii="Times New Roman" w:cs="Times New Roman" w:eastAsia="Times New Roman" w:hAnsi="Times New Roman"/>
          <w:sz w:val="14"/>
          <w:szCs w:val="14"/>
          <w:color w:val="auto"/>
        </w:rPr>
        <w:t>In August 2022, the Company invested in Series A – Great Lakes Funding II LLC (the “Great Lakes II Joint Venture,” collectively with the F3C Joint Venture the “Joint Ventures”), a joint venture with an investment strategy to underwrite and hold senior, secured unitranche loans made to middle-market companies. The Company treats its investment in the Great Lakes II Joint Venture as a joint venture since an affiliate of the Adviser controls a 50% voting interest in the Great Lakes II Joint Venture. In connection with the launch of the Great Lakes II Joint Venture, the Company entered into a series of transactions pursuant to which the Company’s prior investment in BCP Great Lakes Holdings LP, a vehicle formed as a co-investment vehicle to facilitate the participation of certain co-investors to invest, directly or indirectly, in BCP Great Lakes Funding, LLC (the “Prior Great Lakes Joint Venture”), and the corresponding assets held by the Prior Great Lakes Joint Venture in respect of the Company’s investment in BCP Great Lakes Holdings LP, were transferred to the Great Lakes II Joint Venture in complete redemption of the Company’s investment in BCP Great Lakes Holdings LP.</w:t>
      </w:r>
    </w:p>
    <w:p>
      <w:pPr>
        <w:spacing w:after="0" w:line="72" w:lineRule="exact"/>
        <w:rPr>
          <w:sz w:val="20"/>
          <w:szCs w:val="20"/>
          <w:color w:val="auto"/>
        </w:rPr>
      </w:pPr>
    </w:p>
    <w:p>
      <w:pPr>
        <w:ind w:right="160" w:firstLine="374"/>
        <w:spacing w:after="0" w:line="236" w:lineRule="auto"/>
        <w:rPr>
          <w:sz w:val="20"/>
          <w:szCs w:val="20"/>
          <w:color w:val="auto"/>
        </w:rPr>
      </w:pPr>
      <w:r>
        <w:rPr>
          <w:rFonts w:ascii="Times New Roman" w:cs="Times New Roman" w:eastAsia="Times New Roman" w:hAnsi="Times New Roman"/>
          <w:sz w:val="14"/>
          <w:szCs w:val="14"/>
          <w:color w:val="auto"/>
        </w:rPr>
        <w:t>The Great Lakes II Joint Venture is a Delaware series limited liability company, and pursuant to the terms of the Great Lakes Funding II LLC Limited Liability Company Agreement (the “Great Lakes II LLC Agreement”), prior to the end of the investment period with respect to each series established under the Great Lakes II LLC Agreement, each member of the predecessor series would be offered the opportunity to roll its interests into any subsequent series of the Great Lakes II Joint Venture. The Company does not pay any advisory fees in connection with its investment in the Great Lakes II Joint Venture. Certain other funds managed by the Adviser or its affiliates have also invested in the Great Lakes II Joint Venture.</w:t>
      </w:r>
    </w:p>
    <w:p>
      <w:pPr>
        <w:spacing w:after="0" w:line="69" w:lineRule="exact"/>
        <w:rPr>
          <w:sz w:val="20"/>
          <w:szCs w:val="20"/>
          <w:color w:val="auto"/>
        </w:rPr>
      </w:pPr>
    </w:p>
    <w:p>
      <w:pPr>
        <w:ind w:right="100" w:firstLine="374"/>
        <w:spacing w:after="0" w:line="233" w:lineRule="auto"/>
        <w:rPr>
          <w:sz w:val="20"/>
          <w:szCs w:val="20"/>
          <w:color w:val="auto"/>
        </w:rPr>
      </w:pPr>
      <w:r>
        <w:rPr>
          <w:rFonts w:ascii="Times New Roman" w:cs="Times New Roman" w:eastAsia="Times New Roman" w:hAnsi="Times New Roman"/>
          <w:sz w:val="14"/>
          <w:szCs w:val="14"/>
          <w:color w:val="auto"/>
        </w:rPr>
        <w:t>The fair value of the Company’s investment in the Great Lakes II Joint Venture at June 30, 2024 was $40.7 million. The fair value of the Company’s investment in the Great Lakes II Joint Venture at December 31, 2023 was $45.0 million. Fair value has been determined utilizing the practical expedient pursuant to ASC 820-10. Pursuant to the terms of the Great Lakes II LLC Agreement, the Company generally may not effect any direct or indirect sale, transfer, assignment, hypothecation, pledge or other disposition of or encumbrance upon its interests in the Great Lakes II Joint Venture, except that the Company may sell or otherwise transfer its interests with the consent of the managing members of the Great Lakes II Joint Venture or to an affiliate or a successor to substantially all of the assets of the Company.</w:t>
      </w:r>
    </w:p>
    <w:p>
      <w:pPr>
        <w:spacing w:after="0" w:line="69" w:lineRule="exact"/>
        <w:rPr>
          <w:sz w:val="20"/>
          <w:szCs w:val="20"/>
          <w:color w:val="auto"/>
        </w:rPr>
      </w:pPr>
    </w:p>
    <w:p>
      <w:pPr>
        <w:ind w:right="280" w:firstLine="374"/>
        <w:spacing w:after="0" w:line="261" w:lineRule="auto"/>
        <w:rPr>
          <w:sz w:val="20"/>
          <w:szCs w:val="20"/>
          <w:color w:val="auto"/>
        </w:rPr>
      </w:pPr>
      <w:r>
        <w:rPr>
          <w:rFonts w:ascii="Times New Roman" w:cs="Times New Roman" w:eastAsia="Times New Roman" w:hAnsi="Times New Roman"/>
          <w:sz w:val="14"/>
          <w:szCs w:val="14"/>
          <w:color w:val="auto"/>
        </w:rPr>
        <w:t>As of June 30, 2024, the Company had a $10.1 million unfunded commitment to the Great Lakes II Joint Venture. As of December 31, 2023, the Company had a $5.5 million unfunded commitment to the Great Lakes II Joint Venture.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98" w:lineRule="exact"/>
        <w:rPr>
          <w:sz w:val="20"/>
          <w:szCs w:val="20"/>
          <w:color w:val="auto"/>
        </w:rPr>
      </w:pPr>
    </w:p>
    <w:p>
      <w:pPr>
        <w:ind w:firstLine="374"/>
        <w:spacing w:after="0"/>
        <w:rPr>
          <w:sz w:val="20"/>
          <w:szCs w:val="20"/>
          <w:color w:val="auto"/>
        </w:rPr>
      </w:pPr>
      <w:r>
        <w:rPr>
          <w:rFonts w:ascii="Times New Roman" w:cs="Times New Roman" w:eastAsia="Times New Roman" w:hAnsi="Times New Roman"/>
          <w:sz w:val="14"/>
          <w:szCs w:val="14"/>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ASC 820: Fair Value establishes the following three-level hierarchy, based upon the transparency of inputs to the fair value measurement of an asset or liability as of the measurement date:</w:t>
      </w:r>
    </w:p>
    <w:p>
      <w:pPr>
        <w:spacing w:after="0" w:line="96" w:lineRule="exact"/>
        <w:rPr>
          <w:sz w:val="20"/>
          <w:szCs w:val="20"/>
          <w:color w:val="auto"/>
        </w:rPr>
      </w:pPr>
    </w:p>
    <w:p>
      <w:pPr>
        <w:jc w:val="both"/>
        <w:ind w:right="60" w:firstLine="374"/>
        <w:spacing w:after="0" w:line="241" w:lineRule="auto"/>
        <w:rPr>
          <w:sz w:val="20"/>
          <w:szCs w:val="20"/>
          <w:color w:val="auto"/>
        </w:rPr>
      </w:pPr>
      <w:r>
        <w:rPr>
          <w:rFonts w:ascii="Times New Roman" w:cs="Times New Roman" w:eastAsia="Times New Roman" w:hAnsi="Times New Roman"/>
          <w:sz w:val="14"/>
          <w:szCs w:val="14"/>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69" w:lineRule="exact"/>
        <w:rPr>
          <w:sz w:val="20"/>
          <w:szCs w:val="20"/>
          <w:color w:val="auto"/>
        </w:rPr>
      </w:pPr>
    </w:p>
    <w:p>
      <w:pPr>
        <w:ind w:right="20" w:firstLine="374"/>
        <w:spacing w:after="0" w:line="236" w:lineRule="auto"/>
        <w:rPr>
          <w:sz w:val="20"/>
          <w:szCs w:val="20"/>
          <w:color w:val="auto"/>
        </w:rPr>
      </w:pPr>
      <w:r>
        <w:rPr>
          <w:rFonts w:ascii="Times New Roman" w:cs="Times New Roman" w:eastAsia="Times New Roman" w:hAnsi="Times New Roman"/>
          <w:sz w:val="14"/>
          <w:szCs w:val="14"/>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69" w:lineRule="exact"/>
        <w:rPr>
          <w:sz w:val="20"/>
          <w:szCs w:val="20"/>
          <w:color w:val="auto"/>
        </w:rPr>
      </w:pPr>
    </w:p>
    <w:p>
      <w:pPr>
        <w:ind w:right="100" w:firstLine="374"/>
        <w:spacing w:after="0" w:line="233" w:lineRule="auto"/>
        <w:rPr>
          <w:sz w:val="20"/>
          <w:szCs w:val="20"/>
          <w:color w:val="auto"/>
        </w:rPr>
      </w:pPr>
      <w:r>
        <w:rPr>
          <w:rFonts w:ascii="Times New Roman" w:cs="Times New Roman" w:eastAsia="Times New Roman" w:hAnsi="Times New Roman"/>
          <w:sz w:val="14"/>
          <w:szCs w:val="14"/>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69" w:lineRule="exact"/>
        <w:rPr>
          <w:sz w:val="20"/>
          <w:szCs w:val="20"/>
          <w:color w:val="auto"/>
        </w:rPr>
      </w:pPr>
    </w:p>
    <w:p>
      <w:pPr>
        <w:ind w:right="20" w:firstLine="374"/>
        <w:spacing w:after="0" w:line="236" w:lineRule="auto"/>
        <w:rPr>
          <w:sz w:val="20"/>
          <w:szCs w:val="20"/>
          <w:color w:val="auto"/>
        </w:rPr>
      </w:pPr>
      <w:r>
        <w:rPr>
          <w:rFonts w:ascii="Times New Roman" w:cs="Times New Roman" w:eastAsia="Times New Roman" w:hAnsi="Times New Roman"/>
          <w:sz w:val="14"/>
          <w:szCs w:val="14"/>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4"/>
          <w:szCs w:val="14"/>
          <w:color w:val="auto"/>
        </w:rPr>
        <w:t>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69" w:lineRule="exact"/>
        <w:rPr>
          <w:sz w:val="20"/>
          <w:szCs w:val="20"/>
          <w:color w:val="auto"/>
        </w:rPr>
      </w:pPr>
    </w:p>
    <w:p>
      <w:pPr>
        <w:ind w:right="360" w:firstLine="374"/>
        <w:spacing w:after="0" w:line="261" w:lineRule="auto"/>
        <w:rPr>
          <w:sz w:val="20"/>
          <w:szCs w:val="20"/>
          <w:color w:val="auto"/>
        </w:rPr>
      </w:pPr>
      <w:r>
        <w:rPr>
          <w:rFonts w:ascii="Times New Roman" w:cs="Times New Roman" w:eastAsia="Times New Roman" w:hAnsi="Times New Roman"/>
          <w:sz w:val="14"/>
          <w:szCs w:val="14"/>
          <w:color w:val="auto"/>
        </w:rPr>
        <w:t>The following table summarizes the fair value of investments by fair value hierarchy levels provided by ASC 820: Fair Value as of June 30, 2024 (unaudited) and December 31, 2023,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7"/>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Level III</w:t>
            </w: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NAV</w:t>
            </w: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9"/>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34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28,954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291,861</w:t>
            </w:r>
          </w:p>
        </w:tc>
        <w:tc>
          <w:tcPr>
            <w:tcW w:w="4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320,815</w:t>
            </w:r>
          </w:p>
        </w:tc>
      </w:tr>
      <w:tr>
        <w:trPr>
          <w:trHeight w:val="17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340" w:type="dxa"/>
            <w:vAlign w:val="bottom"/>
          </w:tcPr>
          <w:p>
            <w:pPr>
              <w:spacing w:after="0"/>
              <w:rPr>
                <w:sz w:val="15"/>
                <w:szCs w:val="15"/>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13,988</w:t>
            </w:r>
          </w:p>
        </w:tc>
        <w:tc>
          <w:tcPr>
            <w:tcW w:w="240" w:type="dxa"/>
            <w:vAlign w:val="bottom"/>
          </w:tcPr>
          <w:p>
            <w:pPr>
              <w:spacing w:after="0"/>
              <w:rPr>
                <w:sz w:val="15"/>
                <w:szCs w:val="15"/>
                <w:color w:val="auto"/>
              </w:rPr>
            </w:pP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22,398</w:t>
            </w:r>
          </w:p>
        </w:tc>
        <w:tc>
          <w:tcPr>
            <w:tcW w:w="4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36,386</w:t>
            </w:r>
          </w:p>
        </w:tc>
      </w:tr>
      <w:tr>
        <w:trPr>
          <w:trHeight w:val="17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40" w:type="dxa"/>
            <w:vAlign w:val="bottom"/>
            <w:shd w:val="clear" w:color="auto" w:fill="CFF0FC"/>
          </w:tcPr>
          <w:p>
            <w:pPr>
              <w:spacing w:after="0"/>
              <w:rPr>
                <w:sz w:val="15"/>
                <w:szCs w:val="15"/>
                <w:color w:val="auto"/>
              </w:rPr>
            </w:pPr>
          </w:p>
        </w:tc>
        <w:tc>
          <w:tcPr>
            <w:tcW w:w="138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1,693</w:t>
            </w:r>
          </w:p>
        </w:tc>
        <w:tc>
          <w:tcPr>
            <w:tcW w:w="4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1,693</w:t>
            </w:r>
          </w:p>
        </w:tc>
      </w:tr>
      <w:tr>
        <w:trPr>
          <w:trHeight w:val="17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40" w:type="dxa"/>
            <w:vAlign w:val="bottom"/>
          </w:tcPr>
          <w:p>
            <w:pPr>
              <w:spacing w:after="0"/>
              <w:rPr>
                <w:sz w:val="15"/>
                <w:szCs w:val="15"/>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23,830</w:t>
            </w:r>
          </w:p>
        </w:tc>
        <w:tc>
          <w:tcPr>
            <w:tcW w:w="4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23,830</w:t>
            </w:r>
          </w:p>
        </w:tc>
      </w:tr>
      <w:tr>
        <w:trPr>
          <w:trHeight w:val="17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340" w:type="dxa"/>
            <w:vAlign w:val="bottom"/>
            <w:shd w:val="clear" w:color="auto" w:fill="CFF0FC"/>
          </w:tcPr>
          <w:p>
            <w:pPr>
              <w:spacing w:after="0"/>
              <w:rPr>
                <w:sz w:val="15"/>
                <w:szCs w:val="15"/>
                <w:color w:val="auto"/>
              </w:rPr>
            </w:pPr>
          </w:p>
        </w:tc>
        <w:tc>
          <w:tcPr>
            <w:tcW w:w="138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7,354</w:t>
            </w:r>
          </w:p>
        </w:tc>
        <w:tc>
          <w:tcPr>
            <w:tcW w:w="4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7,354</w:t>
            </w:r>
          </w:p>
        </w:tc>
      </w:tr>
      <w:tr>
        <w:trPr>
          <w:trHeight w:val="17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340" w:type="dxa"/>
            <w:vAlign w:val="bottom"/>
          </w:tcPr>
          <w:p>
            <w:pPr>
              <w:spacing w:after="0"/>
              <w:rPr>
                <w:sz w:val="15"/>
                <w:szCs w:val="15"/>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13,547</w:t>
            </w:r>
          </w:p>
        </w:tc>
        <w:tc>
          <w:tcPr>
            <w:tcW w:w="4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40,745</w:t>
            </w:r>
          </w:p>
        </w:tc>
        <w:tc>
          <w:tcPr>
            <w:tcW w:w="4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54,292</w:t>
            </w:r>
          </w:p>
        </w:tc>
      </w:tr>
      <w:tr>
        <w:trPr>
          <w:trHeight w:val="176"/>
        </w:trPr>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34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42,942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360,683</w:t>
            </w:r>
          </w:p>
        </w:tc>
        <w:tc>
          <w:tcPr>
            <w:tcW w:w="4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40,745</w:t>
            </w:r>
          </w:p>
        </w:tc>
        <w:tc>
          <w:tcPr>
            <w:tcW w:w="4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444,370</w:t>
            </w:r>
          </w:p>
        </w:tc>
      </w:tr>
      <w:tr>
        <w:trPr>
          <w:trHeight w:val="20"/>
        </w:trPr>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7"/>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Level III</w:t>
            </w: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NAV</w:t>
            </w: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9"/>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34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47,303</w:t>
            </w:r>
          </w:p>
        </w:tc>
        <w:tc>
          <w:tcPr>
            <w:tcW w:w="42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289,295</w:t>
            </w:r>
          </w:p>
        </w:tc>
        <w:tc>
          <w:tcPr>
            <w:tcW w:w="4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336,598</w:t>
            </w:r>
          </w:p>
        </w:tc>
      </w:tr>
      <w:tr>
        <w:trPr>
          <w:trHeight w:val="17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340" w:type="dxa"/>
            <w:vAlign w:val="bottom"/>
          </w:tcPr>
          <w:p>
            <w:pPr>
              <w:spacing w:after="0"/>
              <w:rPr>
                <w:sz w:val="15"/>
                <w:szCs w:val="15"/>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18,022</w:t>
            </w:r>
          </w:p>
        </w:tc>
        <w:tc>
          <w:tcPr>
            <w:tcW w:w="42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23,232</w:t>
            </w:r>
          </w:p>
        </w:tc>
        <w:tc>
          <w:tcPr>
            <w:tcW w:w="4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41,254</w:t>
            </w:r>
          </w:p>
        </w:tc>
      </w:tr>
      <w:tr>
        <w:trPr>
          <w:trHeight w:val="17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40" w:type="dxa"/>
            <w:vAlign w:val="bottom"/>
            <w:shd w:val="clear" w:color="auto" w:fill="CFF0FC"/>
          </w:tcPr>
          <w:p>
            <w:pPr>
              <w:spacing w:after="0"/>
              <w:rPr>
                <w:sz w:val="15"/>
                <w:szCs w:val="15"/>
                <w:color w:val="auto"/>
              </w:rPr>
            </w:pPr>
          </w:p>
        </w:tc>
        <w:tc>
          <w:tcPr>
            <w:tcW w:w="138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1,225</w:t>
            </w:r>
          </w:p>
        </w:tc>
        <w:tc>
          <w:tcPr>
            <w:tcW w:w="4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1,225</w:t>
            </w:r>
          </w:p>
        </w:tc>
      </w:tr>
      <w:tr>
        <w:trPr>
          <w:trHeight w:val="17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40" w:type="dxa"/>
            <w:vAlign w:val="bottom"/>
          </w:tcPr>
          <w:p>
            <w:pPr>
              <w:spacing w:after="0"/>
              <w:rPr>
                <w:sz w:val="15"/>
                <w:szCs w:val="15"/>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20,533</w:t>
            </w:r>
          </w:p>
        </w:tc>
        <w:tc>
          <w:tcPr>
            <w:tcW w:w="4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20,533</w:t>
            </w:r>
          </w:p>
        </w:tc>
      </w:tr>
      <w:tr>
        <w:trPr>
          <w:trHeight w:val="17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340" w:type="dxa"/>
            <w:vAlign w:val="bottom"/>
            <w:shd w:val="clear" w:color="auto" w:fill="CFF0FC"/>
          </w:tcPr>
          <w:p>
            <w:pPr>
              <w:spacing w:after="0"/>
              <w:rPr>
                <w:sz w:val="15"/>
                <w:szCs w:val="15"/>
                <w:color w:val="auto"/>
              </w:rPr>
            </w:pPr>
          </w:p>
        </w:tc>
        <w:tc>
          <w:tcPr>
            <w:tcW w:w="138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8,968</w:t>
            </w:r>
          </w:p>
        </w:tc>
        <w:tc>
          <w:tcPr>
            <w:tcW w:w="4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8,968</w:t>
            </w:r>
          </w:p>
        </w:tc>
      </w:tr>
      <w:tr>
        <w:trPr>
          <w:trHeight w:val="17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340" w:type="dxa"/>
            <w:vAlign w:val="bottom"/>
          </w:tcPr>
          <w:p>
            <w:pPr>
              <w:spacing w:after="0"/>
              <w:rPr>
                <w:sz w:val="15"/>
                <w:szCs w:val="15"/>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14,275</w:t>
            </w:r>
          </w:p>
        </w:tc>
        <w:tc>
          <w:tcPr>
            <w:tcW w:w="4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45,012</w:t>
            </w:r>
          </w:p>
        </w:tc>
        <w:tc>
          <w:tcPr>
            <w:tcW w:w="4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59,287</w:t>
            </w:r>
          </w:p>
        </w:tc>
      </w:tr>
      <w:tr>
        <w:trPr>
          <w:trHeight w:val="176"/>
        </w:trPr>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34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65,325</w:t>
            </w:r>
          </w:p>
        </w:tc>
        <w:tc>
          <w:tcPr>
            <w:tcW w:w="4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357,528</w:t>
            </w:r>
          </w:p>
        </w:tc>
        <w:tc>
          <w:tcPr>
            <w:tcW w:w="4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45,012</w:t>
            </w:r>
          </w:p>
        </w:tc>
        <w:tc>
          <w:tcPr>
            <w:tcW w:w="4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467,865</w:t>
            </w:r>
          </w:p>
        </w:tc>
      </w:tr>
      <w:tr>
        <w:trPr>
          <w:trHeight w:val="20"/>
        </w:trPr>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14"/>
          <w:szCs w:val="14"/>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third-party pricing service are generally deemed to be Level III values. For those that have observable trades, the Company considers them to be Level II.</w:t>
      </w:r>
    </w:p>
    <w:p>
      <w:pPr>
        <w:spacing w:after="0" w:line="69"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4"/>
          <w:szCs w:val="14"/>
          <w:color w:val="auto"/>
        </w:rPr>
        <w:t>The fair value of the Company’s investment in the Great Lakes II Joint Venture at June 30, 2024 was $40.7 million. The fair value of the Company's investment in the Prior Great Lakes Joint Venture at December 31, 2023 was $45.0 million. Fair value has been determined utilizing the practical expedient pursuant to ASC 820-10.</w:t>
      </w:r>
    </w:p>
    <w:p>
      <w:pPr>
        <w:spacing w:after="0" w:line="55" w:lineRule="exact"/>
        <w:rPr>
          <w:sz w:val="20"/>
          <w:szCs w:val="20"/>
          <w:color w:val="auto"/>
        </w:rPr>
      </w:pPr>
    </w:p>
    <w:p>
      <w:pPr>
        <w:ind w:right="160" w:firstLine="374"/>
        <w:spacing w:after="0" w:line="236" w:lineRule="auto"/>
        <w:rPr>
          <w:sz w:val="20"/>
          <w:szCs w:val="20"/>
          <w:color w:val="auto"/>
        </w:rPr>
      </w:pPr>
      <w:r>
        <w:rPr>
          <w:rFonts w:ascii="Times New Roman" w:cs="Times New Roman" w:eastAsia="Times New Roman" w:hAnsi="Times New Roman"/>
          <w:sz w:val="14"/>
          <w:szCs w:val="14"/>
          <w:color w:val="auto"/>
        </w:rPr>
        <w:t>Subject to the limitations noted above, 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69" w:lineRule="exact"/>
        <w:rPr>
          <w:sz w:val="20"/>
          <w:szCs w:val="20"/>
          <w:color w:val="auto"/>
        </w:rPr>
      </w:pPr>
    </w:p>
    <w:p>
      <w:pPr>
        <w:ind w:right="140" w:firstLine="374"/>
        <w:spacing w:after="0" w:line="241" w:lineRule="auto"/>
        <w:rPr>
          <w:sz w:val="20"/>
          <w:szCs w:val="20"/>
          <w:color w:val="auto"/>
        </w:rPr>
      </w:pPr>
      <w:r>
        <w:rPr>
          <w:rFonts w:ascii="Times New Roman" w:cs="Times New Roman" w:eastAsia="Times New Roman" w:hAnsi="Times New Roman"/>
          <w:sz w:val="14"/>
          <w:szCs w:val="14"/>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Six Months Ended June 30, 2024</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177"/>
              <w:spacing w:after="0" w:line="123" w:lineRule="exact"/>
              <w:rPr>
                <w:sz w:val="20"/>
                <w:szCs w:val="20"/>
                <w:color w:val="auto"/>
              </w:rPr>
            </w:pPr>
            <w:r>
              <w:rPr>
                <w:rFonts w:ascii="Times New Roman" w:cs="Times New Roman" w:eastAsia="Times New Roman" w:hAnsi="Times New Roman"/>
                <w:sz w:val="13"/>
                <w:szCs w:val="13"/>
                <w:b w:val="1"/>
                <w:bCs w:val="1"/>
                <w:color w:val="auto"/>
                <w:w w:val="97"/>
              </w:rPr>
              <w:t>Collateral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Second Lien</w:t>
            </w:r>
          </w:p>
        </w:tc>
        <w:tc>
          <w:tcPr>
            <w:tcW w:w="120" w:type="dxa"/>
            <w:vAlign w:val="bottom"/>
          </w:tcPr>
          <w:p>
            <w:pPr>
              <w:spacing w:after="0"/>
              <w:rPr>
                <w:sz w:val="11"/>
                <w:szCs w:val="11"/>
                <w:color w:val="auto"/>
              </w:rPr>
            </w:pPr>
          </w:p>
        </w:tc>
        <w:tc>
          <w:tcPr>
            <w:tcW w:w="102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Subordinated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297"/>
              <w:spacing w:after="0" w:line="135" w:lineRule="exact"/>
              <w:rPr>
                <w:sz w:val="20"/>
                <w:szCs w:val="20"/>
                <w:color w:val="auto"/>
              </w:rPr>
            </w:pPr>
            <w:r>
              <w:rPr>
                <w:rFonts w:ascii="Times New Roman" w:cs="Times New Roman" w:eastAsia="Times New Roman" w:hAnsi="Times New Roman"/>
                <w:sz w:val="13"/>
                <w:szCs w:val="13"/>
                <w:b w:val="1"/>
                <w:bCs w:val="1"/>
                <w:color w:val="auto"/>
              </w:rPr>
              <w:t>Joint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102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8"/>
              </w:rPr>
              <w:t>First Lien Debt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6"/>
              </w:rPr>
              <w:t>Obligations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4"/>
              </w:rPr>
              <w:t>Ventures</w:t>
            </w:r>
          </w:p>
        </w:tc>
        <w:tc>
          <w:tcPr>
            <w:tcW w:w="12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289,295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23,232</w:t>
            </w:r>
          </w:p>
        </w:tc>
        <w:tc>
          <w:tcPr>
            <w:tcW w:w="3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1,225</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20,533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8,968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14,275</w:t>
            </w: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9"/>
              </w:rPr>
              <w:t>357,528</w:t>
            </w:r>
          </w:p>
        </w:tc>
        <w:tc>
          <w:tcPr>
            <w:tcW w:w="0" w:type="dxa"/>
            <w:vAlign w:val="bottom"/>
          </w:tcPr>
          <w:p>
            <w:pPr>
              <w:spacing w:after="0"/>
              <w:rPr>
                <w:sz w:val="1"/>
                <w:szCs w:val="1"/>
                <w:color w:val="auto"/>
              </w:rPr>
            </w:pPr>
          </w:p>
        </w:tc>
      </w:tr>
      <w:tr>
        <w:trPr>
          <w:trHeight w:val="162"/>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Transfers out of Level III¹</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(7,018 )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(7,018 )</w:t>
            </w:r>
          </w:p>
        </w:tc>
        <w:tc>
          <w:tcPr>
            <w:tcW w:w="0" w:type="dxa"/>
            <w:vAlign w:val="bottom"/>
          </w:tcPr>
          <w:p>
            <w:pPr>
              <w:spacing w:after="0"/>
              <w:rPr>
                <w:sz w:val="1"/>
                <w:szCs w:val="1"/>
                <w:color w:val="auto"/>
              </w:rPr>
            </w:pPr>
          </w:p>
        </w:tc>
      </w:tr>
      <w:tr>
        <w:trPr>
          <w:trHeight w:val="162"/>
        </w:trPr>
        <w:tc>
          <w:tcPr>
            <w:tcW w:w="3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Transfers into Level III²</w:t>
            </w: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8,034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8,034</w:t>
            </w:r>
          </w:p>
        </w:tc>
        <w:tc>
          <w:tcPr>
            <w:tcW w:w="0" w:type="dxa"/>
            <w:vAlign w:val="bottom"/>
          </w:tcPr>
          <w:p>
            <w:pPr>
              <w:spacing w:after="0"/>
              <w:rPr>
                <w:sz w:val="1"/>
                <w:szCs w:val="1"/>
                <w:color w:val="auto"/>
              </w:rPr>
            </w:pPr>
          </w:p>
        </w:tc>
      </w:tr>
      <w:tr>
        <w:trPr>
          <w:trHeight w:val="162"/>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accretion</w:t>
            </w:r>
          </w:p>
        </w:tc>
        <w:tc>
          <w:tcPr>
            <w:tcW w:w="2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1,081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2,368</w:t>
            </w:r>
          </w:p>
        </w:tc>
        <w:tc>
          <w:tcPr>
            <w:tcW w:w="0" w:type="dxa"/>
            <w:vAlign w:val="bottom"/>
          </w:tcPr>
          <w:p>
            <w:pPr>
              <w:spacing w:after="0"/>
              <w:rPr>
                <w:sz w:val="1"/>
                <w:szCs w:val="1"/>
                <w:color w:val="auto"/>
              </w:rPr>
            </w:pPr>
          </w:p>
        </w:tc>
      </w:tr>
      <w:tr>
        <w:trPr>
          <w:trHeight w:val="162"/>
        </w:trPr>
        <w:tc>
          <w:tcPr>
            <w:tcW w:w="3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Purchases</w:t>
            </w: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51,684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934</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944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5,543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59,105</w:t>
            </w:r>
          </w:p>
        </w:tc>
        <w:tc>
          <w:tcPr>
            <w:tcW w:w="0" w:type="dxa"/>
            <w:vAlign w:val="bottom"/>
          </w:tcPr>
          <w:p>
            <w:pPr>
              <w:spacing w:after="0"/>
              <w:rPr>
                <w:sz w:val="1"/>
                <w:szCs w:val="1"/>
                <w:color w:val="auto"/>
              </w:rPr>
            </w:pPr>
          </w:p>
        </w:tc>
      </w:tr>
      <w:tr>
        <w:trPr>
          <w:trHeight w:val="162"/>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Sales/Paydowns/Return of Capital</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(46,292 )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(1,976 )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(969 )</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(51,451 )</w:t>
            </w:r>
          </w:p>
        </w:tc>
        <w:tc>
          <w:tcPr>
            <w:tcW w:w="0" w:type="dxa"/>
            <w:vAlign w:val="bottom"/>
          </w:tcPr>
          <w:p>
            <w:pPr>
              <w:spacing w:after="0"/>
              <w:rPr>
                <w:sz w:val="1"/>
                <w:szCs w:val="1"/>
                <w:color w:val="auto"/>
              </w:rPr>
            </w:pPr>
          </w:p>
        </w:tc>
      </w:tr>
      <w:tr>
        <w:trPr>
          <w:trHeight w:val="162"/>
        </w:trPr>
        <w:tc>
          <w:tcPr>
            <w:tcW w:w="3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realized gain (loss) included in earnings</w:t>
            </w: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(1,301 )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(5,411 )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(823 )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(7,954 )</w:t>
            </w:r>
          </w:p>
        </w:tc>
        <w:tc>
          <w:tcPr>
            <w:tcW w:w="0" w:type="dxa"/>
            <w:vAlign w:val="bottom"/>
          </w:tcPr>
          <w:p>
            <w:pPr>
              <w:spacing w:after="0"/>
              <w:rPr>
                <w:sz w:val="1"/>
                <w:szCs w:val="1"/>
                <w:color w:val="auto"/>
              </w:rPr>
            </w:pPr>
          </w:p>
        </w:tc>
      </w:tr>
      <w:tr>
        <w:trPr>
          <w:trHeight w:val="162"/>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Change in unrealized gain (loss) included in earnings</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(3,809 )</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189</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402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3,982</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(934 )</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241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95"/>
        </w:trPr>
        <w:tc>
          <w:tcPr>
            <w:tcW w:w="33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June 30, 2024</w:t>
            </w:r>
          </w:p>
        </w:tc>
        <w:tc>
          <w:tcPr>
            <w:tcW w:w="280" w:type="dxa"/>
            <w:vAlign w:val="bottom"/>
            <w:tcBorders>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291,861</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22,398</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1,693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23,830</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7,354</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13,547</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9"/>
              </w:rPr>
              <w:t>360,683</w:t>
            </w:r>
          </w:p>
        </w:tc>
        <w:tc>
          <w:tcPr>
            <w:tcW w:w="0" w:type="dxa"/>
            <w:vAlign w:val="bottom"/>
          </w:tcPr>
          <w:p>
            <w:pPr>
              <w:spacing w:after="0"/>
              <w:rPr>
                <w:sz w:val="1"/>
                <w:szCs w:val="1"/>
                <w:color w:val="auto"/>
              </w:rPr>
            </w:pPr>
          </w:p>
        </w:tc>
      </w:tr>
      <w:tr>
        <w:trPr>
          <w:trHeight w:val="111"/>
        </w:trPr>
        <w:tc>
          <w:tcPr>
            <w:tcW w:w="330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2"/>
                <w:szCs w:val="12"/>
                <w:color w:val="auto"/>
              </w:rPr>
              <w:t>Changes in unrealized gains (losses) included in earnings</w:t>
            </w:r>
          </w:p>
        </w:tc>
        <w:tc>
          <w:tcPr>
            <w:tcW w:w="28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(10,588 )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(2,503 )</w:t>
            </w:r>
          </w:p>
        </w:tc>
        <w:tc>
          <w:tcPr>
            <w:tcW w:w="32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(1,974 )</w:t>
            </w:r>
          </w:p>
        </w:tc>
        <w:tc>
          <w:tcPr>
            <w:tcW w:w="2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(2,124 )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(935 )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241</w:t>
            </w: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(17,882 )</w:t>
            </w:r>
          </w:p>
        </w:tc>
        <w:tc>
          <w:tcPr>
            <w:tcW w:w="0" w:type="dxa"/>
            <w:vAlign w:val="bottom"/>
          </w:tcPr>
          <w:p>
            <w:pPr>
              <w:spacing w:after="0"/>
              <w:rPr>
                <w:sz w:val="1"/>
                <w:szCs w:val="1"/>
                <w:color w:val="auto"/>
              </w:rPr>
            </w:pPr>
          </w:p>
        </w:tc>
      </w:tr>
      <w:tr>
        <w:trPr>
          <w:trHeight w:val="126"/>
        </w:trPr>
        <w:tc>
          <w:tcPr>
            <w:tcW w:w="330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2"/>
                <w:szCs w:val="12"/>
                <w:color w:val="auto"/>
              </w:rPr>
              <w:t>related to investments still held at reporting date</w:t>
            </w:r>
          </w:p>
        </w:tc>
        <w:tc>
          <w:tcPr>
            <w:tcW w:w="2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-307975</wp:posOffset>
            </wp:positionV>
            <wp:extent cx="768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-290830</wp:posOffset>
            </wp:positionV>
            <wp:extent cx="768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-307975</wp:posOffset>
            </wp:positionV>
            <wp:extent cx="774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-290830</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-307975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-290830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-307975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-290830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-307975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-290830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-307975</wp:posOffset>
            </wp:positionV>
            <wp:extent cx="774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-290830</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-307975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-290830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out of Level III represent a transfer of $7.0 million relating to debt securities for which pricing inputs, other than their quoted prices in active markets were observable as of June 30, 2024.</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into Level III represent a transfer of $8.0 million relating to debt securities for which pricing inputs, other than their quoted prices in active markets were unobservable as of June 30, 2024.</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Six Months Ended June 30, 2023</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177"/>
              <w:spacing w:after="0" w:line="123" w:lineRule="exact"/>
              <w:rPr>
                <w:sz w:val="20"/>
                <w:szCs w:val="20"/>
                <w:color w:val="auto"/>
              </w:rPr>
            </w:pPr>
            <w:r>
              <w:rPr>
                <w:rFonts w:ascii="Times New Roman" w:cs="Times New Roman" w:eastAsia="Times New Roman" w:hAnsi="Times New Roman"/>
                <w:sz w:val="13"/>
                <w:szCs w:val="13"/>
                <w:b w:val="1"/>
                <w:bCs w:val="1"/>
                <w:color w:val="auto"/>
                <w:w w:val="93"/>
              </w:rPr>
              <w:t>Collateral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Second Lien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Subordinated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97"/>
              <w:spacing w:after="0" w:line="135" w:lineRule="exact"/>
              <w:rPr>
                <w:sz w:val="20"/>
                <w:szCs w:val="20"/>
                <w:color w:val="auto"/>
              </w:rPr>
            </w:pPr>
            <w:r>
              <w:rPr>
                <w:rFonts w:ascii="Times New Roman" w:cs="Times New Roman" w:eastAsia="Times New Roman" w:hAnsi="Times New Roman"/>
                <w:sz w:val="13"/>
                <w:szCs w:val="13"/>
                <w:b w:val="1"/>
                <w:bCs w:val="1"/>
                <w:color w:val="auto"/>
              </w:rPr>
              <w:t>Loan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297"/>
              <w:spacing w:after="0" w:line="135" w:lineRule="exact"/>
              <w:rPr>
                <w:sz w:val="20"/>
                <w:szCs w:val="20"/>
                <w:color w:val="auto"/>
              </w:rPr>
            </w:pPr>
            <w:r>
              <w:rPr>
                <w:rFonts w:ascii="Times New Roman" w:cs="Times New Roman" w:eastAsia="Times New Roman" w:hAnsi="Times New Roman"/>
                <w:sz w:val="13"/>
                <w:szCs w:val="13"/>
                <w:b w:val="1"/>
                <w:bCs w:val="1"/>
                <w:color w:val="auto"/>
              </w:rPr>
              <w:t>Joint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104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First Lien Debt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Obligations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8"/>
              </w:rPr>
              <w:t>Ventures</w:t>
            </w:r>
          </w:p>
        </w:tc>
        <w:tc>
          <w:tcPr>
            <w:tcW w:w="12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4"/>
        </w:trPr>
        <w:tc>
          <w:tcPr>
            <w:tcW w:w="330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Balance, December 31, 2022</w:t>
            </w:r>
          </w:p>
        </w:tc>
        <w:tc>
          <w:tcPr>
            <w:tcW w:w="2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57"/>
              <w:spacing w:after="0" w:line="124" w:lineRule="exact"/>
              <w:rPr>
                <w:sz w:val="20"/>
                <w:szCs w:val="20"/>
                <w:color w:val="auto"/>
              </w:rPr>
            </w:pPr>
            <w:r>
              <w:rPr>
                <w:rFonts w:ascii="Times New Roman" w:cs="Times New Roman" w:eastAsia="Times New Roman" w:hAnsi="Times New Roman"/>
                <w:sz w:val="13"/>
                <w:szCs w:val="13"/>
                <w:color w:val="auto"/>
              </w:rPr>
              <w:t>471,17</w:t>
            </w:r>
          </w:p>
        </w:tc>
        <w:tc>
          <w:tcPr>
            <w:tcW w:w="0" w:type="dxa"/>
            <w:vAlign w:val="bottom"/>
          </w:tcPr>
          <w:p>
            <w:pPr>
              <w:spacing w:after="0"/>
              <w:rPr>
                <w:sz w:val="1"/>
                <w:szCs w:val="1"/>
                <w:color w:val="auto"/>
              </w:rPr>
            </w:pPr>
          </w:p>
        </w:tc>
      </w:tr>
      <w:tr>
        <w:trPr>
          <w:trHeight w:val="167"/>
        </w:trPr>
        <w:tc>
          <w:tcPr>
            <w:tcW w:w="330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359,648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50,453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21,905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20,453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18,668</w:t>
            </w:r>
          </w:p>
        </w:tc>
        <w:tc>
          <w:tcPr>
            <w:tcW w:w="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Transfers out of Level III¹</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(10,599 )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(10,599 )</w:t>
            </w:r>
          </w:p>
        </w:tc>
        <w:tc>
          <w:tcPr>
            <w:tcW w:w="0" w:type="dxa"/>
            <w:vAlign w:val="bottom"/>
          </w:tcPr>
          <w:p>
            <w:pPr>
              <w:spacing w:after="0"/>
              <w:rPr>
                <w:sz w:val="1"/>
                <w:szCs w:val="1"/>
                <w:color w:val="auto"/>
              </w:rPr>
            </w:pPr>
          </w:p>
        </w:tc>
      </w:tr>
      <w:tr>
        <w:trPr>
          <w:trHeight w:val="162"/>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Transfers into Level III²</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8,278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2,008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10,286</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accretion</w:t>
            </w:r>
          </w:p>
        </w:tc>
        <w:tc>
          <w:tcPr>
            <w:tcW w:w="28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3,366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5,012</w:t>
            </w:r>
          </w:p>
        </w:tc>
        <w:tc>
          <w:tcPr>
            <w:tcW w:w="0" w:type="dxa"/>
            <w:vAlign w:val="bottom"/>
          </w:tcPr>
          <w:p>
            <w:pPr>
              <w:spacing w:after="0"/>
              <w:rPr>
                <w:sz w:val="1"/>
                <w:szCs w:val="1"/>
                <w:color w:val="auto"/>
              </w:rPr>
            </w:pPr>
          </w:p>
        </w:tc>
      </w:tr>
      <w:tr>
        <w:trPr>
          <w:trHeight w:val="162"/>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Purchases</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17,850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448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404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18,702</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Sales/Paydowns/Return of Capital</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(45,320 )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(26,707 )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5,567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(68,959 )</w:t>
            </w:r>
          </w:p>
        </w:tc>
        <w:tc>
          <w:tcPr>
            <w:tcW w:w="0" w:type="dxa"/>
            <w:vAlign w:val="bottom"/>
          </w:tcPr>
          <w:p>
            <w:pPr>
              <w:spacing w:after="0"/>
              <w:rPr>
                <w:sz w:val="1"/>
                <w:szCs w:val="1"/>
                <w:color w:val="auto"/>
              </w:rPr>
            </w:pPr>
          </w:p>
        </w:tc>
      </w:tr>
      <w:tr>
        <w:trPr>
          <w:trHeight w:val="162"/>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realized gain (loss) included in earnings</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(1,123 )</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1,175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(9,476 )</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(9,492 )</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unrealized gain (loss) included in earnings</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(1,867 )</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(1,138 )</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(4,115 )</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(1,945 )</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1,615</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(2,094 )</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(9,544 )</w:t>
            </w:r>
          </w:p>
        </w:tc>
        <w:tc>
          <w:tcPr>
            <w:tcW w:w="0" w:type="dxa"/>
            <w:vAlign w:val="bottom"/>
          </w:tcPr>
          <w:p>
            <w:pPr>
              <w:spacing w:after="0"/>
              <w:rPr>
                <w:sz w:val="1"/>
                <w:szCs w:val="1"/>
                <w:color w:val="auto"/>
              </w:rPr>
            </w:pPr>
          </w:p>
        </w:tc>
      </w:tr>
      <w:tr>
        <w:trPr>
          <w:trHeight w:val="124"/>
        </w:trPr>
        <w:tc>
          <w:tcPr>
            <w:tcW w:w="330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Balance, June 30, 2023</w:t>
            </w:r>
          </w:p>
        </w:tc>
        <w:tc>
          <w:tcPr>
            <w:tcW w:w="2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57"/>
              <w:spacing w:after="0" w:line="124" w:lineRule="exact"/>
              <w:rPr>
                <w:sz w:val="20"/>
                <w:szCs w:val="20"/>
                <w:color w:val="auto"/>
              </w:rPr>
            </w:pPr>
            <w:r>
              <w:rPr>
                <w:rFonts w:ascii="Times New Roman" w:cs="Times New Roman" w:eastAsia="Times New Roman" w:hAnsi="Times New Roman"/>
                <w:sz w:val="13"/>
                <w:szCs w:val="13"/>
                <w:color w:val="auto"/>
              </w:rPr>
              <w:t>406,57</w:t>
            </w:r>
          </w:p>
        </w:tc>
        <w:tc>
          <w:tcPr>
            <w:tcW w:w="0" w:type="dxa"/>
            <w:vAlign w:val="bottom"/>
          </w:tcPr>
          <w:p>
            <w:pPr>
              <w:spacing w:after="0"/>
              <w:rPr>
                <w:sz w:val="1"/>
                <w:szCs w:val="1"/>
                <w:color w:val="auto"/>
              </w:rPr>
            </w:pPr>
          </w:p>
        </w:tc>
      </w:tr>
      <w:tr>
        <w:trPr>
          <w:trHeight w:val="205"/>
        </w:trPr>
        <w:tc>
          <w:tcPr>
            <w:tcW w:w="33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331,288</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24,210</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1,495</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20,013</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12,996</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16,574</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12"/>
        </w:trPr>
        <w:tc>
          <w:tcPr>
            <w:tcW w:w="3300" w:type="dxa"/>
            <w:vAlign w:val="bottom"/>
          </w:tcPr>
          <w:p>
            <w:pPr>
              <w:ind w:left="20"/>
              <w:spacing w:after="0" w:line="112" w:lineRule="exact"/>
              <w:rPr>
                <w:sz w:val="20"/>
                <w:szCs w:val="20"/>
                <w:color w:val="auto"/>
              </w:rPr>
            </w:pPr>
            <w:r>
              <w:rPr>
                <w:rFonts w:ascii="Times New Roman" w:cs="Times New Roman" w:eastAsia="Times New Roman" w:hAnsi="Times New Roman"/>
                <w:sz w:val="12"/>
                <w:szCs w:val="12"/>
                <w:color w:val="auto"/>
              </w:rPr>
              <w:t>Changes in unrealized gains (losses) included in earnings</w:t>
            </w:r>
          </w:p>
        </w:tc>
        <w:tc>
          <w:tcPr>
            <w:tcW w:w="28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(6,573 )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(2,178 )</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(4,116 )</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(933 )</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1,615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(2,094 )</w:t>
            </w: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6"/>
              </w:rPr>
              <w:t>(14,280 )</w:t>
            </w:r>
          </w:p>
        </w:tc>
        <w:tc>
          <w:tcPr>
            <w:tcW w:w="0" w:type="dxa"/>
            <w:vAlign w:val="bottom"/>
          </w:tcPr>
          <w:p>
            <w:pPr>
              <w:spacing w:after="0"/>
              <w:rPr>
                <w:sz w:val="1"/>
                <w:szCs w:val="1"/>
                <w:color w:val="auto"/>
              </w:rPr>
            </w:pPr>
          </w:p>
        </w:tc>
      </w:tr>
      <w:tr>
        <w:trPr>
          <w:trHeight w:val="126"/>
        </w:trPr>
        <w:tc>
          <w:tcPr>
            <w:tcW w:w="330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auto"/>
              </w:rPr>
              <w:t>related to investments still held at reporting date</w:t>
            </w:r>
          </w:p>
        </w:tc>
        <w:tc>
          <w:tcPr>
            <w:tcW w:w="2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-213995</wp:posOffset>
            </wp:positionV>
            <wp:extent cx="768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-196215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-213995</wp:posOffset>
            </wp:positionV>
            <wp:extent cx="774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-196215</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-213995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-196215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-213995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-196215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-213995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-196215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-213995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-196215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-213995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-196215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9030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53"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out of Level III represent a transfer of $10.6 million relating to debt securities for which pricing inputs, other than their quoted prices in active markets were observable as of June 30, 2023.</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into Level III represent a transfer of $10.3 million relating to debt securities for which pricing inputs, other than their quoted prices in active markets were unobservable as of June 30, 2023.</w:t>
      </w:r>
    </w:p>
    <w:p>
      <w:pPr>
        <w:spacing w:after="0" w:line="346" w:lineRule="exact"/>
        <w:rPr>
          <w:sz w:val="20"/>
          <w:szCs w:val="20"/>
          <w:color w:val="auto"/>
        </w:rPr>
      </w:pPr>
    </w:p>
    <w:p>
      <w:pPr>
        <w:ind w:right="20" w:firstLine="374"/>
        <w:spacing w:after="0"/>
        <w:rPr>
          <w:sz w:val="20"/>
          <w:szCs w:val="20"/>
          <w:color w:val="auto"/>
        </w:rPr>
      </w:pPr>
      <w:r>
        <w:rPr>
          <w:rFonts w:ascii="Times New Roman" w:cs="Times New Roman" w:eastAsia="Times New Roman" w:hAnsi="Times New Roman"/>
          <w:sz w:val="14"/>
          <w:szCs w:val="14"/>
          <w:color w:val="auto"/>
        </w:rPr>
        <w:t>As of June 30, 2024 and December 31, 2023, the Company’s Level II portfolio investments were valued by a third-party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$42.9 million and $65.3 million as of June 30, 2024 and December 31, 2023, respectively.</w:t>
      </w:r>
    </w:p>
    <w:p>
      <w:pPr>
        <w:spacing w:after="0" w:line="2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June 30, 2024, the Company’s Level III portfolio investments had the following valuation techniques and significant inputs (dollars in thousands):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3760" w:type="dxa"/>
            <w:vAlign w:val="bottom"/>
            <w:tcBorders>
              <w:top w:val="single" w:sz="8" w:color="auto"/>
              <w:left w:val="single" w:sz="8" w:color="auto"/>
              <w:right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2060" w:type="dxa"/>
            <w:vAlign w:val="bottom"/>
            <w:tcBorders>
              <w:top w:val="single" w:sz="8" w:color="auto"/>
              <w:right w:val="single" w:sz="8" w:color="auto"/>
            </w:tcBorders>
          </w:tcPr>
          <w:p>
            <w:pPr>
              <w:ind w:left="580"/>
              <w:spacing w:after="0" w:line="145" w:lineRule="exact"/>
              <w:rPr>
                <w:sz w:val="20"/>
                <w:szCs w:val="20"/>
                <w:color w:val="auto"/>
              </w:rPr>
            </w:pPr>
            <w:r>
              <w:rPr>
                <w:rFonts w:ascii="Times New Roman" w:cs="Times New Roman" w:eastAsia="Times New Roman" w:hAnsi="Times New Roman"/>
                <w:sz w:val="13"/>
                <w:szCs w:val="13"/>
                <w:b w:val="1"/>
                <w:bCs w:val="1"/>
                <w:color w:val="auto"/>
              </w:rPr>
              <w:t>Primary Valuation</w:t>
            </w:r>
          </w:p>
        </w:tc>
        <w:tc>
          <w:tcPr>
            <w:tcW w:w="2100" w:type="dxa"/>
            <w:vAlign w:val="bottom"/>
            <w:tcBorders>
              <w:top w:val="single" w:sz="8" w:color="auto"/>
              <w:right w:val="single" w:sz="8" w:color="auto"/>
            </w:tcBorders>
          </w:tcPr>
          <w:p>
            <w:pPr>
              <w:ind w:left="740"/>
              <w:spacing w:after="0" w:line="145" w:lineRule="exact"/>
              <w:rPr>
                <w:sz w:val="20"/>
                <w:szCs w:val="20"/>
                <w:color w:val="auto"/>
              </w:rPr>
            </w:pPr>
            <w:r>
              <w:rPr>
                <w:rFonts w:ascii="Times New Roman" w:cs="Times New Roman" w:eastAsia="Times New Roman" w:hAnsi="Times New Roman"/>
                <w:sz w:val="13"/>
                <w:szCs w:val="13"/>
                <w:b w:val="1"/>
                <w:bCs w:val="1"/>
                <w:color w:val="auto"/>
              </w:rPr>
              <w:t>Unobservable</w:t>
            </w:r>
          </w:p>
        </w:tc>
        <w:tc>
          <w:tcPr>
            <w:tcW w:w="1640" w:type="dxa"/>
            <w:vAlign w:val="bottom"/>
            <w:tcBorders>
              <w:top w:val="single" w:sz="8" w:color="auto"/>
              <w:right w:val="single" w:sz="8" w:color="auto"/>
            </w:tcBorders>
            <w:gridSpan w:val="2"/>
          </w:tcPr>
          <w:p>
            <w:pPr>
              <w:ind w:left="380"/>
              <w:spacing w:after="0" w:line="145" w:lineRule="exact"/>
              <w:rPr>
                <w:sz w:val="20"/>
                <w:szCs w:val="20"/>
                <w:color w:val="auto"/>
              </w:rPr>
            </w:pPr>
            <w:r>
              <w:rPr>
                <w:rFonts w:ascii="Times New Roman" w:cs="Times New Roman" w:eastAsia="Times New Roman" w:hAnsi="Times New Roman"/>
                <w:sz w:val="13"/>
                <w:szCs w:val="13"/>
                <w:b w:val="1"/>
                <w:bCs w:val="1"/>
                <w:color w:val="auto"/>
              </w:rPr>
              <w:t>Range of Inputs</w:t>
            </w:r>
          </w:p>
        </w:tc>
      </w:tr>
      <w:tr>
        <w:trPr>
          <w:trHeight w:val="190"/>
        </w:trPr>
        <w:tc>
          <w:tcPr>
            <w:tcW w:w="3760" w:type="dxa"/>
            <w:vAlign w:val="bottom"/>
            <w:tcBorders>
              <w:left w:val="single" w:sz="8" w:color="auto"/>
              <w:bottom w:val="single" w:sz="8" w:color="auto"/>
              <w:right w:val="single" w:sz="8" w:color="auto"/>
            </w:tcBorders>
          </w:tcPr>
          <w:p>
            <w:pPr>
              <w:jc w:val="right"/>
              <w:ind w:right="1697"/>
              <w:spacing w:after="0"/>
              <w:rPr>
                <w:sz w:val="20"/>
                <w:szCs w:val="20"/>
                <w:color w:val="auto"/>
              </w:rPr>
            </w:pPr>
            <w:r>
              <w:rPr>
                <w:rFonts w:ascii="Times New Roman" w:cs="Times New Roman" w:eastAsia="Times New Roman" w:hAnsi="Times New Roman"/>
                <w:sz w:val="13"/>
                <w:szCs w:val="13"/>
                <w:b w:val="1"/>
                <w:bCs w:val="1"/>
                <w:color w:val="auto"/>
              </w:rPr>
              <w:t>Type</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60" w:type="dxa"/>
            <w:vAlign w:val="bottom"/>
            <w:tcBorders>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Techniques</w:t>
            </w:r>
          </w:p>
        </w:tc>
        <w:tc>
          <w:tcPr>
            <w:tcW w:w="2100" w:type="dxa"/>
            <w:vAlign w:val="bottom"/>
            <w:tcBorders>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164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(Weighted Average)</w:t>
            </w:r>
          </w:p>
        </w:tc>
      </w:tr>
      <w:tr>
        <w:trPr>
          <w:trHeight w:val="139"/>
        </w:trPr>
        <w:tc>
          <w:tcPr>
            <w:tcW w:w="3760" w:type="dxa"/>
            <w:vAlign w:val="bottom"/>
            <w:tcBorders>
              <w:top w:val="single" w:sz="8" w:color="auto"/>
              <w:left w:val="single" w:sz="8" w:color="auto"/>
              <w:bottom w:val="single" w:sz="8" w:color="CFF0FC"/>
              <w:right w:val="single" w:sz="8" w:color="auto"/>
            </w:tcBorders>
            <w:shd w:val="clear" w:color="auto" w:fill="CFF0FC"/>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First Lien Debt</w:t>
            </w:r>
          </w:p>
        </w:tc>
        <w:tc>
          <w:tcPr>
            <w:tcW w:w="360" w:type="dxa"/>
            <w:vAlign w:val="bottom"/>
            <w:tcBorders>
              <w:top w:val="single" w:sz="8" w:color="CFF0FC"/>
              <w:bottom w:val="single" w:sz="8" w:color="CFF0FC"/>
            </w:tcBorders>
            <w:shd w:val="clear" w:color="auto" w:fill="CFF0FC"/>
          </w:tcPr>
          <w:p>
            <w:pPr>
              <w:jc w:val="right"/>
              <w:ind w:right="117"/>
              <w:spacing w:after="0" w:line="139"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top w:val="single" w:sz="8" w:color="CFF0FC"/>
              <w:bottom w:val="single" w:sz="8" w:color="CFF0FC"/>
              <w:right w:val="single" w:sz="8" w:color="auto"/>
            </w:tcBorders>
            <w:shd w:val="clear" w:color="auto" w:fill="CFF0FC"/>
          </w:tcPr>
          <w:p>
            <w:pPr>
              <w:jc w:val="right"/>
              <w:ind w:right="77"/>
              <w:spacing w:after="0" w:line="139" w:lineRule="exact"/>
              <w:rPr>
                <w:sz w:val="20"/>
                <w:szCs w:val="20"/>
                <w:color w:val="auto"/>
              </w:rPr>
            </w:pPr>
            <w:r>
              <w:rPr>
                <w:rFonts w:ascii="Times New Roman" w:cs="Times New Roman" w:eastAsia="Times New Roman" w:hAnsi="Times New Roman"/>
                <w:sz w:val="13"/>
                <w:szCs w:val="13"/>
                <w:color w:val="auto"/>
              </w:rPr>
              <w:t>41,153</w:t>
            </w:r>
          </w:p>
        </w:tc>
        <w:tc>
          <w:tcPr>
            <w:tcW w:w="2060" w:type="dxa"/>
            <w:vAlign w:val="bottom"/>
            <w:tcBorders>
              <w:top w:val="single" w:sz="8" w:color="CFF0FC"/>
              <w:bottom w:val="single" w:sz="8" w:color="CFF0FC"/>
              <w:right w:val="single" w:sz="8" w:color="auto"/>
            </w:tcBorders>
            <w:shd w:val="clear" w:color="auto" w:fill="CFF0FC"/>
          </w:tcPr>
          <w:p>
            <w:pPr>
              <w:ind w:left="180"/>
              <w:spacing w:after="0" w:line="139" w:lineRule="exact"/>
              <w:rPr>
                <w:sz w:val="20"/>
                <w:szCs w:val="20"/>
                <w:color w:val="auto"/>
              </w:rPr>
            </w:pPr>
            <w:r>
              <w:rPr>
                <w:rFonts w:ascii="Times New Roman" w:cs="Times New Roman" w:eastAsia="Times New Roman" w:hAnsi="Times New Roman"/>
                <w:sz w:val="13"/>
                <w:szCs w:val="13"/>
                <w:color w:val="auto"/>
              </w:rPr>
              <w:t>Enterprise Value</w:t>
            </w:r>
          </w:p>
        </w:tc>
        <w:tc>
          <w:tcPr>
            <w:tcW w:w="2100" w:type="dxa"/>
            <w:vAlign w:val="bottom"/>
            <w:tcBorders>
              <w:top w:val="single" w:sz="8" w:color="CFF0FC"/>
              <w:bottom w:val="single" w:sz="8" w:color="auto"/>
              <w:right w:val="single" w:sz="8" w:color="auto"/>
            </w:tcBorders>
            <w:shd w:val="clear" w:color="auto" w:fill="CFF0FC"/>
          </w:tcPr>
          <w:p>
            <w:pPr>
              <w:ind w:left="160"/>
              <w:spacing w:after="0" w:line="139" w:lineRule="exact"/>
              <w:rPr>
                <w:sz w:val="20"/>
                <w:szCs w:val="20"/>
                <w:color w:val="auto"/>
              </w:rPr>
            </w:pPr>
            <w:r>
              <w:rPr>
                <w:rFonts w:ascii="Times New Roman" w:cs="Times New Roman" w:eastAsia="Times New Roman" w:hAnsi="Times New Roman"/>
                <w:sz w:val="13"/>
                <w:szCs w:val="13"/>
                <w:color w:val="auto"/>
              </w:rPr>
              <w:t>Average EBITDA Multiple</w:t>
            </w:r>
          </w:p>
        </w:tc>
        <w:tc>
          <w:tcPr>
            <w:tcW w:w="1200" w:type="dxa"/>
            <w:vAlign w:val="bottom"/>
            <w:tcBorders>
              <w:top w:val="single" w:sz="8" w:color="CFF0FC"/>
              <w:bottom w:val="single" w:sz="8" w:color="auto"/>
            </w:tcBorders>
            <w:shd w:val="clear" w:color="auto" w:fill="CFF0FC"/>
          </w:tcPr>
          <w:p>
            <w:pPr>
              <w:ind w:left="120"/>
              <w:spacing w:after="0" w:line="139" w:lineRule="exact"/>
              <w:rPr>
                <w:sz w:val="20"/>
                <w:szCs w:val="20"/>
                <w:color w:val="auto"/>
              </w:rPr>
            </w:pPr>
            <w:r>
              <w:rPr>
                <w:rFonts w:ascii="Times New Roman" w:cs="Times New Roman" w:eastAsia="Times New Roman" w:hAnsi="Times New Roman"/>
                <w:sz w:val="13"/>
                <w:szCs w:val="13"/>
                <w:color w:val="auto"/>
              </w:rPr>
              <w:t>6.1x - 8.0x (5.3x)</w:t>
            </w:r>
          </w:p>
        </w:tc>
        <w:tc>
          <w:tcPr>
            <w:tcW w:w="440" w:type="dxa"/>
            <w:vAlign w:val="bottom"/>
            <w:tcBorders>
              <w:top w:val="single" w:sz="8" w:color="CFF0FC"/>
              <w:bottom w:val="single" w:sz="8" w:color="auto"/>
              <w:right w:val="single" w:sz="8" w:color="auto"/>
            </w:tcBorders>
            <w:shd w:val="clear" w:color="auto" w:fill="CFF0FC"/>
          </w:tcPr>
          <w:p>
            <w:pPr>
              <w:spacing w:after="0"/>
              <w:rPr>
                <w:sz w:val="12"/>
                <w:szCs w:val="12"/>
                <w:color w:val="auto"/>
              </w:rPr>
            </w:pPr>
          </w:p>
        </w:tc>
      </w:tr>
      <w:tr>
        <w:trPr>
          <w:trHeight w:val="155"/>
        </w:trPr>
        <w:tc>
          <w:tcPr>
            <w:tcW w:w="3760" w:type="dxa"/>
            <w:vAlign w:val="bottom"/>
            <w:tcBorders>
              <w:left w:val="single" w:sz="8" w:color="auto"/>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2060" w:type="dxa"/>
            <w:vAlign w:val="bottom"/>
            <w:tcBorders>
              <w:right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Expected Sale Proceeds</w:t>
            </w: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90.3x</w:t>
            </w:r>
          </w:p>
        </w:tc>
        <w:tc>
          <w:tcPr>
            <w:tcW w:w="440" w:type="dxa"/>
            <w:vAlign w:val="bottom"/>
            <w:tcBorders>
              <w:bottom w:val="single" w:sz="8" w:color="auto"/>
              <w:right w:val="single" w:sz="8" w:color="auto"/>
            </w:tcBorders>
          </w:tcPr>
          <w:p>
            <w:pPr>
              <w:spacing w:after="0"/>
              <w:rPr>
                <w:sz w:val="13"/>
                <w:szCs w:val="13"/>
                <w:color w:val="auto"/>
              </w:rPr>
            </w:pPr>
          </w:p>
        </w:tc>
      </w:tr>
      <w:tr>
        <w:trPr>
          <w:trHeight w:val="155"/>
        </w:trPr>
        <w:tc>
          <w:tcPr>
            <w:tcW w:w="3760" w:type="dxa"/>
            <w:vAlign w:val="bottom"/>
            <w:tcBorders>
              <w:left w:val="single" w:sz="8" w:color="auto"/>
              <w:bottom w:val="single" w:sz="8" w:color="CFF0FC"/>
              <w:right w:val="single" w:sz="8" w:color="auto"/>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right w:val="single" w:sz="8" w:color="auto"/>
            </w:tcBorders>
            <w:shd w:val="clear" w:color="auto" w:fill="CFF0FC"/>
          </w:tcPr>
          <w:p>
            <w:pPr>
              <w:spacing w:after="0"/>
              <w:rPr>
                <w:sz w:val="13"/>
                <w:szCs w:val="13"/>
                <w:color w:val="auto"/>
              </w:rPr>
            </w:pPr>
          </w:p>
        </w:tc>
        <w:tc>
          <w:tcPr>
            <w:tcW w:w="2060" w:type="dxa"/>
            <w:vAlign w:val="bottom"/>
            <w:tcBorders>
              <w:bottom w:val="single" w:sz="8" w:color="CFF0FC"/>
              <w:right w:val="single" w:sz="8" w:color="auto"/>
            </w:tcBorders>
            <w:shd w:val="clear" w:color="auto" w:fill="CFF0FC"/>
          </w:tcPr>
          <w:p>
            <w:pPr>
              <w:spacing w:after="0"/>
              <w:rPr>
                <w:sz w:val="13"/>
                <w:szCs w:val="13"/>
                <w:color w:val="auto"/>
              </w:rPr>
            </w:pPr>
          </w:p>
        </w:tc>
        <w:tc>
          <w:tcPr>
            <w:tcW w:w="2100" w:type="dxa"/>
            <w:vAlign w:val="bottom"/>
            <w:tcBorders>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Average Settlement Value</w:t>
            </w:r>
          </w:p>
        </w:tc>
        <w:tc>
          <w:tcPr>
            <w:tcW w:w="1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0.4x - 1.3x (0.2x)</w:t>
            </w:r>
          </w:p>
        </w:tc>
        <w:tc>
          <w:tcPr>
            <w:tcW w:w="440" w:type="dxa"/>
            <w:vAlign w:val="bottom"/>
            <w:tcBorders>
              <w:bottom w:val="single" w:sz="8" w:color="auto"/>
              <w:right w:val="single" w:sz="8" w:color="auto"/>
            </w:tcBorders>
            <w:shd w:val="clear" w:color="auto" w:fill="CFF0FC"/>
          </w:tcPr>
          <w:p>
            <w:pPr>
              <w:spacing w:after="0"/>
              <w:rPr>
                <w:sz w:val="13"/>
                <w:szCs w:val="13"/>
                <w:color w:val="auto"/>
              </w:rPr>
            </w:pPr>
          </w:p>
        </w:tc>
      </w:tr>
      <w:tr>
        <w:trPr>
          <w:trHeight w:val="155"/>
        </w:trPr>
        <w:tc>
          <w:tcPr>
            <w:tcW w:w="3760" w:type="dxa"/>
            <w:vAlign w:val="bottom"/>
            <w:tcBorders>
              <w:left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2060" w:type="dxa"/>
            <w:vAlign w:val="bottom"/>
            <w:tcBorders>
              <w:bottom w:val="single" w:sz="8" w:color="auto"/>
              <w:right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Takeback Paper Price</w:t>
            </w: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$105.0</w:t>
            </w:r>
          </w:p>
        </w:tc>
        <w:tc>
          <w:tcPr>
            <w:tcW w:w="440" w:type="dxa"/>
            <w:vAlign w:val="bottom"/>
            <w:tcBorders>
              <w:bottom w:val="single" w:sz="8" w:color="auto"/>
              <w:right w:val="single" w:sz="8" w:color="auto"/>
            </w:tcBorders>
          </w:tcPr>
          <w:p>
            <w:pPr>
              <w:spacing w:after="0"/>
              <w:rPr>
                <w:sz w:val="13"/>
                <w:szCs w:val="13"/>
                <w:color w:val="auto"/>
              </w:rPr>
            </w:pPr>
          </w:p>
        </w:tc>
      </w:tr>
      <w:tr>
        <w:trPr>
          <w:trHeight w:val="156"/>
        </w:trPr>
        <w:tc>
          <w:tcPr>
            <w:tcW w:w="3760" w:type="dxa"/>
            <w:vAlign w:val="bottom"/>
            <w:tcBorders>
              <w:left w:val="single" w:sz="8" w:color="auto"/>
              <w:bottom w:val="single" w:sz="8" w:color="CFF0FC"/>
              <w:right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right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241,004</w:t>
            </w:r>
          </w:p>
        </w:tc>
        <w:tc>
          <w:tcPr>
            <w:tcW w:w="2060" w:type="dxa"/>
            <w:vAlign w:val="bottom"/>
            <w:tcBorders>
              <w:bottom w:val="single" w:sz="8" w:color="auto"/>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Income Approach</w:t>
            </w:r>
          </w:p>
        </w:tc>
        <w:tc>
          <w:tcPr>
            <w:tcW w:w="2100" w:type="dxa"/>
            <w:vAlign w:val="bottom"/>
            <w:tcBorders>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Implied Discount Rate</w:t>
            </w:r>
          </w:p>
        </w:tc>
        <w:tc>
          <w:tcPr>
            <w:tcW w:w="1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5"/>
              </w:rPr>
              <w:t>0.9% - 24.5% (9.3%)</w:t>
            </w:r>
          </w:p>
        </w:tc>
        <w:tc>
          <w:tcPr>
            <w:tcW w:w="440" w:type="dxa"/>
            <w:vAlign w:val="bottom"/>
            <w:tcBorders>
              <w:bottom w:val="single" w:sz="8" w:color="auto"/>
              <w:right w:val="single" w:sz="8" w:color="auto"/>
            </w:tcBorders>
            <w:shd w:val="clear" w:color="auto" w:fill="CFF0FC"/>
          </w:tcPr>
          <w:p>
            <w:pPr>
              <w:spacing w:after="0"/>
              <w:rPr>
                <w:sz w:val="13"/>
                <w:szCs w:val="13"/>
                <w:color w:val="auto"/>
              </w:rPr>
            </w:pPr>
          </w:p>
        </w:tc>
      </w:tr>
      <w:tr>
        <w:trPr>
          <w:trHeight w:val="155"/>
        </w:trPr>
        <w:tc>
          <w:tcPr>
            <w:tcW w:w="3760" w:type="dxa"/>
            <w:vAlign w:val="bottom"/>
            <w:tcBorders>
              <w:left w:val="single" w:sz="8" w:color="auto"/>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9,704</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w w:val="96"/>
              </w:rPr>
              <w:t>Near-term Repayment - Refinancing</w:t>
            </w:r>
          </w:p>
        </w:tc>
        <w:tc>
          <w:tcPr>
            <w:tcW w:w="21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Current Payment Terms (Par)</w:t>
            </w: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100.0</w:t>
            </w:r>
          </w:p>
        </w:tc>
      </w:tr>
      <w:tr>
        <w:trPr>
          <w:trHeight w:val="155"/>
        </w:trPr>
        <w:tc>
          <w:tcPr>
            <w:tcW w:w="3760" w:type="dxa"/>
            <w:vAlign w:val="bottom"/>
            <w:tcBorders>
              <w:left w:val="single" w:sz="8" w:color="auto"/>
              <w:bottom w:val="single" w:sz="8" w:color="CFF0FC"/>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Second Lien Debt</w:t>
            </w:r>
          </w:p>
        </w:tc>
        <w:tc>
          <w:tcPr>
            <w:tcW w:w="36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right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178</w:t>
            </w:r>
          </w:p>
        </w:tc>
        <w:tc>
          <w:tcPr>
            <w:tcW w:w="2060" w:type="dxa"/>
            <w:vAlign w:val="bottom"/>
            <w:tcBorders>
              <w:bottom w:val="single" w:sz="8" w:color="auto"/>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Enterprise Valuation</w:t>
            </w:r>
          </w:p>
        </w:tc>
        <w:tc>
          <w:tcPr>
            <w:tcW w:w="2100" w:type="dxa"/>
            <w:vAlign w:val="bottom"/>
            <w:tcBorders>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Takeback Paper Price</w:t>
            </w:r>
          </w:p>
        </w:tc>
        <w:tc>
          <w:tcPr>
            <w:tcW w:w="1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10.80</w:t>
            </w:r>
          </w:p>
        </w:tc>
      </w:tr>
      <w:tr>
        <w:trPr>
          <w:trHeight w:val="155"/>
        </w:trPr>
        <w:tc>
          <w:tcPr>
            <w:tcW w:w="3760" w:type="dxa"/>
            <w:vAlign w:val="bottom"/>
            <w:tcBorders>
              <w:left w:val="single" w:sz="8" w:color="auto"/>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22,220</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Income Approach</w:t>
            </w:r>
          </w:p>
        </w:tc>
        <w:tc>
          <w:tcPr>
            <w:tcW w:w="21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Implied Discount Rate</w:t>
            </w:r>
          </w:p>
        </w:tc>
        <w:tc>
          <w:tcPr>
            <w:tcW w:w="1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8.2% - 20.8% (13.8%)</w:t>
            </w:r>
          </w:p>
        </w:tc>
      </w:tr>
      <w:tr>
        <w:trPr>
          <w:trHeight w:val="155"/>
        </w:trPr>
        <w:tc>
          <w:tcPr>
            <w:tcW w:w="3760" w:type="dxa"/>
            <w:vAlign w:val="bottom"/>
            <w:tcBorders>
              <w:left w:val="single" w:sz="8" w:color="auto"/>
              <w:bottom w:val="single" w:sz="8" w:color="CFF0FC"/>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Subordinated Debt</w:t>
            </w:r>
          </w:p>
        </w:tc>
        <w:tc>
          <w:tcPr>
            <w:tcW w:w="36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right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483</w:t>
            </w:r>
          </w:p>
        </w:tc>
        <w:tc>
          <w:tcPr>
            <w:tcW w:w="2060" w:type="dxa"/>
            <w:vAlign w:val="bottom"/>
            <w:tcBorders>
              <w:bottom w:val="single" w:sz="8" w:color="auto"/>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Income Approach</w:t>
            </w:r>
          </w:p>
        </w:tc>
        <w:tc>
          <w:tcPr>
            <w:tcW w:w="2100" w:type="dxa"/>
            <w:vAlign w:val="bottom"/>
            <w:tcBorders>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Implied Discount Rate</w:t>
            </w:r>
          </w:p>
        </w:tc>
        <w:tc>
          <w:tcPr>
            <w:tcW w:w="1640" w:type="dxa"/>
            <w:vAlign w:val="bottom"/>
            <w:tcBorders>
              <w:bottom w:val="single" w:sz="8" w:color="auto"/>
              <w:right w:val="single" w:sz="8" w:color="auto"/>
            </w:tcBorders>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15.4% - 15.4% (15.4%)</w:t>
            </w:r>
          </w:p>
        </w:tc>
      </w:tr>
      <w:tr>
        <w:trPr>
          <w:trHeight w:val="155"/>
        </w:trPr>
        <w:tc>
          <w:tcPr>
            <w:tcW w:w="3760" w:type="dxa"/>
            <w:vAlign w:val="bottom"/>
            <w:tcBorders>
              <w:left w:val="single" w:sz="8" w:color="auto"/>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1,210</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Recovery analysis</w:t>
            </w:r>
          </w:p>
        </w:tc>
        <w:tc>
          <w:tcPr>
            <w:tcW w:w="21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Average Settlement Value</w:t>
            </w: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47.10</w:t>
            </w:r>
          </w:p>
        </w:tc>
      </w:tr>
      <w:tr>
        <w:trPr>
          <w:trHeight w:val="156"/>
        </w:trPr>
        <w:tc>
          <w:tcPr>
            <w:tcW w:w="3760" w:type="dxa"/>
            <w:vAlign w:val="bottom"/>
            <w:tcBorders>
              <w:left w:val="single" w:sz="8" w:color="auto"/>
              <w:bottom w:val="single" w:sz="8" w:color="CFF0FC"/>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3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right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18,753</w:t>
            </w:r>
          </w:p>
        </w:tc>
        <w:tc>
          <w:tcPr>
            <w:tcW w:w="2060" w:type="dxa"/>
            <w:vAlign w:val="bottom"/>
            <w:tcBorders>
              <w:bottom w:val="single" w:sz="8" w:color="CFF0FC"/>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Enterprise Value</w:t>
            </w:r>
          </w:p>
        </w:tc>
        <w:tc>
          <w:tcPr>
            <w:tcW w:w="2100" w:type="dxa"/>
            <w:vAlign w:val="bottom"/>
            <w:tcBorders>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Average EBITDA Multiple</w:t>
            </w:r>
          </w:p>
        </w:tc>
        <w:tc>
          <w:tcPr>
            <w:tcW w:w="1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1.4x - 18.0x (4.1x)</w:t>
            </w:r>
          </w:p>
        </w:tc>
        <w:tc>
          <w:tcPr>
            <w:tcW w:w="440" w:type="dxa"/>
            <w:vAlign w:val="bottom"/>
            <w:tcBorders>
              <w:bottom w:val="single" w:sz="8" w:color="auto"/>
              <w:right w:val="single" w:sz="8" w:color="auto"/>
            </w:tcBorders>
            <w:shd w:val="clear" w:color="auto" w:fill="CFF0FC"/>
          </w:tcPr>
          <w:p>
            <w:pPr>
              <w:spacing w:after="0"/>
              <w:rPr>
                <w:sz w:val="13"/>
                <w:szCs w:val="13"/>
                <w:color w:val="auto"/>
              </w:rPr>
            </w:pPr>
          </w:p>
        </w:tc>
      </w:tr>
      <w:tr>
        <w:trPr>
          <w:trHeight w:val="155"/>
        </w:trPr>
        <w:tc>
          <w:tcPr>
            <w:tcW w:w="3760" w:type="dxa"/>
            <w:vAlign w:val="bottom"/>
            <w:tcBorders>
              <w:left w:val="single" w:sz="8" w:color="auto"/>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2060" w:type="dxa"/>
            <w:vAlign w:val="bottom"/>
            <w:tcBorders>
              <w:right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w w:val="98"/>
              </w:rPr>
              <w:t>Average EBITDA Multiple / WACC</w:t>
            </w: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0.4x - 3.7x (1.2x)</w:t>
            </w:r>
          </w:p>
        </w:tc>
        <w:tc>
          <w:tcPr>
            <w:tcW w:w="440" w:type="dxa"/>
            <w:vAlign w:val="bottom"/>
            <w:tcBorders>
              <w:bottom w:val="single" w:sz="8" w:color="auto"/>
              <w:right w:val="single" w:sz="8" w:color="auto"/>
            </w:tcBorders>
          </w:tcPr>
          <w:p>
            <w:pPr>
              <w:spacing w:after="0"/>
              <w:rPr>
                <w:sz w:val="13"/>
                <w:szCs w:val="13"/>
                <w:color w:val="auto"/>
              </w:rPr>
            </w:pPr>
          </w:p>
        </w:tc>
      </w:tr>
      <w:tr>
        <w:trPr>
          <w:trHeight w:val="155"/>
        </w:trPr>
        <w:tc>
          <w:tcPr>
            <w:tcW w:w="3760" w:type="dxa"/>
            <w:vAlign w:val="bottom"/>
            <w:tcBorders>
              <w:left w:val="single" w:sz="8" w:color="auto"/>
              <w:bottom w:val="single" w:sz="8" w:color="CFF0FC"/>
              <w:right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right w:val="single" w:sz="8" w:color="auto"/>
            </w:tcBorders>
            <w:shd w:val="clear" w:color="auto" w:fill="CFF0FC"/>
          </w:tcPr>
          <w:p>
            <w:pPr>
              <w:spacing w:after="0"/>
              <w:rPr>
                <w:sz w:val="13"/>
                <w:szCs w:val="13"/>
                <w:color w:val="auto"/>
              </w:rPr>
            </w:pPr>
          </w:p>
        </w:tc>
        <w:tc>
          <w:tcPr>
            <w:tcW w:w="2060" w:type="dxa"/>
            <w:vAlign w:val="bottom"/>
            <w:tcBorders>
              <w:bottom w:val="single" w:sz="8" w:color="auto"/>
              <w:right w:val="single" w:sz="8" w:color="auto"/>
            </w:tcBorders>
            <w:shd w:val="clear" w:color="auto" w:fill="CFF0FC"/>
          </w:tcPr>
          <w:p>
            <w:pPr>
              <w:spacing w:after="0"/>
              <w:rPr>
                <w:sz w:val="13"/>
                <w:szCs w:val="13"/>
                <w:color w:val="auto"/>
              </w:rPr>
            </w:pPr>
          </w:p>
        </w:tc>
        <w:tc>
          <w:tcPr>
            <w:tcW w:w="2100" w:type="dxa"/>
            <w:vAlign w:val="bottom"/>
            <w:tcBorders>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Expected Sale Proceeds</w:t>
            </w:r>
          </w:p>
        </w:tc>
        <w:tc>
          <w:tcPr>
            <w:tcW w:w="1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90.3x</w:t>
            </w:r>
          </w:p>
        </w:tc>
        <w:tc>
          <w:tcPr>
            <w:tcW w:w="440" w:type="dxa"/>
            <w:vAlign w:val="bottom"/>
            <w:tcBorders>
              <w:bottom w:val="single" w:sz="8" w:color="auto"/>
              <w:right w:val="single" w:sz="8" w:color="auto"/>
            </w:tcBorders>
            <w:shd w:val="clear" w:color="auto" w:fill="CFF0FC"/>
          </w:tcPr>
          <w:p>
            <w:pPr>
              <w:spacing w:after="0"/>
              <w:rPr>
                <w:sz w:val="13"/>
                <w:szCs w:val="13"/>
                <w:color w:val="auto"/>
              </w:rPr>
            </w:pPr>
          </w:p>
        </w:tc>
      </w:tr>
      <w:tr>
        <w:trPr>
          <w:trHeight w:val="155"/>
        </w:trPr>
        <w:tc>
          <w:tcPr>
            <w:tcW w:w="3760" w:type="dxa"/>
            <w:vAlign w:val="bottom"/>
            <w:tcBorders>
              <w:left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4,405</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Income Approach</w:t>
            </w:r>
          </w:p>
        </w:tc>
        <w:tc>
          <w:tcPr>
            <w:tcW w:w="21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Implied Discount Rate</w:t>
            </w:r>
          </w:p>
        </w:tc>
        <w:tc>
          <w:tcPr>
            <w:tcW w:w="1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12.5% - 21.4% (17.1%)</w:t>
            </w:r>
          </w:p>
        </w:tc>
      </w:tr>
      <w:tr>
        <w:trPr>
          <w:trHeight w:val="155"/>
        </w:trPr>
        <w:tc>
          <w:tcPr>
            <w:tcW w:w="3760" w:type="dxa"/>
            <w:vAlign w:val="bottom"/>
            <w:tcBorders>
              <w:left w:val="single" w:sz="8" w:color="auto"/>
              <w:bottom w:val="single" w:sz="8" w:color="auto"/>
              <w:right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right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672</w:t>
            </w:r>
          </w:p>
        </w:tc>
        <w:tc>
          <w:tcPr>
            <w:tcW w:w="2060" w:type="dxa"/>
            <w:vAlign w:val="bottom"/>
            <w:tcBorders>
              <w:bottom w:val="single" w:sz="8" w:color="auto"/>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Recent Transaction</w:t>
            </w:r>
          </w:p>
        </w:tc>
        <w:tc>
          <w:tcPr>
            <w:tcW w:w="2100" w:type="dxa"/>
            <w:vAlign w:val="bottom"/>
            <w:tcBorders>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Implied Discount Rate</w:t>
            </w:r>
          </w:p>
        </w:tc>
        <w:tc>
          <w:tcPr>
            <w:tcW w:w="1640" w:type="dxa"/>
            <w:vAlign w:val="bottom"/>
            <w:tcBorders>
              <w:bottom w:val="single" w:sz="8" w:color="auto"/>
              <w:right w:val="single" w:sz="8" w:color="auto"/>
            </w:tcBorders>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12.4% - 12.4% (12.4%)</w:t>
            </w:r>
          </w:p>
        </w:tc>
      </w:tr>
      <w:tr>
        <w:trPr>
          <w:trHeight w:val="155"/>
        </w:trPr>
        <w:tc>
          <w:tcPr>
            <w:tcW w:w="376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Collateralized Loan Obligations</w:t>
            </w:r>
          </w:p>
        </w:tc>
        <w:tc>
          <w:tcPr>
            <w:tcW w:w="360" w:type="dxa"/>
            <w:vAlign w:val="bottom"/>
          </w:tcPr>
          <w:p>
            <w:pPr>
              <w:spacing w:after="0"/>
              <w:rPr>
                <w:sz w:val="13"/>
                <w:szCs w:val="13"/>
                <w:color w:val="auto"/>
              </w:rPr>
            </w:pPr>
          </w:p>
        </w:tc>
        <w:tc>
          <w:tcPr>
            <w:tcW w:w="132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7,354</w:t>
            </w:r>
          </w:p>
        </w:tc>
        <w:tc>
          <w:tcPr>
            <w:tcW w:w="20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Discounted Cash Flow</w:t>
            </w:r>
          </w:p>
        </w:tc>
        <w:tc>
          <w:tcPr>
            <w:tcW w:w="21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Discount Rate</w:t>
            </w:r>
          </w:p>
        </w:tc>
        <w:tc>
          <w:tcPr>
            <w:tcW w:w="1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17.2% - 24.1% (20.4%)</w:t>
            </w:r>
          </w:p>
        </w:tc>
      </w:tr>
      <w:tr>
        <w:trPr>
          <w:trHeight w:val="156"/>
        </w:trPr>
        <w:tc>
          <w:tcPr>
            <w:tcW w:w="3760" w:type="dxa"/>
            <w:vAlign w:val="bottom"/>
            <w:tcBorders>
              <w:left w:val="single" w:sz="8" w:color="auto"/>
              <w:bottom w:val="single" w:sz="8" w:color="CFF0FC"/>
              <w:right w:val="single" w:sz="8" w:color="auto"/>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right w:val="single" w:sz="8" w:color="auto"/>
            </w:tcBorders>
            <w:shd w:val="clear" w:color="auto" w:fill="CFF0FC"/>
          </w:tcPr>
          <w:p>
            <w:pPr>
              <w:spacing w:after="0"/>
              <w:rPr>
                <w:sz w:val="13"/>
                <w:szCs w:val="13"/>
                <w:color w:val="auto"/>
              </w:rPr>
            </w:pPr>
          </w:p>
        </w:tc>
        <w:tc>
          <w:tcPr>
            <w:tcW w:w="2060" w:type="dxa"/>
            <w:vAlign w:val="bottom"/>
            <w:tcBorders>
              <w:bottom w:val="single" w:sz="8" w:color="CFF0FC"/>
              <w:right w:val="single" w:sz="8" w:color="auto"/>
            </w:tcBorders>
            <w:shd w:val="clear" w:color="auto" w:fill="CFF0FC"/>
          </w:tcPr>
          <w:p>
            <w:pPr>
              <w:spacing w:after="0"/>
              <w:rPr>
                <w:sz w:val="13"/>
                <w:szCs w:val="13"/>
                <w:color w:val="auto"/>
              </w:rPr>
            </w:pPr>
          </w:p>
        </w:tc>
        <w:tc>
          <w:tcPr>
            <w:tcW w:w="2100" w:type="dxa"/>
            <w:vAlign w:val="bottom"/>
            <w:tcBorders>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Probability of Default</w:t>
            </w:r>
          </w:p>
        </w:tc>
        <w:tc>
          <w:tcPr>
            <w:tcW w:w="1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1.8% - 2.5% (2.0%)</w:t>
            </w:r>
          </w:p>
        </w:tc>
        <w:tc>
          <w:tcPr>
            <w:tcW w:w="440" w:type="dxa"/>
            <w:vAlign w:val="bottom"/>
            <w:tcBorders>
              <w:bottom w:val="single" w:sz="8" w:color="auto"/>
              <w:right w:val="single" w:sz="8" w:color="auto"/>
            </w:tcBorders>
            <w:shd w:val="clear" w:color="auto" w:fill="CFF0FC"/>
          </w:tcPr>
          <w:p>
            <w:pPr>
              <w:spacing w:after="0"/>
              <w:rPr>
                <w:sz w:val="13"/>
                <w:szCs w:val="13"/>
                <w:color w:val="auto"/>
              </w:rPr>
            </w:pPr>
          </w:p>
        </w:tc>
      </w:tr>
      <w:tr>
        <w:trPr>
          <w:trHeight w:val="155"/>
        </w:trPr>
        <w:tc>
          <w:tcPr>
            <w:tcW w:w="3760" w:type="dxa"/>
            <w:vAlign w:val="bottom"/>
            <w:tcBorders>
              <w:left w:val="single" w:sz="8" w:color="auto"/>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2060" w:type="dxa"/>
            <w:vAlign w:val="bottom"/>
            <w:tcBorders>
              <w:right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Recovery Rate</w:t>
            </w:r>
          </w:p>
        </w:tc>
        <w:tc>
          <w:tcPr>
            <w:tcW w:w="1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65.0% - 75.0% (70.0%)</w:t>
            </w:r>
          </w:p>
        </w:tc>
      </w:tr>
      <w:tr>
        <w:trPr>
          <w:trHeight w:val="155"/>
        </w:trPr>
        <w:tc>
          <w:tcPr>
            <w:tcW w:w="3760" w:type="dxa"/>
            <w:vAlign w:val="bottom"/>
            <w:tcBorders>
              <w:left w:val="single" w:sz="8" w:color="auto"/>
              <w:bottom w:val="single" w:sz="8" w:color="auto"/>
              <w:right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right w:val="single" w:sz="8" w:color="auto"/>
            </w:tcBorders>
            <w:shd w:val="clear" w:color="auto" w:fill="CFF0FC"/>
          </w:tcPr>
          <w:p>
            <w:pPr>
              <w:spacing w:after="0"/>
              <w:rPr>
                <w:sz w:val="13"/>
                <w:szCs w:val="13"/>
                <w:color w:val="auto"/>
              </w:rPr>
            </w:pPr>
          </w:p>
        </w:tc>
        <w:tc>
          <w:tcPr>
            <w:tcW w:w="2060" w:type="dxa"/>
            <w:vAlign w:val="bottom"/>
            <w:tcBorders>
              <w:bottom w:val="single" w:sz="8" w:color="auto"/>
              <w:right w:val="single" w:sz="8" w:color="auto"/>
            </w:tcBorders>
            <w:shd w:val="clear" w:color="auto" w:fill="CFF0FC"/>
          </w:tcPr>
          <w:p>
            <w:pPr>
              <w:spacing w:after="0"/>
              <w:rPr>
                <w:sz w:val="13"/>
                <w:szCs w:val="13"/>
                <w:color w:val="auto"/>
              </w:rPr>
            </w:pPr>
          </w:p>
        </w:tc>
        <w:tc>
          <w:tcPr>
            <w:tcW w:w="2100" w:type="dxa"/>
            <w:vAlign w:val="bottom"/>
            <w:tcBorders>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Prepayment Rate</w:t>
            </w:r>
          </w:p>
        </w:tc>
        <w:tc>
          <w:tcPr>
            <w:tcW w:w="1640" w:type="dxa"/>
            <w:vAlign w:val="bottom"/>
            <w:tcBorders>
              <w:bottom w:val="single" w:sz="8" w:color="auto"/>
              <w:right w:val="single" w:sz="8" w:color="auto"/>
            </w:tcBorders>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15.0% - 25.0% (20.0%)</w:t>
            </w:r>
          </w:p>
        </w:tc>
      </w:tr>
      <w:tr>
        <w:trPr>
          <w:trHeight w:val="155"/>
        </w:trPr>
        <w:tc>
          <w:tcPr>
            <w:tcW w:w="376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Joint Ventures</w:t>
            </w:r>
          </w:p>
        </w:tc>
        <w:tc>
          <w:tcPr>
            <w:tcW w:w="360" w:type="dxa"/>
            <w:vAlign w:val="bottom"/>
          </w:tcPr>
          <w:p>
            <w:pPr>
              <w:spacing w:after="0"/>
              <w:rPr>
                <w:sz w:val="13"/>
                <w:szCs w:val="13"/>
                <w:color w:val="auto"/>
              </w:rPr>
            </w:pPr>
          </w:p>
        </w:tc>
        <w:tc>
          <w:tcPr>
            <w:tcW w:w="132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13,547</w:t>
            </w:r>
          </w:p>
        </w:tc>
        <w:tc>
          <w:tcPr>
            <w:tcW w:w="20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Discounted Cash Flow</w:t>
            </w:r>
          </w:p>
        </w:tc>
        <w:tc>
          <w:tcPr>
            <w:tcW w:w="21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Discount Rate</w:t>
            </w:r>
          </w:p>
        </w:tc>
        <w:tc>
          <w:tcPr>
            <w:tcW w:w="1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19.3% - 20.9% (20.1%)</w:t>
            </w:r>
          </w:p>
        </w:tc>
      </w:tr>
      <w:tr>
        <w:trPr>
          <w:trHeight w:val="155"/>
        </w:trPr>
        <w:tc>
          <w:tcPr>
            <w:tcW w:w="3760" w:type="dxa"/>
            <w:vAlign w:val="bottom"/>
            <w:tcBorders>
              <w:left w:val="single" w:sz="8" w:color="auto"/>
              <w:bottom w:val="single" w:sz="8" w:color="CFF0FC"/>
              <w:right w:val="single" w:sz="8" w:color="auto"/>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right w:val="single" w:sz="8" w:color="auto"/>
            </w:tcBorders>
            <w:shd w:val="clear" w:color="auto" w:fill="CFF0FC"/>
          </w:tcPr>
          <w:p>
            <w:pPr>
              <w:spacing w:after="0"/>
              <w:rPr>
                <w:sz w:val="13"/>
                <w:szCs w:val="13"/>
                <w:color w:val="auto"/>
              </w:rPr>
            </w:pPr>
          </w:p>
        </w:tc>
        <w:tc>
          <w:tcPr>
            <w:tcW w:w="2060" w:type="dxa"/>
            <w:vAlign w:val="bottom"/>
            <w:tcBorders>
              <w:bottom w:val="single" w:sz="8" w:color="CFF0FC"/>
              <w:right w:val="single" w:sz="8" w:color="auto"/>
            </w:tcBorders>
            <w:shd w:val="clear" w:color="auto" w:fill="CFF0FC"/>
          </w:tcPr>
          <w:p>
            <w:pPr>
              <w:spacing w:after="0"/>
              <w:rPr>
                <w:sz w:val="13"/>
                <w:szCs w:val="13"/>
                <w:color w:val="auto"/>
              </w:rPr>
            </w:pPr>
          </w:p>
        </w:tc>
        <w:tc>
          <w:tcPr>
            <w:tcW w:w="2100" w:type="dxa"/>
            <w:vAlign w:val="bottom"/>
            <w:tcBorders>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Probability of Default</w:t>
            </w:r>
          </w:p>
        </w:tc>
        <w:tc>
          <w:tcPr>
            <w:tcW w:w="1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2.8% - 3.3% (3.0%)</w:t>
            </w:r>
          </w:p>
        </w:tc>
        <w:tc>
          <w:tcPr>
            <w:tcW w:w="440" w:type="dxa"/>
            <w:vAlign w:val="bottom"/>
            <w:tcBorders>
              <w:bottom w:val="single" w:sz="8" w:color="auto"/>
              <w:right w:val="single" w:sz="8" w:color="auto"/>
            </w:tcBorders>
            <w:shd w:val="clear" w:color="auto" w:fill="CFF0FC"/>
          </w:tcPr>
          <w:p>
            <w:pPr>
              <w:spacing w:after="0"/>
              <w:rPr>
                <w:sz w:val="13"/>
                <w:szCs w:val="13"/>
                <w:color w:val="auto"/>
              </w:rPr>
            </w:pPr>
          </w:p>
        </w:tc>
      </w:tr>
      <w:tr>
        <w:trPr>
          <w:trHeight w:val="155"/>
        </w:trPr>
        <w:tc>
          <w:tcPr>
            <w:tcW w:w="3760" w:type="dxa"/>
            <w:vAlign w:val="bottom"/>
            <w:tcBorders>
              <w:left w:val="single" w:sz="8" w:color="auto"/>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2060" w:type="dxa"/>
            <w:vAlign w:val="bottom"/>
            <w:tcBorders>
              <w:right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Recovery Rate</w:t>
            </w:r>
          </w:p>
        </w:tc>
        <w:tc>
          <w:tcPr>
            <w:tcW w:w="16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65.0% - 75.0% (70.0%)</w:t>
            </w:r>
          </w:p>
        </w:tc>
      </w:tr>
      <w:tr>
        <w:trPr>
          <w:trHeight w:val="156"/>
        </w:trPr>
        <w:tc>
          <w:tcPr>
            <w:tcW w:w="3760" w:type="dxa"/>
            <w:vAlign w:val="bottom"/>
            <w:tcBorders>
              <w:left w:val="single" w:sz="8" w:color="auto"/>
              <w:bottom w:val="single" w:sz="8" w:color="auto"/>
              <w:right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right w:val="single" w:sz="8" w:color="auto"/>
            </w:tcBorders>
            <w:shd w:val="clear" w:color="auto" w:fill="CFF0FC"/>
          </w:tcPr>
          <w:p>
            <w:pPr>
              <w:spacing w:after="0"/>
              <w:rPr>
                <w:sz w:val="13"/>
                <w:szCs w:val="13"/>
                <w:color w:val="auto"/>
              </w:rPr>
            </w:pPr>
          </w:p>
        </w:tc>
        <w:tc>
          <w:tcPr>
            <w:tcW w:w="2060" w:type="dxa"/>
            <w:vAlign w:val="bottom"/>
            <w:tcBorders>
              <w:bottom w:val="single" w:sz="8" w:color="auto"/>
              <w:right w:val="single" w:sz="8" w:color="auto"/>
            </w:tcBorders>
            <w:shd w:val="clear" w:color="auto" w:fill="CFF0FC"/>
          </w:tcPr>
          <w:p>
            <w:pPr>
              <w:spacing w:after="0"/>
              <w:rPr>
                <w:sz w:val="13"/>
                <w:szCs w:val="13"/>
                <w:color w:val="auto"/>
              </w:rPr>
            </w:pPr>
          </w:p>
        </w:tc>
        <w:tc>
          <w:tcPr>
            <w:tcW w:w="2100" w:type="dxa"/>
            <w:vAlign w:val="bottom"/>
            <w:tcBorders>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Prepayment Rate</w:t>
            </w:r>
          </w:p>
        </w:tc>
        <w:tc>
          <w:tcPr>
            <w:tcW w:w="1640" w:type="dxa"/>
            <w:vAlign w:val="bottom"/>
            <w:tcBorders>
              <w:bottom w:val="single" w:sz="8" w:color="auto"/>
              <w:right w:val="single" w:sz="8" w:color="auto"/>
            </w:tcBorders>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15.0% - 25.0% (20.0%)</w:t>
            </w:r>
          </w:p>
        </w:tc>
      </w:tr>
      <w:tr>
        <w:trPr>
          <w:trHeight w:val="155"/>
        </w:trPr>
        <w:tc>
          <w:tcPr>
            <w:tcW w:w="376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Derivatives</w:t>
            </w: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Enterprise Value</w:t>
            </w:r>
          </w:p>
        </w:tc>
        <w:tc>
          <w:tcPr>
            <w:tcW w:w="21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Average EBITDA Multiple</w:t>
            </w: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2.5x - 2.5x (2.5x)</w:t>
            </w:r>
          </w:p>
        </w:tc>
        <w:tc>
          <w:tcPr>
            <w:tcW w:w="440" w:type="dxa"/>
            <w:vAlign w:val="bottom"/>
            <w:tcBorders>
              <w:bottom w:val="single" w:sz="8" w:color="auto"/>
              <w:right w:val="single" w:sz="8" w:color="auto"/>
            </w:tcBorders>
          </w:tcPr>
          <w:p>
            <w:pPr>
              <w:spacing w:after="0"/>
              <w:rPr>
                <w:sz w:val="13"/>
                <w:szCs w:val="13"/>
                <w:color w:val="auto"/>
              </w:rPr>
            </w:pPr>
          </w:p>
        </w:tc>
      </w:tr>
      <w:tr>
        <w:trPr>
          <w:trHeight w:val="155"/>
        </w:trPr>
        <w:tc>
          <w:tcPr>
            <w:tcW w:w="3760" w:type="dxa"/>
            <w:vAlign w:val="bottom"/>
            <w:tcBorders>
              <w:left w:val="single" w:sz="8" w:color="auto"/>
              <w:bottom w:val="single" w:sz="8" w:color="auto"/>
              <w:right w:val="single" w:sz="8" w:color="CFF0FC"/>
            </w:tcBorders>
            <w:shd w:val="clear" w:color="auto" w:fill="CFF0FC"/>
          </w:tcPr>
          <w:p>
            <w:pPr>
              <w:jc w:val="right"/>
              <w:ind w:right="1097"/>
              <w:spacing w:after="0"/>
              <w:rPr>
                <w:sz w:val="20"/>
                <w:szCs w:val="20"/>
                <w:color w:val="auto"/>
              </w:rPr>
            </w:pPr>
            <w:r>
              <w:rPr>
                <w:rFonts w:ascii="Times New Roman" w:cs="Times New Roman" w:eastAsia="Times New Roman" w:hAnsi="Times New Roman"/>
                <w:sz w:val="13"/>
                <w:szCs w:val="13"/>
                <w:b w:val="1"/>
                <w:bCs w:val="1"/>
                <w:color w:val="auto"/>
              </w:rPr>
              <w:t>Total Level III Investments</w:t>
            </w:r>
          </w:p>
        </w:tc>
        <w:tc>
          <w:tcPr>
            <w:tcW w:w="36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right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360,683</w:t>
            </w:r>
          </w:p>
        </w:tc>
        <w:tc>
          <w:tcPr>
            <w:tcW w:w="2060" w:type="dxa"/>
            <w:vAlign w:val="bottom"/>
            <w:tcBorders>
              <w:bottom w:val="single" w:sz="8" w:color="auto"/>
              <w:right w:val="single" w:sz="8" w:color="CFF0FC"/>
            </w:tcBorders>
            <w:shd w:val="clear" w:color="auto" w:fill="CFF0FC"/>
          </w:tcPr>
          <w:p>
            <w:pPr>
              <w:spacing w:after="0"/>
              <w:rPr>
                <w:sz w:val="13"/>
                <w:szCs w:val="13"/>
                <w:color w:val="auto"/>
              </w:rPr>
            </w:pPr>
          </w:p>
        </w:tc>
        <w:tc>
          <w:tcPr>
            <w:tcW w:w="2100" w:type="dxa"/>
            <w:vAlign w:val="bottom"/>
            <w:tcBorders>
              <w:bottom w:val="single" w:sz="8" w:color="auto"/>
              <w:right w:val="single" w:sz="8" w:color="CFF0FC"/>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right w:val="single" w:sz="8" w:color="auto"/>
            </w:tcBorders>
            <w:shd w:val="clear" w:color="auto" w:fill="CFF0FC"/>
          </w:tcPr>
          <w:p>
            <w:pPr>
              <w:spacing w:after="0"/>
              <w:rPr>
                <w:sz w:val="13"/>
                <w:szCs w:val="13"/>
                <w:color w:val="auto"/>
              </w:rPr>
            </w:pPr>
          </w:p>
        </w:tc>
      </w:tr>
      <w:tr>
        <w:trPr>
          <w:trHeight w:val="720"/>
        </w:trPr>
        <w:tc>
          <w:tcPr>
            <w:tcW w:w="3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32</w:t>
            </w:r>
          </w:p>
        </w:tc>
        <w:tc>
          <w:tcPr>
            <w:tcW w:w="2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39"/>
        </w:trPr>
        <w:tc>
          <w:tcPr>
            <w:tcW w:w="3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December 31, 2023, the Company’s Level III portfolio investments had the following valuation techniques and significant inputs (dollars in thousands):</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250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2100" w:type="dxa"/>
            <w:vAlign w:val="bottom"/>
            <w:tcBorders>
              <w:top w:val="single" w:sz="8" w:color="auto"/>
              <w:right w:val="single" w:sz="8" w:color="auto"/>
            </w:tcBorders>
          </w:tcPr>
          <w:p>
            <w:pPr>
              <w:ind w:left="600"/>
              <w:spacing w:after="0" w:line="142" w:lineRule="exact"/>
              <w:rPr>
                <w:sz w:val="20"/>
                <w:szCs w:val="20"/>
                <w:color w:val="auto"/>
              </w:rPr>
            </w:pPr>
            <w:r>
              <w:rPr>
                <w:rFonts w:ascii="Times New Roman" w:cs="Times New Roman" w:eastAsia="Times New Roman" w:hAnsi="Times New Roman"/>
                <w:sz w:val="13"/>
                <w:szCs w:val="13"/>
                <w:b w:val="1"/>
                <w:bCs w:val="1"/>
                <w:color w:val="auto"/>
              </w:rPr>
              <w:t>Primary Valuation</w:t>
            </w:r>
          </w:p>
        </w:tc>
        <w:tc>
          <w:tcPr>
            <w:tcW w:w="2420" w:type="dxa"/>
            <w:vAlign w:val="bottom"/>
            <w:tcBorders>
              <w:top w:val="single" w:sz="8" w:color="auto"/>
              <w:right w:val="single" w:sz="8" w:color="auto"/>
            </w:tcBorders>
          </w:tcPr>
          <w:p>
            <w:pPr>
              <w:ind w:left="900"/>
              <w:spacing w:after="0" w:line="142" w:lineRule="exact"/>
              <w:rPr>
                <w:sz w:val="20"/>
                <w:szCs w:val="20"/>
                <w:color w:val="auto"/>
              </w:rPr>
            </w:pPr>
            <w:r>
              <w:rPr>
                <w:rFonts w:ascii="Times New Roman" w:cs="Times New Roman" w:eastAsia="Times New Roman" w:hAnsi="Times New Roman"/>
                <w:sz w:val="13"/>
                <w:szCs w:val="13"/>
                <w:b w:val="1"/>
                <w:bCs w:val="1"/>
                <w:color w:val="auto"/>
              </w:rPr>
              <w:t>Unobservable</w:t>
            </w:r>
          </w:p>
        </w:tc>
        <w:tc>
          <w:tcPr>
            <w:tcW w:w="420" w:type="dxa"/>
            <w:vAlign w:val="bottom"/>
            <w:tcBorders>
              <w:top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ind w:left="280"/>
              <w:spacing w:after="0" w:line="142" w:lineRule="exact"/>
              <w:rPr>
                <w:sz w:val="20"/>
                <w:szCs w:val="20"/>
                <w:color w:val="auto"/>
              </w:rPr>
            </w:pPr>
            <w:r>
              <w:rPr>
                <w:rFonts w:ascii="Times New Roman" w:cs="Times New Roman" w:eastAsia="Times New Roman" w:hAnsi="Times New Roman"/>
                <w:sz w:val="13"/>
                <w:szCs w:val="13"/>
                <w:b w:val="1"/>
                <w:bCs w:val="1"/>
                <w:color w:val="auto"/>
              </w:rPr>
              <w:t>Range of Inputs</w:t>
            </w:r>
          </w:p>
        </w:tc>
      </w:tr>
      <w:tr>
        <w:trPr>
          <w:trHeight w:val="167"/>
        </w:trPr>
        <w:tc>
          <w:tcPr>
            <w:tcW w:w="2500" w:type="dxa"/>
            <w:vAlign w:val="bottom"/>
            <w:tcBorders>
              <w:bottom w:val="single" w:sz="8" w:color="auto"/>
              <w:right w:val="single" w:sz="8" w:color="auto"/>
            </w:tcBorders>
          </w:tcPr>
          <w:p>
            <w:pPr>
              <w:jc w:val="right"/>
              <w:ind w:right="1057"/>
              <w:spacing w:after="0"/>
              <w:rPr>
                <w:sz w:val="20"/>
                <w:szCs w:val="20"/>
                <w:color w:val="auto"/>
              </w:rPr>
            </w:pPr>
            <w:r>
              <w:rPr>
                <w:rFonts w:ascii="Times New Roman" w:cs="Times New Roman" w:eastAsia="Times New Roman" w:hAnsi="Times New Roman"/>
                <w:sz w:val="13"/>
                <w:szCs w:val="13"/>
                <w:b w:val="1"/>
                <w:bCs w:val="1"/>
                <w:color w:val="auto"/>
              </w:rPr>
              <w:t>Type</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jc w:val="right"/>
              <w:ind w:right="717"/>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100" w:type="dxa"/>
            <w:vAlign w:val="bottom"/>
            <w:tcBorders>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3"/>
                <w:szCs w:val="13"/>
                <w:b w:val="1"/>
                <w:bCs w:val="1"/>
                <w:color w:val="auto"/>
              </w:rPr>
              <w:t>Techniques</w:t>
            </w:r>
          </w:p>
        </w:tc>
        <w:tc>
          <w:tcPr>
            <w:tcW w:w="242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(Weighted Average)</w:t>
            </w:r>
          </w:p>
        </w:tc>
      </w:tr>
      <w:tr>
        <w:trPr>
          <w:trHeight w:val="157"/>
        </w:trPr>
        <w:tc>
          <w:tcPr>
            <w:tcW w:w="2500" w:type="dxa"/>
            <w:vAlign w:val="bottom"/>
            <w:tcBorders>
              <w:left w:val="single" w:sz="8" w:color="auto"/>
              <w:bottom w:val="single" w:sz="8" w:color="CFF0FC"/>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First Lien Debt</w:t>
            </w:r>
          </w:p>
        </w:tc>
        <w:tc>
          <w:tcPr>
            <w:tcW w:w="480" w:type="dxa"/>
            <w:vAlign w:val="bottom"/>
            <w:tcBorders>
              <w:bottom w:val="single" w:sz="8" w:color="CFF0FC"/>
            </w:tcBorders>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Borders>
              <w:bottom w:val="single" w:sz="8" w:color="CFF0FC"/>
              <w:right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8,846</w:t>
            </w:r>
          </w:p>
        </w:tc>
        <w:tc>
          <w:tcPr>
            <w:tcW w:w="2100" w:type="dxa"/>
            <w:vAlign w:val="bottom"/>
            <w:tcBorders>
              <w:bottom w:val="single" w:sz="8" w:color="CFF0FC"/>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Enterprise Value</w:t>
            </w:r>
          </w:p>
        </w:tc>
        <w:tc>
          <w:tcPr>
            <w:tcW w:w="242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Average EBITDA Multiple</w:t>
            </w:r>
          </w:p>
        </w:tc>
        <w:tc>
          <w:tcPr>
            <w:tcW w:w="42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w w:val="96"/>
              </w:rPr>
              <w:t>0.4x</w:t>
            </w:r>
          </w:p>
        </w:tc>
        <w:tc>
          <w:tcPr>
            <w:tcW w:w="168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- 0.4x (0.1x)</w:t>
            </w:r>
          </w:p>
        </w:tc>
      </w:tr>
      <w:tr>
        <w:trPr>
          <w:trHeight w:val="155"/>
        </w:trPr>
        <w:tc>
          <w:tcPr>
            <w:tcW w:w="2500" w:type="dxa"/>
            <w:vAlign w:val="bottom"/>
            <w:tcBorders>
              <w:left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Expected Sale Proceeds</w:t>
            </w:r>
          </w:p>
        </w:tc>
        <w:tc>
          <w:tcPr>
            <w:tcW w:w="210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97.6x</w:t>
            </w:r>
          </w:p>
        </w:tc>
      </w:tr>
      <w:tr>
        <w:trPr>
          <w:trHeight w:val="156"/>
        </w:trPr>
        <w:tc>
          <w:tcPr>
            <w:tcW w:w="2500" w:type="dxa"/>
            <w:vAlign w:val="bottom"/>
            <w:tcBorders>
              <w:left w:val="single" w:sz="8" w:color="auto"/>
              <w:bottom w:val="single" w:sz="8" w:color="CFF0FC"/>
              <w:right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640" w:type="dxa"/>
            <w:vAlign w:val="bottom"/>
            <w:tcBorders>
              <w:bottom w:val="single" w:sz="8" w:color="auto"/>
              <w:right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275,179</w:t>
            </w:r>
          </w:p>
        </w:tc>
        <w:tc>
          <w:tcPr>
            <w:tcW w:w="2100" w:type="dxa"/>
            <w:vAlign w:val="bottom"/>
            <w:tcBorders>
              <w:bottom w:val="single" w:sz="8" w:color="auto"/>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Income Approach</w:t>
            </w:r>
          </w:p>
        </w:tc>
        <w:tc>
          <w:tcPr>
            <w:tcW w:w="242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Implied Discount Rate</w:t>
            </w:r>
          </w:p>
        </w:tc>
        <w:tc>
          <w:tcPr>
            <w:tcW w:w="2100" w:type="dxa"/>
            <w:vAlign w:val="bottom"/>
            <w:tcBorders>
              <w:bottom w:val="single" w:sz="8" w:color="auto"/>
              <w:right w:val="single" w:sz="8" w:color="auto"/>
            </w:tcBorders>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5.3% - 40.7% (12.4%)</w:t>
            </w:r>
          </w:p>
        </w:tc>
      </w:tr>
      <w:tr>
        <w:trPr>
          <w:trHeight w:val="155"/>
        </w:trPr>
        <w:tc>
          <w:tcPr>
            <w:tcW w:w="2500" w:type="dxa"/>
            <w:vAlign w:val="bottom"/>
            <w:tcBorders>
              <w:left w:val="single" w:sz="8" w:color="auto"/>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5,270</w:t>
            </w:r>
          </w:p>
        </w:tc>
        <w:tc>
          <w:tcPr>
            <w:tcW w:w="21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Recent Transaction</w:t>
            </w:r>
          </w:p>
        </w:tc>
        <w:tc>
          <w:tcPr>
            <w:tcW w:w="24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Implied Discount Rate</w:t>
            </w:r>
          </w:p>
        </w:tc>
        <w:tc>
          <w:tcPr>
            <w:tcW w:w="210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13.8% - 14.2% (14.0%)</w:t>
            </w:r>
          </w:p>
        </w:tc>
      </w:tr>
      <w:tr>
        <w:trPr>
          <w:trHeight w:val="156"/>
        </w:trPr>
        <w:tc>
          <w:tcPr>
            <w:tcW w:w="2500" w:type="dxa"/>
            <w:vAlign w:val="bottom"/>
            <w:tcBorders>
              <w:left w:val="single" w:sz="8" w:color="auto"/>
              <w:bottom w:val="single" w:sz="8" w:color="CFF0FC"/>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Second Lien Debt</w:t>
            </w:r>
          </w:p>
        </w:tc>
        <w:tc>
          <w:tcPr>
            <w:tcW w:w="12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640" w:type="dxa"/>
            <w:vAlign w:val="bottom"/>
            <w:tcBorders>
              <w:bottom w:val="single" w:sz="8" w:color="auto"/>
              <w:right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300</w:t>
            </w:r>
          </w:p>
        </w:tc>
        <w:tc>
          <w:tcPr>
            <w:tcW w:w="2100" w:type="dxa"/>
            <w:vAlign w:val="bottom"/>
            <w:tcBorders>
              <w:bottom w:val="single" w:sz="8" w:color="auto"/>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Enterprise Value</w:t>
            </w:r>
          </w:p>
        </w:tc>
        <w:tc>
          <w:tcPr>
            <w:tcW w:w="242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Implied Discount Rate</w:t>
            </w:r>
          </w:p>
        </w:tc>
        <w:tc>
          <w:tcPr>
            <w:tcW w:w="42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w w:val="96"/>
              </w:rPr>
              <w:t>9.5x</w:t>
            </w:r>
          </w:p>
        </w:tc>
        <w:tc>
          <w:tcPr>
            <w:tcW w:w="168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- 9.5x (9.5x)</w:t>
            </w:r>
          </w:p>
        </w:tc>
      </w:tr>
      <w:tr>
        <w:trPr>
          <w:trHeight w:val="156"/>
        </w:trPr>
        <w:tc>
          <w:tcPr>
            <w:tcW w:w="2500" w:type="dxa"/>
            <w:vAlign w:val="bottom"/>
            <w:tcBorders>
              <w:left w:val="single" w:sz="8" w:color="auto"/>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22,932</w:t>
            </w:r>
          </w:p>
        </w:tc>
        <w:tc>
          <w:tcPr>
            <w:tcW w:w="21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Income approach</w:t>
            </w:r>
          </w:p>
        </w:tc>
        <w:tc>
          <w:tcPr>
            <w:tcW w:w="24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Implied Discount Rate</w:t>
            </w:r>
          </w:p>
        </w:tc>
        <w:tc>
          <w:tcPr>
            <w:tcW w:w="210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13.8% - 14.2% (14.0%)</w:t>
            </w:r>
          </w:p>
        </w:tc>
      </w:tr>
      <w:tr>
        <w:trPr>
          <w:trHeight w:val="155"/>
        </w:trPr>
        <w:tc>
          <w:tcPr>
            <w:tcW w:w="2500" w:type="dxa"/>
            <w:vAlign w:val="bottom"/>
            <w:tcBorders>
              <w:left w:val="single" w:sz="8" w:color="auto"/>
              <w:bottom w:val="single" w:sz="8" w:color="CFF0FC"/>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Subordinated Debt</w:t>
            </w:r>
          </w:p>
        </w:tc>
        <w:tc>
          <w:tcPr>
            <w:tcW w:w="1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1640" w:type="dxa"/>
            <w:vAlign w:val="bottom"/>
            <w:tcBorders>
              <w:bottom w:val="single" w:sz="8" w:color="CFF0FC"/>
              <w:right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1,225</w:t>
            </w:r>
          </w:p>
        </w:tc>
        <w:tc>
          <w:tcPr>
            <w:tcW w:w="2100" w:type="dxa"/>
            <w:vAlign w:val="bottom"/>
            <w:tcBorders>
              <w:bottom w:val="single" w:sz="8" w:color="CFF0FC"/>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Enterprise Value</w:t>
            </w:r>
          </w:p>
        </w:tc>
        <w:tc>
          <w:tcPr>
            <w:tcW w:w="242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Average Settlement Value</w:t>
            </w:r>
          </w:p>
        </w:tc>
        <w:tc>
          <w:tcPr>
            <w:tcW w:w="2100" w:type="dxa"/>
            <w:vAlign w:val="bottom"/>
            <w:tcBorders>
              <w:bottom w:val="single" w:sz="8" w:color="auto"/>
              <w:right w:val="single" w:sz="8" w:color="auto"/>
            </w:tcBorders>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61.0x - 61.0x (61.0x)</w:t>
            </w:r>
          </w:p>
        </w:tc>
      </w:tr>
      <w:tr>
        <w:trPr>
          <w:trHeight w:val="156"/>
        </w:trPr>
        <w:tc>
          <w:tcPr>
            <w:tcW w:w="2500" w:type="dxa"/>
            <w:vAlign w:val="bottom"/>
            <w:tcBorders>
              <w:left w:val="single" w:sz="8" w:color="auto"/>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Recovery Rate Multiple</w:t>
            </w: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w w:val="96"/>
              </w:rPr>
              <w:t>0.1x</w:t>
            </w:r>
          </w:p>
        </w:tc>
        <w:tc>
          <w:tcPr>
            <w:tcW w:w="1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- 0.1x (0.1x)</w:t>
            </w:r>
          </w:p>
        </w:tc>
      </w:tr>
      <w:tr>
        <w:trPr>
          <w:trHeight w:val="155"/>
        </w:trPr>
        <w:tc>
          <w:tcPr>
            <w:tcW w:w="2500" w:type="dxa"/>
            <w:vAlign w:val="bottom"/>
            <w:tcBorders>
              <w:left w:val="single" w:sz="8" w:color="auto"/>
              <w:bottom w:val="single" w:sz="8" w:color="CFF0FC"/>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Collateralized Loan Obligations</w:t>
            </w:r>
          </w:p>
        </w:tc>
        <w:tc>
          <w:tcPr>
            <w:tcW w:w="1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1640" w:type="dxa"/>
            <w:vAlign w:val="bottom"/>
            <w:tcBorders>
              <w:bottom w:val="single" w:sz="8" w:color="CFF0FC"/>
              <w:right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8,968</w:t>
            </w:r>
          </w:p>
        </w:tc>
        <w:tc>
          <w:tcPr>
            <w:tcW w:w="2100" w:type="dxa"/>
            <w:vAlign w:val="bottom"/>
            <w:tcBorders>
              <w:bottom w:val="single" w:sz="8" w:color="CFF0FC"/>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Discounted Cash Flow</w:t>
            </w:r>
          </w:p>
        </w:tc>
        <w:tc>
          <w:tcPr>
            <w:tcW w:w="242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Discount Rate</w:t>
            </w:r>
          </w:p>
        </w:tc>
        <w:tc>
          <w:tcPr>
            <w:tcW w:w="2100" w:type="dxa"/>
            <w:vAlign w:val="bottom"/>
            <w:tcBorders>
              <w:bottom w:val="single" w:sz="8" w:color="auto"/>
              <w:right w:val="single" w:sz="8" w:color="auto"/>
            </w:tcBorders>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18.4% - 25.2% (21.1%)</w:t>
            </w:r>
          </w:p>
        </w:tc>
      </w:tr>
      <w:tr>
        <w:trPr>
          <w:trHeight w:val="156"/>
        </w:trPr>
        <w:tc>
          <w:tcPr>
            <w:tcW w:w="250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Probability of Default</w:t>
            </w:r>
          </w:p>
        </w:tc>
        <w:tc>
          <w:tcPr>
            <w:tcW w:w="210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1.8% - 2.5% (2.0%)</w:t>
            </w:r>
          </w:p>
        </w:tc>
      </w:tr>
      <w:tr>
        <w:trPr>
          <w:trHeight w:val="156"/>
        </w:trPr>
        <w:tc>
          <w:tcPr>
            <w:tcW w:w="2500" w:type="dxa"/>
            <w:vAlign w:val="bottom"/>
            <w:tcBorders>
              <w:left w:val="single" w:sz="8" w:color="auto"/>
              <w:bottom w:val="single" w:sz="8" w:color="CFF0FC"/>
              <w:right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1640" w:type="dxa"/>
            <w:vAlign w:val="bottom"/>
            <w:tcBorders>
              <w:bottom w:val="single" w:sz="8" w:color="CFF0FC"/>
              <w:right w:val="single" w:sz="8" w:color="auto"/>
            </w:tcBorders>
            <w:shd w:val="clear" w:color="auto" w:fill="CFF0FC"/>
          </w:tcPr>
          <w:p>
            <w:pPr>
              <w:spacing w:after="0"/>
              <w:rPr>
                <w:sz w:val="13"/>
                <w:szCs w:val="13"/>
                <w:color w:val="auto"/>
              </w:rPr>
            </w:pPr>
          </w:p>
        </w:tc>
        <w:tc>
          <w:tcPr>
            <w:tcW w:w="2100" w:type="dxa"/>
            <w:vAlign w:val="bottom"/>
            <w:tcBorders>
              <w:bottom w:val="single" w:sz="8" w:color="CFF0FC"/>
              <w:right w:val="single" w:sz="8" w:color="auto"/>
            </w:tcBorders>
            <w:shd w:val="clear" w:color="auto" w:fill="CFF0FC"/>
          </w:tcPr>
          <w:p>
            <w:pPr>
              <w:spacing w:after="0"/>
              <w:rPr>
                <w:sz w:val="13"/>
                <w:szCs w:val="13"/>
                <w:color w:val="auto"/>
              </w:rPr>
            </w:pPr>
          </w:p>
        </w:tc>
        <w:tc>
          <w:tcPr>
            <w:tcW w:w="242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Recovery Rate</w:t>
            </w:r>
          </w:p>
        </w:tc>
        <w:tc>
          <w:tcPr>
            <w:tcW w:w="2100" w:type="dxa"/>
            <w:vAlign w:val="bottom"/>
            <w:tcBorders>
              <w:bottom w:val="single" w:sz="8" w:color="auto"/>
              <w:right w:val="single" w:sz="8" w:color="auto"/>
            </w:tcBorders>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65.0% - 75.0% (70.0%)</w:t>
            </w:r>
          </w:p>
        </w:tc>
      </w:tr>
      <w:tr>
        <w:trPr>
          <w:trHeight w:val="155"/>
        </w:trPr>
        <w:tc>
          <w:tcPr>
            <w:tcW w:w="2500" w:type="dxa"/>
            <w:vAlign w:val="bottom"/>
            <w:tcBorders>
              <w:left w:val="single" w:sz="8" w:color="auto"/>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Prepayment Rate</w:t>
            </w:r>
          </w:p>
        </w:tc>
        <w:tc>
          <w:tcPr>
            <w:tcW w:w="210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15.0% - 25.0% (20.0%)</w:t>
            </w:r>
          </w:p>
        </w:tc>
      </w:tr>
      <w:tr>
        <w:trPr>
          <w:trHeight w:val="156"/>
        </w:trPr>
        <w:tc>
          <w:tcPr>
            <w:tcW w:w="2500" w:type="dxa"/>
            <w:vAlign w:val="bottom"/>
            <w:tcBorders>
              <w:left w:val="single" w:sz="8" w:color="auto"/>
              <w:bottom w:val="single" w:sz="8" w:color="CFF0FC"/>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Joint Ventures</w:t>
            </w:r>
          </w:p>
        </w:tc>
        <w:tc>
          <w:tcPr>
            <w:tcW w:w="1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1640" w:type="dxa"/>
            <w:vAlign w:val="bottom"/>
            <w:tcBorders>
              <w:bottom w:val="single" w:sz="8" w:color="CFF0FC"/>
              <w:right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14,275</w:t>
            </w:r>
          </w:p>
        </w:tc>
        <w:tc>
          <w:tcPr>
            <w:tcW w:w="2100" w:type="dxa"/>
            <w:vAlign w:val="bottom"/>
            <w:tcBorders>
              <w:bottom w:val="single" w:sz="8" w:color="CFF0FC"/>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Discounted Cash Flow</w:t>
            </w:r>
          </w:p>
        </w:tc>
        <w:tc>
          <w:tcPr>
            <w:tcW w:w="242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Discount Rate</w:t>
            </w:r>
          </w:p>
        </w:tc>
        <w:tc>
          <w:tcPr>
            <w:tcW w:w="2100" w:type="dxa"/>
            <w:vAlign w:val="bottom"/>
            <w:tcBorders>
              <w:bottom w:val="single" w:sz="8" w:color="auto"/>
              <w:right w:val="single" w:sz="8" w:color="auto"/>
            </w:tcBorders>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20.5% - 22.1% (21.3%)</w:t>
            </w:r>
          </w:p>
        </w:tc>
      </w:tr>
      <w:tr>
        <w:trPr>
          <w:trHeight w:val="155"/>
        </w:trPr>
        <w:tc>
          <w:tcPr>
            <w:tcW w:w="250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Probability of Default</w:t>
            </w:r>
          </w:p>
        </w:tc>
        <w:tc>
          <w:tcPr>
            <w:tcW w:w="210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2.8% - 3.3% (3.0%)</w:t>
            </w:r>
          </w:p>
        </w:tc>
      </w:tr>
      <w:tr>
        <w:trPr>
          <w:trHeight w:val="156"/>
        </w:trPr>
        <w:tc>
          <w:tcPr>
            <w:tcW w:w="2500" w:type="dxa"/>
            <w:vAlign w:val="bottom"/>
            <w:tcBorders>
              <w:left w:val="single" w:sz="8" w:color="auto"/>
              <w:bottom w:val="single" w:sz="8" w:color="CFF0FC"/>
              <w:right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1640" w:type="dxa"/>
            <w:vAlign w:val="bottom"/>
            <w:tcBorders>
              <w:bottom w:val="single" w:sz="8" w:color="CFF0FC"/>
              <w:right w:val="single" w:sz="8" w:color="auto"/>
            </w:tcBorders>
            <w:shd w:val="clear" w:color="auto" w:fill="CFF0FC"/>
          </w:tcPr>
          <w:p>
            <w:pPr>
              <w:spacing w:after="0"/>
              <w:rPr>
                <w:sz w:val="13"/>
                <w:szCs w:val="13"/>
                <w:color w:val="auto"/>
              </w:rPr>
            </w:pPr>
          </w:p>
        </w:tc>
        <w:tc>
          <w:tcPr>
            <w:tcW w:w="2100" w:type="dxa"/>
            <w:vAlign w:val="bottom"/>
            <w:tcBorders>
              <w:bottom w:val="single" w:sz="8" w:color="CFF0FC"/>
              <w:right w:val="single" w:sz="8" w:color="auto"/>
            </w:tcBorders>
            <w:shd w:val="clear" w:color="auto" w:fill="CFF0FC"/>
          </w:tcPr>
          <w:p>
            <w:pPr>
              <w:spacing w:after="0"/>
              <w:rPr>
                <w:sz w:val="13"/>
                <w:szCs w:val="13"/>
                <w:color w:val="auto"/>
              </w:rPr>
            </w:pPr>
          </w:p>
        </w:tc>
        <w:tc>
          <w:tcPr>
            <w:tcW w:w="242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Recovery Rate</w:t>
            </w:r>
          </w:p>
        </w:tc>
        <w:tc>
          <w:tcPr>
            <w:tcW w:w="2100" w:type="dxa"/>
            <w:vAlign w:val="bottom"/>
            <w:tcBorders>
              <w:bottom w:val="single" w:sz="8" w:color="auto"/>
              <w:right w:val="single" w:sz="8" w:color="auto"/>
            </w:tcBorders>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65.0% - 75.0% (70.0%)</w:t>
            </w:r>
          </w:p>
        </w:tc>
      </w:tr>
      <w:tr>
        <w:trPr>
          <w:trHeight w:val="155"/>
        </w:trPr>
        <w:tc>
          <w:tcPr>
            <w:tcW w:w="2500" w:type="dxa"/>
            <w:vAlign w:val="bottom"/>
            <w:tcBorders>
              <w:left w:val="single" w:sz="8" w:color="auto"/>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Prepayment Rate</w:t>
            </w:r>
          </w:p>
        </w:tc>
        <w:tc>
          <w:tcPr>
            <w:tcW w:w="210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15.0% - 25.0% (20.0%)</w:t>
            </w:r>
          </w:p>
        </w:tc>
      </w:tr>
      <w:tr>
        <w:trPr>
          <w:trHeight w:val="156"/>
        </w:trPr>
        <w:tc>
          <w:tcPr>
            <w:tcW w:w="2500" w:type="dxa"/>
            <w:vAlign w:val="bottom"/>
            <w:tcBorders>
              <w:left w:val="single" w:sz="8" w:color="auto"/>
              <w:bottom w:val="single" w:sz="8" w:color="CFF0FC"/>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1640" w:type="dxa"/>
            <w:vAlign w:val="bottom"/>
            <w:tcBorders>
              <w:bottom w:val="single" w:sz="8" w:color="CFF0FC"/>
              <w:right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19,805</w:t>
            </w:r>
          </w:p>
        </w:tc>
        <w:tc>
          <w:tcPr>
            <w:tcW w:w="2100" w:type="dxa"/>
            <w:vAlign w:val="bottom"/>
            <w:tcBorders>
              <w:bottom w:val="single" w:sz="8" w:color="CFF0FC"/>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Enterprise Value</w:t>
            </w:r>
          </w:p>
        </w:tc>
        <w:tc>
          <w:tcPr>
            <w:tcW w:w="242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Average EBITDA Multiple</w:t>
            </w:r>
          </w:p>
        </w:tc>
        <w:tc>
          <w:tcPr>
            <w:tcW w:w="42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w w:val="96"/>
              </w:rPr>
              <w:t>5.0x</w:t>
            </w:r>
          </w:p>
        </w:tc>
        <w:tc>
          <w:tcPr>
            <w:tcW w:w="168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- 18.0x (6.9x)</w:t>
            </w:r>
          </w:p>
        </w:tc>
      </w:tr>
      <w:tr>
        <w:trPr>
          <w:trHeight w:val="156"/>
        </w:trPr>
        <w:tc>
          <w:tcPr>
            <w:tcW w:w="250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24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Average EBITDA Multiple / WACC</w:t>
            </w: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w w:val="96"/>
              </w:rPr>
              <w:t>0.4x</w:t>
            </w:r>
          </w:p>
        </w:tc>
        <w:tc>
          <w:tcPr>
            <w:tcW w:w="1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- 3.7x (1.1x)</w:t>
            </w:r>
          </w:p>
        </w:tc>
      </w:tr>
      <w:tr>
        <w:trPr>
          <w:trHeight w:val="155"/>
        </w:trPr>
        <w:tc>
          <w:tcPr>
            <w:tcW w:w="2500" w:type="dxa"/>
            <w:vAlign w:val="bottom"/>
            <w:tcBorders>
              <w:left w:val="single" w:sz="8" w:color="auto"/>
              <w:bottom w:val="single" w:sz="8" w:color="CFF0FC"/>
              <w:right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640" w:type="dxa"/>
            <w:vAlign w:val="bottom"/>
            <w:tcBorders>
              <w:bottom w:val="single" w:sz="8" w:color="auto"/>
              <w:right w:val="single" w:sz="8" w:color="auto"/>
            </w:tcBorders>
            <w:shd w:val="clear" w:color="auto" w:fill="CFF0FC"/>
          </w:tcPr>
          <w:p>
            <w:pPr>
              <w:spacing w:after="0"/>
              <w:rPr>
                <w:sz w:val="13"/>
                <w:szCs w:val="13"/>
                <w:color w:val="auto"/>
              </w:rPr>
            </w:pPr>
          </w:p>
        </w:tc>
        <w:tc>
          <w:tcPr>
            <w:tcW w:w="2100" w:type="dxa"/>
            <w:vAlign w:val="bottom"/>
            <w:tcBorders>
              <w:bottom w:val="single" w:sz="8" w:color="auto"/>
              <w:right w:val="single" w:sz="8" w:color="auto"/>
            </w:tcBorders>
            <w:shd w:val="clear" w:color="auto" w:fill="CFF0FC"/>
          </w:tcPr>
          <w:p>
            <w:pPr>
              <w:spacing w:after="0"/>
              <w:rPr>
                <w:sz w:val="13"/>
                <w:szCs w:val="13"/>
                <w:color w:val="auto"/>
              </w:rPr>
            </w:pPr>
          </w:p>
        </w:tc>
        <w:tc>
          <w:tcPr>
            <w:tcW w:w="242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Book Value of Equity</w:t>
            </w:r>
          </w:p>
        </w:tc>
        <w:tc>
          <w:tcPr>
            <w:tcW w:w="42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w w:val="96"/>
              </w:rPr>
              <w:t>1.0x</w:t>
            </w:r>
          </w:p>
        </w:tc>
        <w:tc>
          <w:tcPr>
            <w:tcW w:w="168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- 1.6x (1.6x)</w:t>
            </w:r>
          </w:p>
        </w:tc>
      </w:tr>
      <w:tr>
        <w:trPr>
          <w:trHeight w:val="156"/>
        </w:trPr>
        <w:tc>
          <w:tcPr>
            <w:tcW w:w="2500" w:type="dxa"/>
            <w:vAlign w:val="bottom"/>
            <w:tcBorders>
              <w:left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57</w:t>
            </w:r>
          </w:p>
        </w:tc>
        <w:tc>
          <w:tcPr>
            <w:tcW w:w="21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Income Approach</w:t>
            </w:r>
          </w:p>
        </w:tc>
        <w:tc>
          <w:tcPr>
            <w:tcW w:w="24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Implied Discount Rate</w:t>
            </w:r>
          </w:p>
        </w:tc>
        <w:tc>
          <w:tcPr>
            <w:tcW w:w="210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color w:val="auto"/>
              </w:rPr>
              <w:t>15.0% - 15.0% (15.0%)</w:t>
            </w:r>
          </w:p>
        </w:tc>
      </w:tr>
      <w:tr>
        <w:trPr>
          <w:trHeight w:val="155"/>
        </w:trPr>
        <w:tc>
          <w:tcPr>
            <w:tcW w:w="2500" w:type="dxa"/>
            <w:vAlign w:val="bottom"/>
            <w:tcBorders>
              <w:left w:val="single" w:sz="8" w:color="auto"/>
              <w:bottom w:val="single" w:sz="8" w:color="auto"/>
              <w:right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640" w:type="dxa"/>
            <w:vAlign w:val="bottom"/>
            <w:tcBorders>
              <w:bottom w:val="single" w:sz="8" w:color="auto"/>
              <w:right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671</w:t>
            </w:r>
          </w:p>
        </w:tc>
        <w:tc>
          <w:tcPr>
            <w:tcW w:w="2100" w:type="dxa"/>
            <w:vAlign w:val="bottom"/>
            <w:tcBorders>
              <w:bottom w:val="single" w:sz="8" w:color="auto"/>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Recent Transaction</w:t>
            </w:r>
          </w:p>
        </w:tc>
        <w:tc>
          <w:tcPr>
            <w:tcW w:w="242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Implied Discount Rate</w:t>
            </w:r>
          </w:p>
        </w:tc>
        <w:tc>
          <w:tcPr>
            <w:tcW w:w="2100" w:type="dxa"/>
            <w:vAlign w:val="bottom"/>
            <w:tcBorders>
              <w:bottom w:val="single" w:sz="8" w:color="auto"/>
              <w:right w:val="single" w:sz="8" w:color="auto"/>
            </w:tcBorders>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12.4% - 12.4% (12.4%)</w:t>
            </w:r>
          </w:p>
        </w:tc>
      </w:tr>
      <w:tr>
        <w:trPr>
          <w:trHeight w:val="156"/>
        </w:trPr>
        <w:tc>
          <w:tcPr>
            <w:tcW w:w="250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Derivatives</w:t>
            </w: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1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Enterprise Value</w:t>
            </w:r>
          </w:p>
        </w:tc>
        <w:tc>
          <w:tcPr>
            <w:tcW w:w="24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Average EBITDA Multiple</w:t>
            </w: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w w:val="96"/>
              </w:rPr>
              <w:t>2.5x</w:t>
            </w:r>
          </w:p>
        </w:tc>
        <w:tc>
          <w:tcPr>
            <w:tcW w:w="1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- 2.5x (2.5x)</w:t>
            </w:r>
          </w:p>
        </w:tc>
      </w:tr>
      <w:tr>
        <w:trPr>
          <w:trHeight w:val="156"/>
        </w:trPr>
        <w:tc>
          <w:tcPr>
            <w:tcW w:w="2500" w:type="dxa"/>
            <w:vAlign w:val="bottom"/>
            <w:tcBorders>
              <w:left w:val="single" w:sz="8" w:color="auto"/>
              <w:bottom w:val="single" w:sz="8" w:color="auto"/>
              <w:right w:val="single" w:sz="8" w:color="CFF0FC"/>
            </w:tcBorders>
            <w:shd w:val="clear" w:color="auto" w:fill="CFF0FC"/>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Total Level III Investments</w:t>
            </w:r>
          </w:p>
        </w:tc>
        <w:tc>
          <w:tcPr>
            <w:tcW w:w="1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right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357,528</w:t>
            </w:r>
          </w:p>
        </w:tc>
        <w:tc>
          <w:tcPr>
            <w:tcW w:w="2100" w:type="dxa"/>
            <w:vAlign w:val="bottom"/>
            <w:tcBorders>
              <w:bottom w:val="single" w:sz="8" w:color="auto"/>
              <w:right w:val="single" w:sz="8" w:color="CFF0FC"/>
            </w:tcBorders>
            <w:shd w:val="clear" w:color="auto" w:fill="CFF0FC"/>
          </w:tcPr>
          <w:p>
            <w:pPr>
              <w:spacing w:after="0"/>
              <w:rPr>
                <w:sz w:val="13"/>
                <w:szCs w:val="13"/>
                <w:color w:val="auto"/>
              </w:rPr>
            </w:pPr>
          </w:p>
        </w:tc>
        <w:tc>
          <w:tcPr>
            <w:tcW w:w="2420" w:type="dxa"/>
            <w:vAlign w:val="bottom"/>
            <w:tcBorders>
              <w:bottom w:val="single" w:sz="8" w:color="auto"/>
              <w:right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1680" w:type="dxa"/>
            <w:vAlign w:val="bottom"/>
            <w:tcBorders>
              <w:bottom w:val="single" w:sz="8" w:color="auto"/>
              <w:right w:val="single" w:sz="8" w:color="auto"/>
            </w:tcBorders>
            <w:shd w:val="clear" w:color="auto" w:fill="CFF0F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-7620</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5" w:lineRule="exact"/>
        <w:rPr>
          <w:sz w:val="20"/>
          <w:szCs w:val="20"/>
          <w:color w:val="auto"/>
        </w:rPr>
      </w:pPr>
    </w:p>
    <w:p>
      <w:pPr>
        <w:jc w:val="both"/>
        <w:ind w:right="140" w:firstLine="374"/>
        <w:spacing w:after="0" w:line="241" w:lineRule="auto"/>
        <w:rPr>
          <w:sz w:val="20"/>
          <w:szCs w:val="20"/>
          <w:color w:val="auto"/>
        </w:rPr>
      </w:pPr>
      <w:r>
        <w:rPr>
          <w:rFonts w:ascii="Times New Roman" w:cs="Times New Roman" w:eastAsia="Times New Roman" w:hAnsi="Times New Roman"/>
          <w:sz w:val="14"/>
          <w:szCs w:val="14"/>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 respectively.</w:t>
      </w:r>
    </w:p>
    <w:p>
      <w:pPr>
        <w:spacing w:after="0" w:line="6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4"/>
          <w:szCs w:val="14"/>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55" w:lineRule="exact"/>
        <w:rPr>
          <w:sz w:val="20"/>
          <w:szCs w:val="20"/>
          <w:color w:val="auto"/>
        </w:rPr>
      </w:pPr>
    </w:p>
    <w:p>
      <w:pPr>
        <w:ind w:right="20" w:firstLine="374"/>
        <w:spacing w:after="0" w:line="228" w:lineRule="auto"/>
        <w:rPr>
          <w:sz w:val="20"/>
          <w:szCs w:val="20"/>
          <w:color w:val="auto"/>
        </w:rPr>
      </w:pPr>
      <w:r>
        <w:rPr>
          <w:rFonts w:ascii="Times New Roman" w:cs="Times New Roman" w:eastAsia="Times New Roman" w:hAnsi="Times New Roman"/>
          <w:sz w:val="14"/>
          <w:szCs w:val="14"/>
          <w:color w:val="auto"/>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respectively.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Company’s investment in the F3C Joint Venture is carried at fair value based upon the fair value of the investments held by the F3C Joint Venture.</w:t>
      </w:r>
    </w:p>
    <w:p>
      <w:pPr>
        <w:spacing w:after="0" w:line="96"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4"/>
          <w:szCs w:val="14"/>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details derivative investments at June 30, 2024 and December 31,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6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8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Types of contracts</w:t>
            </w:r>
          </w:p>
        </w:tc>
        <w:tc>
          <w:tcPr>
            <w:tcW w:w="120" w:type="dxa"/>
            <w:vAlign w:val="bottom"/>
            <w:vMerge w:val="restart"/>
          </w:tcPr>
          <w:p>
            <w:pPr>
              <w:spacing w:after="0"/>
              <w:rPr>
                <w:sz w:val="11"/>
                <w:szCs w:val="11"/>
                <w:color w:val="auto"/>
              </w:rPr>
            </w:pPr>
          </w:p>
        </w:tc>
        <w:tc>
          <w:tcPr>
            <w:tcW w:w="13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Notional amounts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right"/>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Derivative assets</w:t>
            </w:r>
          </w:p>
        </w:tc>
        <w:tc>
          <w:tcPr>
            <w:tcW w:w="2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Realized gain(loss)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gain(loss)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gridSpan w:val="2"/>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Call option</w:t>
            </w:r>
            <w:r>
              <w:rPr>
                <w:rFonts w:ascii="Times New Roman" w:cs="Times New Roman" w:eastAsia="Times New Roman" w:hAnsi="Times New Roman"/>
                <w:sz w:val="19"/>
                <w:szCs w:val="19"/>
                <w:color w:val="auto"/>
                <w:vertAlign w:val="superscript"/>
              </w:rPr>
              <w:t>(1)</w:t>
            </w:r>
          </w:p>
        </w:tc>
        <w:tc>
          <w:tcPr>
            <w:tcW w:w="66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1520" w:type="dxa"/>
            <w:vAlign w:val="bottom"/>
            <w:gridSpan w:val="2"/>
            <w:shd w:val="clear" w:color="auto" w:fill="CFF0FC"/>
          </w:tcPr>
          <w:p>
            <w:pPr>
              <w:jc w:val="right"/>
              <w:ind w:right="11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5"/>
        </w:trPr>
        <w:tc>
          <w:tcPr>
            <w:tcW w:w="49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Put option</w:t>
            </w:r>
            <w:r>
              <w:rPr>
                <w:rFonts w:ascii="Times New Roman" w:cs="Times New Roman" w:eastAsia="Times New Roman" w:hAnsi="Times New Roman"/>
                <w:sz w:val="19"/>
                <w:szCs w:val="19"/>
                <w:color w:val="auto"/>
                <w:vertAlign w:val="superscript"/>
              </w:rPr>
              <w:t>(1)</w:t>
            </w: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1,563</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Borders>
              <w:bottom w:val="single" w:sz="8" w:color="auto"/>
            </w:tcBorders>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1,571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0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45"/>
        </w:trPr>
        <w:tc>
          <w:tcPr>
            <w:tcW w:w="556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3"/>
                <w:szCs w:val="13"/>
                <w:color w:val="auto"/>
              </w:rPr>
              <w:t>(1) Net amount included in non-controlled/non- affiliated investments on the consolidated balance sheets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-129540</wp:posOffset>
            </wp:positionV>
            <wp:extent cx="1111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-112395</wp:posOffset>
            </wp:positionV>
            <wp:extent cx="1111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-129540</wp:posOffset>
            </wp:positionV>
            <wp:extent cx="1885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-112395</wp:posOffset>
            </wp:positionV>
            <wp:extent cx="1885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-129540</wp:posOffset>
            </wp:positionV>
            <wp:extent cx="1111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-112395</wp:posOffset>
            </wp:positionV>
            <wp:extent cx="1111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8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Types of contracts</w:t>
            </w:r>
          </w:p>
        </w:tc>
        <w:tc>
          <w:tcPr>
            <w:tcW w:w="120" w:type="dxa"/>
            <w:vAlign w:val="bottom"/>
            <w:vMerge w:val="restart"/>
          </w:tcPr>
          <w:p>
            <w:pPr>
              <w:spacing w:after="0"/>
              <w:rPr>
                <w:sz w:val="11"/>
                <w:szCs w:val="11"/>
                <w:color w:val="auto"/>
              </w:rPr>
            </w:pPr>
          </w:p>
        </w:tc>
        <w:tc>
          <w:tcPr>
            <w:tcW w:w="13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Notional amounts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right"/>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Derivative assets</w:t>
            </w:r>
          </w:p>
        </w:tc>
        <w:tc>
          <w:tcPr>
            <w:tcW w:w="2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Realized gain(loss)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gain(loss)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gridSpan w:val="2"/>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Call option</w:t>
            </w:r>
            <w:r>
              <w:rPr>
                <w:rFonts w:ascii="Times New Roman" w:cs="Times New Roman" w:eastAsia="Times New Roman" w:hAnsi="Times New Roman"/>
                <w:sz w:val="19"/>
                <w:szCs w:val="19"/>
                <w:color w:val="auto"/>
                <w:vertAlign w:val="superscript"/>
              </w:rPr>
              <w:t>(1)</w:t>
            </w:r>
          </w:p>
        </w:tc>
        <w:tc>
          <w:tcPr>
            <w:tcW w:w="560" w:type="dxa"/>
            <w:vAlign w:val="bottom"/>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1520" w:type="dxa"/>
            <w:vAlign w:val="bottom"/>
            <w:gridSpan w:val="2"/>
            <w:shd w:val="clear" w:color="auto" w:fill="CFF0FC"/>
          </w:tcPr>
          <w:p>
            <w:pPr>
              <w:jc w:val="right"/>
              <w:ind w:right="11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6"/>
        </w:trPr>
        <w:tc>
          <w:tcPr>
            <w:tcW w:w="49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Put option</w:t>
            </w:r>
            <w:r>
              <w:rPr>
                <w:rFonts w:ascii="Times New Roman" w:cs="Times New Roman" w:eastAsia="Times New Roman" w:hAnsi="Times New Roman"/>
                <w:sz w:val="19"/>
                <w:szCs w:val="19"/>
                <w:color w:val="auto"/>
                <w:vertAlign w:val="superscript"/>
              </w:rPr>
              <w:t>(1)</w:t>
            </w: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563</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Borders>
              <w:bottom w:val="single" w:sz="8" w:color="auto"/>
            </w:tcBorders>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571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0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-24765</wp:posOffset>
            </wp:positionV>
            <wp:extent cx="1111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-8255</wp:posOffset>
            </wp:positionV>
            <wp:extent cx="1111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1885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1885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111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1111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(1) Net amount included in non-controlled/non- affiliated investments on the consolidated balance sheets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07"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Advisory Agreement</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Adviser provides management services to the Company pursuant to the Advisory Agreement. Under the terms of the Advisory Agreement, the Adviser is responsible for the following:</w:t>
      </w:r>
    </w:p>
    <w:p>
      <w:pPr>
        <w:spacing w:after="0" w:line="96"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the Company’s assets in accordance with our investment objective, policies and restrictions;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the composition of the Company’s portfolio, the nature and timing of the changes to the portfolio and the manner of implementing such changes;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evaluating and negotiating the structure of the Company’s investments;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monitoring the Company’s investments;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the securities and other assets that the Company will purchase, retain or sell;</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the Board with its valuation of the Company’s assets;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directing investment professionals of the Adviser to provide managerial assistance to the Company’s portfolio companies;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performing due diligence on prospective portfolio companies;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exercising voting rights in respect of portfolio securities and other investments for the Company;</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serving on, and exercising observer rights for, boards of directors and similar committees of our portfolio companies; and</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the Company with such other investment advisory, research and related services as we may, from time to time, reasonably require for the investment of capital.</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Adviser’s services under the Advisory Agreement are not exclusive, and it is free to furnish similar services to other entities so long as its services to the Company are not impaired.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Term</w:t>
      </w:r>
    </w:p>
    <w:p>
      <w:pPr>
        <w:spacing w:after="0" w:line="98"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4"/>
          <w:szCs w:val="14"/>
          <w:color w:val="auto"/>
        </w:rPr>
        <w:t>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spacing w:after="0" w:line="55" w:lineRule="exact"/>
        <w:rPr>
          <w:sz w:val="20"/>
          <w:szCs w:val="20"/>
          <w:color w:val="auto"/>
        </w:rPr>
      </w:pPr>
    </w:p>
    <w:p>
      <w:pPr>
        <w:ind w:right="20" w:firstLine="410"/>
        <w:spacing w:after="0" w:line="233" w:lineRule="auto"/>
        <w:rPr>
          <w:sz w:val="20"/>
          <w:szCs w:val="20"/>
          <w:color w:val="auto"/>
        </w:rPr>
      </w:pPr>
      <w:r>
        <w:rPr>
          <w:rFonts w:ascii="Times New Roman" w:cs="Times New Roman" w:eastAsia="Times New Roman" w:hAnsi="Times New Roman"/>
          <w:sz w:val="14"/>
          <w:szCs w:val="14"/>
          <w:color w:val="auto"/>
        </w:rPr>
        <w:t>The Advisory Agreement will automatically terminate within the meaning of the 1940 Act and related Securities and Exchange Commission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of the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Removal of Adviser</w:t>
      </w:r>
    </w:p>
    <w:p>
      <w:pPr>
        <w:spacing w:after="0" w:line="98" w:lineRule="exact"/>
        <w:rPr>
          <w:sz w:val="20"/>
          <w:szCs w:val="20"/>
          <w:color w:val="auto"/>
        </w:rPr>
      </w:pPr>
    </w:p>
    <w:p>
      <w:pPr>
        <w:ind w:right="40" w:firstLine="374"/>
        <w:spacing w:after="0" w:line="241" w:lineRule="auto"/>
        <w:rPr>
          <w:sz w:val="20"/>
          <w:szCs w:val="20"/>
          <w:color w:val="auto"/>
        </w:rPr>
      </w:pPr>
      <w:r>
        <w:rPr>
          <w:rFonts w:ascii="Times New Roman" w:cs="Times New Roman" w:eastAsia="Times New Roman" w:hAnsi="Times New Roman"/>
          <w:sz w:val="14"/>
          <w:szCs w:val="14"/>
          <w:color w:val="auto"/>
        </w:rPr>
        <w:t>The Adviser may be removed by the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of Adviser</w:t>
      </w:r>
    </w:p>
    <w:p>
      <w:pPr>
        <w:spacing w:after="0" w:line="98" w:lineRule="exact"/>
        <w:rPr>
          <w:sz w:val="20"/>
          <w:szCs w:val="20"/>
          <w:color w:val="auto"/>
        </w:rPr>
      </w:pPr>
    </w:p>
    <w:p>
      <w:pPr>
        <w:jc w:val="both"/>
        <w:ind w:right="140" w:firstLine="374"/>
        <w:spacing w:after="0" w:line="229" w:lineRule="auto"/>
        <w:rPr>
          <w:sz w:val="20"/>
          <w:szCs w:val="20"/>
          <w:color w:val="auto"/>
        </w:rPr>
      </w:pPr>
      <w:r>
        <w:rPr>
          <w:rFonts w:ascii="Times New Roman" w:cs="Times New Roman" w:eastAsia="Times New Roman" w:hAnsi="Times New Roman"/>
          <w:sz w:val="14"/>
          <w:szCs w:val="14"/>
          <w:color w:val="auto"/>
        </w:rPr>
        <w:t>Pursuant to the terms of the Advisory Agreement, the Company pays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4"/>
          <w:szCs w:val="14"/>
          <w:color w:val="auto"/>
        </w:rPr>
        <w:t>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w:t>
      </w:r>
    </w:p>
    <w:p>
      <w:pPr>
        <w:spacing w:after="0" w:line="69" w:lineRule="exact"/>
        <w:rPr>
          <w:sz w:val="20"/>
          <w:szCs w:val="20"/>
          <w:color w:val="auto"/>
        </w:rPr>
      </w:pPr>
    </w:p>
    <w:p>
      <w:pPr>
        <w:jc w:val="both"/>
        <w:ind w:right="60" w:firstLine="374"/>
        <w:spacing w:after="0" w:line="236" w:lineRule="auto"/>
        <w:rPr>
          <w:sz w:val="20"/>
          <w:szCs w:val="20"/>
          <w:color w:val="auto"/>
        </w:rPr>
      </w:pPr>
      <w:r>
        <w:rPr>
          <w:rFonts w:ascii="Times New Roman" w:cs="Times New Roman" w:eastAsia="Times New Roman" w:hAnsi="Times New Roman"/>
          <w:sz w:val="14"/>
          <w:szCs w:val="14"/>
          <w:color w:val="auto"/>
        </w:rPr>
        <w:t>The Incentive Fee consists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w:t>
      </w:r>
    </w:p>
    <w:p>
      <w:pPr>
        <w:spacing w:after="0" w:line="69" w:lineRule="exact"/>
        <w:rPr>
          <w:sz w:val="20"/>
          <w:szCs w:val="20"/>
          <w:color w:val="auto"/>
        </w:rPr>
      </w:pPr>
    </w:p>
    <w:p>
      <w:pPr>
        <w:ind w:right="60" w:firstLine="374"/>
        <w:spacing w:after="0" w:line="231" w:lineRule="auto"/>
        <w:rPr>
          <w:sz w:val="20"/>
          <w:szCs w:val="20"/>
          <w:color w:val="auto"/>
        </w:rPr>
      </w:pPr>
      <w:r>
        <w:rPr>
          <w:rFonts w:ascii="Times New Roman" w:cs="Times New Roman" w:eastAsia="Times New Roman" w:hAnsi="Times New Roman"/>
          <w:sz w:val="14"/>
          <w:szCs w:val="14"/>
          <w:color w:val="auto"/>
        </w:rPr>
        <w:t>Pre-incentive fee net investment income means dividends (including reinvested dividends), interest and fee income accrued by the Company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 (“PIK”) interest and zero coupon securities), accrued income that the Company may not have received in cash. The Adviser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w:t>
      </w:r>
    </w:p>
    <w:p>
      <w:pPr>
        <w:spacing w:after="0" w:line="69" w:lineRule="exact"/>
        <w:rPr>
          <w:sz w:val="20"/>
          <w:szCs w:val="20"/>
          <w:color w:val="auto"/>
        </w:rPr>
      </w:pPr>
    </w:p>
    <w:p>
      <w:pPr>
        <w:ind w:right="120" w:firstLine="374"/>
        <w:spacing w:after="0" w:line="241" w:lineRule="auto"/>
        <w:rPr>
          <w:sz w:val="20"/>
          <w:szCs w:val="20"/>
          <w:color w:val="auto"/>
        </w:rPr>
      </w:pPr>
      <w:r>
        <w:rPr>
          <w:rFonts w:ascii="Times New Roman" w:cs="Times New Roman" w:eastAsia="Times New Roman" w:hAnsi="Times New Roman"/>
          <w:sz w:val="14"/>
          <w:szCs w:val="14"/>
          <w:color w:val="auto"/>
        </w:rPr>
        <w:t>To determine the income incentive fee, pre-incentive fee net investment income is expressed as a rate of return on the value of our net assets at the end of the immediately preceding calendar quarter. Because of the structure of the incentive fee, it is possible that the Company may pay an incentive fee in a calendar quarter in which the Company incurs a loss. For example, if the Company receives pre-incentive fee net investment income in excess of the quarterly hurdle rate, the Company will pay the applicable incentive</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1"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4"/>
          <w:szCs w:val="14"/>
          <w:color w:val="auto"/>
        </w:rPr>
        <w:t>fee even if the Company has incurred a loss in that calendar quarter due to realized capital losses and unrealized capital depreciation. In addition, because the quarterly hurdle rate is calculated based on our net assets, decreases in the Company’s net assets due to realized capital losses or unrealized capital depreciation in any given calendar quarter may increase the likelihood that the hurdle rate is reached and therefore the likelihood of the Company paying an incentive fee for the subsequent quarter. The Company’s net investment income used to calculate this component of the incentive fee is also included in the amount of the Company’s gross assets used to calculate the management fee because gross assets are total assets (including cash received) before deducting liabilities (such as declared dividend payments).</w:t>
      </w:r>
    </w:p>
    <w:p>
      <w:pPr>
        <w:spacing w:after="0" w:line="69" w:lineRule="exact"/>
        <w:rPr>
          <w:sz w:val="20"/>
          <w:szCs w:val="20"/>
          <w:color w:val="auto"/>
        </w:rPr>
      </w:pPr>
    </w:p>
    <w:p>
      <w:pPr>
        <w:ind w:right="20" w:firstLine="374"/>
        <w:spacing w:after="0" w:line="231" w:lineRule="auto"/>
        <w:rPr>
          <w:sz w:val="20"/>
          <w:szCs w:val="20"/>
          <w:color w:val="auto"/>
        </w:rPr>
      </w:pPr>
      <w:r>
        <w:rPr>
          <w:rFonts w:ascii="Times New Roman" w:cs="Times New Roman" w:eastAsia="Times New Roman" w:hAnsi="Times New Roman"/>
          <w:sz w:val="14"/>
          <w:szCs w:val="14"/>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incentive fee for prior periods. The Company will accrue, but will not pay, a capital gains incentive fee with respect to unrealized appreciation because a capital gains incentive fee would be owed to the Adviser if the Company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fees that are payable under the Investment Advisory Agreement for any partial period will be appropriately prorated.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Limitations of Liability and Indemnification</w:t>
      </w:r>
    </w:p>
    <w:p>
      <w:pPr>
        <w:spacing w:after="0" w:line="98" w:lineRule="exact"/>
        <w:rPr>
          <w:sz w:val="20"/>
          <w:szCs w:val="20"/>
          <w:color w:val="auto"/>
        </w:rPr>
      </w:pPr>
    </w:p>
    <w:p>
      <w:pPr>
        <w:ind w:firstLine="374"/>
        <w:spacing w:after="0" w:line="227" w:lineRule="auto"/>
        <w:rPr>
          <w:sz w:val="20"/>
          <w:szCs w:val="20"/>
          <w:color w:val="auto"/>
        </w:rPr>
      </w:pPr>
      <w:r>
        <w:rPr>
          <w:rFonts w:ascii="Times New Roman" w:cs="Times New Roman" w:eastAsia="Times New Roman" w:hAnsi="Times New Roman"/>
          <w:sz w:val="14"/>
          <w:szCs w:val="14"/>
          <w:color w:val="auto"/>
        </w:rPr>
        <w:t>Under the Advisory Agreement, the Adviser, its officers, managers, partners, agents, employees, controlling persons, members and any other person or entity affiliated with the Adviser, including without limitation its managing member, will not be liable to the Company for acts or omissions performed in accordance with and pursuant to the Advisory Agreement, except those resulting from acts constituting criminal conduct, gross negligence, willful misfeasance, bad faith or reckless disregard of the duties that the Adviser owes to the Company under the Advisory Agreement. In addition, as part of the Advisory Agreement, the Company has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Board Approval of the Advisory Agreement</w:t>
      </w:r>
    </w:p>
    <w:p>
      <w:pPr>
        <w:spacing w:after="0" w:line="98" w:lineRule="exact"/>
        <w:rPr>
          <w:sz w:val="20"/>
          <w:szCs w:val="20"/>
          <w:color w:val="auto"/>
        </w:rPr>
      </w:pPr>
    </w:p>
    <w:p>
      <w:pPr>
        <w:ind w:right="20" w:firstLine="374"/>
        <w:spacing w:after="0" w:line="227" w:lineRule="auto"/>
        <w:rPr>
          <w:sz w:val="20"/>
          <w:szCs w:val="20"/>
          <w:color w:val="auto"/>
        </w:rPr>
      </w:pPr>
      <w:r>
        <w:rPr>
          <w:rFonts w:ascii="Times New Roman" w:cs="Times New Roman" w:eastAsia="Times New Roman" w:hAnsi="Times New Roman"/>
          <w:sz w:val="14"/>
          <w:szCs w:val="14"/>
          <w:color w:val="auto"/>
        </w:rPr>
        <w:t>On December 12, 2018, the then-current Board of the Company held an in-person meeting to consider and approve the Advisory Agreement and related matters, and on April 1, 2019 the Company entered into the Advisory Agreement with the Adviser. The Board most recently determined to re-approve the Advisory Agreement at a meeting held on March 11, 2024. In reaching a decision to re-approve the Advisory Agreement, the Board was provided the information required to consider the Advisory Agreement, including: (a) the nature, quality and extent of the advisory and other services to be provided to the Company by the Adviser; (b) comparative data with respect to advisory fees or similar expenses paid by other BDCs with similar investment objectives;</w:t>
      </w:r>
    </w:p>
    <w:p>
      <w:pPr>
        <w:spacing w:after="0" w:line="1" w:lineRule="exact"/>
        <w:rPr>
          <w:sz w:val="20"/>
          <w:szCs w:val="20"/>
          <w:color w:val="auto"/>
        </w:rPr>
      </w:pPr>
    </w:p>
    <w:p>
      <w:pPr>
        <w:ind w:right="20" w:firstLine="8"/>
        <w:spacing w:after="0" w:line="233" w:lineRule="auto"/>
        <w:tabs>
          <w:tab w:leader="none" w:pos="19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projected operating expenses and expense ratio compared to BDCs with similar investment objectives; (d) any existing and potential sources of indirect income to the Adviser from its relationship with the Company and the profitability of that relationship; (e) information about the services to be performed and the personnel performing such services under the Advisory Agreement; and (f) the organizational capability and financial condition of the Adviser and its affiliates.</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Board, including a majority of independent directors will oversee and monitor the Company’s investment performance and annually reviews the compensation we pay to the Adviser.</w:t>
      </w:r>
    </w:p>
    <w:p>
      <w:pPr>
        <w:spacing w:after="0" w:line="96" w:lineRule="exact"/>
        <w:rPr>
          <w:sz w:val="20"/>
          <w:szCs w:val="20"/>
          <w:color w:val="auto"/>
        </w:rPr>
      </w:pPr>
    </w:p>
    <w:p>
      <w:pPr>
        <w:ind w:right="100" w:firstLine="374"/>
        <w:spacing w:after="0" w:line="241" w:lineRule="auto"/>
        <w:rPr>
          <w:sz w:val="20"/>
          <w:szCs w:val="20"/>
          <w:color w:val="auto"/>
        </w:rPr>
      </w:pPr>
      <w:r>
        <w:rPr>
          <w:rFonts w:ascii="Times New Roman" w:cs="Times New Roman" w:eastAsia="Times New Roman" w:hAnsi="Times New Roman"/>
          <w:sz w:val="14"/>
          <w:szCs w:val="14"/>
          <w:color w:val="auto"/>
        </w:rPr>
        <w:t>Management fees for the three months ended June 30, 2024 and 2023, were approximately $1.7 million and $1.9 million, respectively. Management fees for the six months ended June 30, 2024 and 2023, were approximately $3.4 million and $3.8 million, respectively. Incentive fees for the three months ended June 30, 2024 and 2023, were approximately $1.4 million and $1.7 million, respectively. Incentive fees for the six months ended June 30, 2024 and 2023, were approximately $2.6 million and $3.5 million,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Administration Agreement</w:t>
      </w:r>
    </w:p>
    <w:p>
      <w:pPr>
        <w:spacing w:after="0" w:line="100" w:lineRule="exact"/>
        <w:rPr>
          <w:sz w:val="20"/>
          <w:szCs w:val="20"/>
          <w:color w:val="auto"/>
        </w:rPr>
      </w:pPr>
    </w:p>
    <w:p>
      <w:pPr>
        <w:ind w:right="20" w:firstLine="374"/>
        <w:spacing w:after="0" w:line="231" w:lineRule="auto"/>
        <w:rPr>
          <w:sz w:val="20"/>
          <w:szCs w:val="20"/>
          <w:color w:val="auto"/>
        </w:rPr>
      </w:pPr>
      <w:r>
        <w:rPr>
          <w:rFonts w:ascii="Times New Roman" w:cs="Times New Roman" w:eastAsia="Times New Roman" w:hAnsi="Times New Roman"/>
          <w:sz w:val="14"/>
          <w:szCs w:val="14"/>
          <w:color w:val="auto"/>
        </w:rPr>
        <w:t>Under the terms of the administration agreement (the “Administration Agreement”) between the Company and BC Partners Management LLC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The Company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the Company will reimburse the Administrator for any services performed for it by such affiliate or third party.</w:t>
      </w:r>
    </w:p>
    <w:p>
      <w:pPr>
        <w:spacing w:after="0" w:line="69" w:lineRule="exact"/>
        <w:rPr>
          <w:sz w:val="20"/>
          <w:szCs w:val="20"/>
          <w:color w:val="auto"/>
        </w:rPr>
      </w:pPr>
    </w:p>
    <w:p>
      <w:pPr>
        <w:ind w:right="220" w:firstLine="374"/>
        <w:spacing w:after="0"/>
        <w:rPr>
          <w:sz w:val="20"/>
          <w:szCs w:val="20"/>
          <w:color w:val="auto"/>
        </w:rPr>
      </w:pPr>
      <w:r>
        <w:rPr>
          <w:rFonts w:ascii="Times New Roman" w:cs="Times New Roman" w:eastAsia="Times New Roman" w:hAnsi="Times New Roman"/>
          <w:sz w:val="14"/>
          <w:szCs w:val="14"/>
          <w:color w:val="auto"/>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the Company’s chief compliance officer and chief financial officer and their respective staff who provide services to the Company.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spacing w:after="0" w:line="207" w:lineRule="exact"/>
        <w:rPr>
          <w:sz w:val="20"/>
          <w:szCs w:val="20"/>
          <w:color w:val="auto"/>
        </w:rPr>
      </w:pPr>
    </w:p>
    <w:p>
      <w:pPr>
        <w:jc w:val="both"/>
        <w:ind w:right="160" w:firstLine="374"/>
        <w:spacing w:after="0" w:line="241" w:lineRule="auto"/>
        <w:rPr>
          <w:sz w:val="20"/>
          <w:szCs w:val="20"/>
          <w:color w:val="auto"/>
        </w:rPr>
      </w:pPr>
      <w:r>
        <w:rPr>
          <w:rFonts w:ascii="Times New Roman" w:cs="Times New Roman" w:eastAsia="Times New Roman" w:hAnsi="Times New Roman"/>
          <w:sz w:val="14"/>
          <w:szCs w:val="14"/>
          <w:color w:val="auto"/>
        </w:rPr>
        <w:t>Unless earlier terminated as described below, the Administration Agreement will remain in effect from year-to-year if approved annually by a majority of the Board or by the holders of a Majority of the Outstanding Shares, and, in each case, a majority of the independent directors. On April 1, 2019, the Board approved the Administration Agreement with the Administrator and the Board most recently determined to re-approve the Administration Agreement at a meeting held on March 11, 2024.</w:t>
      </w:r>
    </w:p>
    <w:p>
      <w:pPr>
        <w:spacing w:after="0" w:line="69" w:lineRule="exact"/>
        <w:rPr>
          <w:sz w:val="20"/>
          <w:szCs w:val="20"/>
          <w:color w:val="auto"/>
        </w:rPr>
      </w:pPr>
    </w:p>
    <w:p>
      <w:pPr>
        <w:jc w:val="both"/>
        <w:ind w:right="200" w:firstLine="410"/>
        <w:spacing w:after="0" w:line="241" w:lineRule="auto"/>
        <w:rPr>
          <w:sz w:val="20"/>
          <w:szCs w:val="20"/>
          <w:color w:val="auto"/>
        </w:rPr>
      </w:pPr>
      <w:r>
        <w:rPr>
          <w:rFonts w:ascii="Times New Roman" w:cs="Times New Roman" w:eastAsia="Times New Roman" w:hAnsi="Times New Roman"/>
          <w:sz w:val="14"/>
          <w:szCs w:val="14"/>
          <w:color w:val="auto"/>
        </w:rPr>
        <w:t>The Company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69"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4"/>
          <w:szCs w:val="14"/>
          <w:color w:val="auto"/>
        </w:rPr>
        <w:t>Administrative services expense for the three months ended June 30, 2024 and 2023, was $0.4 million and $0.7 million, respectively. Administrative services expense for the six months ended June 30, 2024 and 2023, was $0.7 million and $1.3 million, respectively.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35" w:name="page36"/>
    <w:bookmarkEnd w:id="35"/>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ind w:right="-59"/>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59"/>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 of Expenses under the Advisory and Administration Agreements</w:t>
      </w:r>
    </w:p>
    <w:p>
      <w:pPr>
        <w:spacing w:after="0" w:line="100" w:lineRule="exact"/>
        <w:rPr>
          <w:sz w:val="20"/>
          <w:szCs w:val="20"/>
          <w:color w:val="auto"/>
        </w:rPr>
      </w:pPr>
    </w:p>
    <w:p>
      <w:pPr>
        <w:ind w:right="20" w:firstLine="374"/>
        <w:spacing w:after="0" w:line="229" w:lineRule="auto"/>
        <w:rPr>
          <w:sz w:val="20"/>
          <w:szCs w:val="20"/>
          <w:color w:val="auto"/>
        </w:rPr>
      </w:pPr>
      <w:r>
        <w:rPr>
          <w:rFonts w:ascii="Times New Roman" w:cs="Times New Roman" w:eastAsia="Times New Roman" w:hAnsi="Times New Roman"/>
          <w:sz w:val="14"/>
          <w:szCs w:val="14"/>
          <w:color w:val="auto"/>
        </w:rPr>
        <w:t>Except as specifically provided below, all investment professionals and staffs of the Adviser, when and to the extent engaged in providing investment advisory and management services to the Company, and the compensation and routine overhead expenses (including rent, office equipment and utilities), of such personnel allocable to such services, is provided and paid for by the Adviser. The Company bears an allocable portion of the compensation paid by the Adviser (or its affiliates) to the Company’s chief compliance officer and chief financial officer and their respective staffs (based on a percentage of time such individuals devote, on an estimated basis, to our business affairs). The Company also bears all other costs and expenses of our operations, administration and transactions, including, but not limited to (i) investment advisory fees, including management fees and incentive fees, to the Adviser, pursuant to the Advisory Agreement; (ii) an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72"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calculating the Company’s net asset value, including the cost of any third-party valuation services;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effecting any sales and repurchases of the Company’s common stock and other securities;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payable under any dealer manager or placement agent agreements, if any;</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administration fees payable under the Administration Agreement and any sub-administration agreements, including related expenses;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service and other costs of borrowings or other financing arrangements;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hedging;</w:t>
      </w:r>
    </w:p>
    <w:p>
      <w:pPr>
        <w:spacing w:after="0" w:line="95" w:lineRule="exact"/>
        <w:rPr>
          <w:rFonts w:ascii="Times New Roman" w:cs="Times New Roman" w:eastAsia="Times New Roman" w:hAnsi="Times New Roman"/>
          <w:sz w:val="14"/>
          <w:szCs w:val="14"/>
          <w:color w:val="auto"/>
        </w:rPr>
      </w:pPr>
    </w:p>
    <w:p>
      <w:pPr>
        <w:ind w:left="760" w:right="420" w:hanging="378"/>
        <w:spacing w:after="0" w:line="261" w:lineRule="auto"/>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54"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agent and custodial fees;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marketing efforts;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registration fees, any stock exchange listing fees and fees payable to rating agencies;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local taxes;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directors’ fees and expenses including certain travel expenses;</w:t>
      </w:r>
    </w:p>
    <w:p>
      <w:pPr>
        <w:spacing w:after="0" w:line="95" w:lineRule="exact"/>
        <w:rPr>
          <w:rFonts w:ascii="Times New Roman" w:cs="Times New Roman" w:eastAsia="Times New Roman" w:hAnsi="Times New Roman"/>
          <w:sz w:val="14"/>
          <w:szCs w:val="14"/>
          <w:color w:val="auto"/>
        </w:rPr>
      </w:pPr>
    </w:p>
    <w:p>
      <w:pPr>
        <w:ind w:left="760" w:right="200" w:hanging="378"/>
        <w:spacing w:after="0" w:line="261" w:lineRule="auto"/>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54" w:lineRule="exact"/>
        <w:rPr>
          <w:rFonts w:ascii="Times New Roman" w:cs="Times New Roman" w:eastAsia="Times New Roman" w:hAnsi="Times New Roman"/>
          <w:sz w:val="14"/>
          <w:szCs w:val="14"/>
          <w:color w:val="auto"/>
        </w:rPr>
      </w:pPr>
    </w:p>
    <w:p>
      <w:pPr>
        <w:ind w:left="760" w:right="680" w:hanging="378"/>
        <w:spacing w:after="0" w:line="261" w:lineRule="auto"/>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54"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commissions and other compensation payable to brokers or dealers;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and market data;</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bond, directors and officers errors and omissions liability insurance and other insurance premiums;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costs and expenses of administration, including printing, mailing, long distance telephone and staff;</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independent audits, outside legal and consulting costs;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winding up our affairs;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incurred by either the Administrator or us in connection with administering our business, including payments under the Administration Agreement;</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extraordinary expenses (such as litigation or indemnification);</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reporting and compliance obligations under the 1940 Act and applicable federal and state securities laws; and</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the Company’s legacy lease.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Co-investment Exemptive Relief</w:t>
      </w:r>
    </w:p>
    <w:p>
      <w:pPr>
        <w:spacing w:after="0" w:line="98"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14"/>
          <w:szCs w:val="14"/>
          <w:color w:val="auto"/>
        </w:rPr>
        <w:t>As a BDC, we are subject to certain regulatory restrictions in making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w:t>
      </w:r>
    </w:p>
    <w:p>
      <w:pPr>
        <w:spacing w:after="0" w:line="69" w:lineRule="exact"/>
        <w:rPr>
          <w:sz w:val="20"/>
          <w:szCs w:val="20"/>
          <w:color w:val="auto"/>
        </w:rPr>
      </w:pPr>
    </w:p>
    <w:p>
      <w:pPr>
        <w:ind w:right="40" w:firstLine="374"/>
        <w:spacing w:after="0" w:line="241" w:lineRule="auto"/>
        <w:rPr>
          <w:sz w:val="20"/>
          <w:szCs w:val="20"/>
          <w:color w:val="auto"/>
        </w:rPr>
      </w:pPr>
      <w:r>
        <w:rPr>
          <w:rFonts w:ascii="Times New Roman" w:cs="Times New Roman" w:eastAsia="Times New Roman" w:hAnsi="Times New Roman"/>
          <w:sz w:val="14"/>
          <w:szCs w:val="14"/>
          <w:color w:val="auto"/>
        </w:rPr>
        <w:t>On April 10, 2023, superseding a prior exemptive order granted on October 23, 2018, the SEC issued an order granting an application for exemptive relief to us and certain of our affiliates that allows BDCs managed by the Adviser, including us, to co-invest, subject to the satisfaction of certain conditions, in certain private placement transactions, with other funds managed by the Adviser or its affiliates, certain proprietary accounts of the Adviser or its affiliates and any future funds that are advised by the Adviser or its affiliated investment advisers.</w:t>
      </w:r>
    </w:p>
    <w:p>
      <w:pPr>
        <w:spacing w:after="0" w:line="69" w:lineRule="exact"/>
        <w:rPr>
          <w:sz w:val="20"/>
          <w:szCs w:val="20"/>
          <w:color w:val="auto"/>
        </w:rPr>
      </w:pPr>
    </w:p>
    <w:p>
      <w:pPr>
        <w:ind w:right="60" w:firstLine="374"/>
        <w:spacing w:after="0" w:line="236" w:lineRule="auto"/>
        <w:rPr>
          <w:sz w:val="20"/>
          <w:szCs w:val="20"/>
          <w:color w:val="auto"/>
        </w:rPr>
      </w:pPr>
      <w:r>
        <w:rPr>
          <w:rFonts w:ascii="Times New Roman" w:cs="Times New Roman" w:eastAsia="Times New Roman" w:hAnsi="Times New Roman"/>
          <w:sz w:val="14"/>
          <w:szCs w:val="14"/>
          <w:color w:val="auto"/>
        </w:rPr>
        <w:t>Under the terms of the exemptive order,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to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3" w:right="37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07" w:lineRule="exact"/>
        <w:rPr>
          <w:sz w:val="20"/>
          <w:szCs w:val="20"/>
          <w:color w:val="auto"/>
        </w:rPr>
      </w:pPr>
    </w:p>
    <w:p>
      <w:pPr>
        <w:ind w:left="1120" w:hanging="363"/>
        <w:spacing w:after="0"/>
        <w:tabs>
          <w:tab w:leader="none" w:pos="1120"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b w:val="1"/>
          <w:bCs w:val="1"/>
          <w:color w:val="auto"/>
        </w:rPr>
        <w:t>BORROWINGS</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Company’s debt obligations consist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9"/>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2018-2 Secured Notes (net of discount of: 2024 - $414; 2023 - $712)</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84,656</w:t>
            </w:r>
          </w:p>
        </w:tc>
        <w:tc>
          <w:tcPr>
            <w:tcW w:w="3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124,971</w:t>
            </w:r>
          </w:p>
        </w:tc>
        <w:tc>
          <w:tcPr>
            <w:tcW w:w="0" w:type="dxa"/>
            <w:vAlign w:val="bottom"/>
          </w:tcPr>
          <w:p>
            <w:pPr>
              <w:spacing w:after="0"/>
              <w:rPr>
                <w:sz w:val="1"/>
                <w:szCs w:val="1"/>
                <w:color w:val="auto"/>
              </w:rPr>
            </w:pPr>
          </w:p>
        </w:tc>
      </w:tr>
      <w:tr>
        <w:trPr>
          <w:trHeight w:val="139"/>
        </w:trPr>
        <w:tc>
          <w:tcPr>
            <w:tcW w:w="68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4.875% Notes Due 2026 (net of discount of: 2024 - $974; 2023 - $1,225; net of deferred financing costs of: 2024 -</w:t>
            </w:r>
          </w:p>
        </w:tc>
        <w:tc>
          <w:tcPr>
            <w:tcW w:w="300" w:type="dxa"/>
            <w:vAlign w:val="bottom"/>
          </w:tcPr>
          <w:p>
            <w:pPr>
              <w:spacing w:after="0"/>
              <w:rPr>
                <w:sz w:val="12"/>
                <w:szCs w:val="12"/>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106,596</w:t>
            </w:r>
          </w:p>
        </w:tc>
        <w:tc>
          <w:tcPr>
            <w:tcW w:w="380" w:type="dxa"/>
            <w:vAlign w:val="bottom"/>
          </w:tcPr>
          <w:p>
            <w:pPr>
              <w:spacing w:after="0"/>
              <w:rPr>
                <w:sz w:val="12"/>
                <w:szCs w:val="12"/>
                <w:color w:val="auto"/>
              </w:rPr>
            </w:pPr>
          </w:p>
        </w:tc>
        <w:tc>
          <w:tcPr>
            <w:tcW w:w="2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106,214</w:t>
            </w:r>
          </w:p>
        </w:tc>
        <w:tc>
          <w:tcPr>
            <w:tcW w:w="0" w:type="dxa"/>
            <w:vAlign w:val="bottom"/>
          </w:tcPr>
          <w:p>
            <w:pPr>
              <w:spacing w:after="0"/>
              <w:rPr>
                <w:sz w:val="1"/>
                <w:szCs w:val="1"/>
                <w:color w:val="auto"/>
              </w:rPr>
            </w:pPr>
          </w:p>
        </w:tc>
      </w:tr>
      <w:tr>
        <w:trPr>
          <w:trHeight w:val="185"/>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$430; 2023 - $561)</w:t>
            </w:r>
          </w:p>
        </w:tc>
        <w:tc>
          <w:tcPr>
            <w:tcW w:w="3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8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Great Lakes Portman Ridge Funding LLC Revolving Credit Facility (net of deferred financing costs of: 2024 - $609;</w:t>
            </w:r>
          </w:p>
        </w:tc>
        <w:tc>
          <w:tcPr>
            <w:tcW w:w="300" w:type="dxa"/>
            <w:vAlign w:val="bottom"/>
            <w:shd w:val="clear" w:color="auto" w:fill="CFF0FC"/>
          </w:tcPr>
          <w:p>
            <w:pPr>
              <w:spacing w:after="0"/>
              <w:rPr>
                <w:sz w:val="12"/>
                <w:szCs w:val="12"/>
                <w:color w:val="auto"/>
              </w:rPr>
            </w:pPr>
          </w:p>
        </w:tc>
        <w:tc>
          <w:tcPr>
            <w:tcW w:w="1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91,391</w:t>
            </w:r>
          </w:p>
        </w:tc>
        <w:tc>
          <w:tcPr>
            <w:tcW w:w="380" w:type="dxa"/>
            <w:vAlign w:val="bottom"/>
            <w:shd w:val="clear" w:color="auto" w:fill="CFF0FC"/>
          </w:tcPr>
          <w:p>
            <w:pPr>
              <w:spacing w:after="0"/>
              <w:rPr>
                <w:sz w:val="12"/>
                <w:szCs w:val="12"/>
                <w:color w:val="auto"/>
              </w:rPr>
            </w:pPr>
          </w:p>
        </w:tc>
        <w:tc>
          <w:tcPr>
            <w:tcW w:w="20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91,225</w:t>
            </w:r>
          </w:p>
        </w:tc>
        <w:tc>
          <w:tcPr>
            <w:tcW w:w="0" w:type="dxa"/>
            <w:vAlign w:val="bottom"/>
          </w:tcPr>
          <w:p>
            <w:pPr>
              <w:spacing w:after="0"/>
              <w:rPr>
                <w:sz w:val="1"/>
                <w:szCs w:val="1"/>
                <w:color w:val="auto"/>
              </w:rPr>
            </w:pPr>
          </w:p>
        </w:tc>
      </w:tr>
      <w:tr>
        <w:trPr>
          <w:trHeight w:val="171"/>
        </w:trPr>
        <w:tc>
          <w:tcPr>
            <w:tcW w:w="6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2023 - $775)</w:t>
            </w:r>
          </w:p>
        </w:tc>
        <w:tc>
          <w:tcPr>
            <w:tcW w:w="300" w:type="dxa"/>
            <w:vAlign w:val="bottom"/>
            <w:tcBorders>
              <w:bottom w:val="single" w:sz="8" w:color="auto"/>
            </w:tcBorders>
            <w:shd w:val="clear" w:color="auto" w:fill="CFF0FC"/>
          </w:tcPr>
          <w:p>
            <w:pPr>
              <w:spacing w:after="0"/>
              <w:rPr>
                <w:sz w:val="14"/>
                <w:szCs w:val="14"/>
                <w:color w:val="auto"/>
              </w:rPr>
            </w:pPr>
          </w:p>
        </w:tc>
        <w:tc>
          <w:tcPr>
            <w:tcW w:w="1640" w:type="dxa"/>
            <w:vAlign w:val="bottom"/>
            <w:tcBorders>
              <w:bottom w:val="single" w:sz="8" w:color="auto"/>
            </w:tcBorders>
            <w:vMerge w:val="continue"/>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208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282,643</w:t>
            </w: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322,410</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4"/>
          <w:szCs w:val="14"/>
          <w:color w:val="auto"/>
        </w:rPr>
        <w:t>The weighted average stated interest rate and weighted average maturity on all our debt outstanding as of June 30, 2024 was 6.9% and 3.1 years, respectively, and as of December 31, 2023 were 7.0% and 3.7 years, respectively.</w:t>
      </w:r>
    </w:p>
    <w:p>
      <w:pPr>
        <w:spacing w:after="0" w:line="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Notes Offering</w:t>
      </w:r>
    </w:p>
    <w:p>
      <w:pPr>
        <w:spacing w:after="0" w:line="98" w:lineRule="exact"/>
        <w:rPr>
          <w:sz w:val="20"/>
          <w:szCs w:val="20"/>
          <w:color w:val="auto"/>
        </w:rPr>
      </w:pPr>
    </w:p>
    <w:p>
      <w:pPr>
        <w:ind w:right="80" w:firstLine="374"/>
        <w:spacing w:after="0" w:line="233" w:lineRule="auto"/>
        <w:rPr>
          <w:sz w:val="20"/>
          <w:szCs w:val="20"/>
          <w:color w:val="auto"/>
        </w:rPr>
      </w:pPr>
      <w:r>
        <w:rPr>
          <w:rFonts w:ascii="Times New Roman" w:cs="Times New Roman" w:eastAsia="Times New Roman" w:hAnsi="Times New Roman"/>
          <w:sz w:val="14"/>
          <w:szCs w:val="14"/>
          <w:color w:val="auto"/>
        </w:rPr>
        <w:t>On April 30, 2021, the Company issued $80 million in aggregate principal amount of unsecured 4.875% Notes due 2026 (the “4.875% Notes due 2026”) in a private placement exempt from registration under the Section 4(a)(2) of the Securities Act. The 4.875% Notes due 2026 were not registered under the Securities Act or any state securities laws and may not be reoffered or resold in the United States absent registration or an applicable exemption from such registration requirements. The net proceeds to the Company were approximately $77.7 million, after deducting estimated offering expenses. The Company used the net proceeds of the offering to redeem in full its 6.125% Notes due 2022, to make investments in portfolio companies in accordance with its investment objectives, and for general corporate purposes.</w:t>
      </w:r>
    </w:p>
    <w:p>
      <w:pPr>
        <w:spacing w:after="0" w:line="69" w:lineRule="exact"/>
        <w:rPr>
          <w:sz w:val="20"/>
          <w:szCs w:val="20"/>
          <w:color w:val="auto"/>
        </w:rPr>
      </w:pPr>
    </w:p>
    <w:p>
      <w:pPr>
        <w:ind w:right="80" w:firstLine="374"/>
        <w:spacing w:after="0" w:line="241" w:lineRule="auto"/>
        <w:rPr>
          <w:sz w:val="20"/>
          <w:szCs w:val="20"/>
          <w:color w:val="auto"/>
        </w:rPr>
      </w:pPr>
      <w:r>
        <w:rPr>
          <w:rFonts w:ascii="Times New Roman" w:cs="Times New Roman" w:eastAsia="Times New Roman" w:hAnsi="Times New Roman"/>
          <w:sz w:val="14"/>
          <w:szCs w:val="14"/>
          <w:color w:val="auto"/>
        </w:rPr>
        <w:t>On April 30, 2021, the Company and U.S. Bank National Association (the “Trustee”) entered into a Supplemental Indenture (the “Third Supplemental Indenture”), which supplements that certain Base Indenture, dated as of October 10, 2012 (as may be further amended, supplemented or otherwise modified from time to time, the “Base Indenture” and, together with the Third Supplemental Indenture, the “Indenture”). The Third Supplemental Indenture relates to the Company’s issuance of the 4.875% Notes due 2026.</w:t>
      </w:r>
    </w:p>
    <w:p>
      <w:pPr>
        <w:spacing w:after="0" w:line="69" w:lineRule="exact"/>
        <w:rPr>
          <w:sz w:val="20"/>
          <w:szCs w:val="20"/>
          <w:color w:val="auto"/>
        </w:rPr>
      </w:pPr>
    </w:p>
    <w:p>
      <w:pPr>
        <w:ind w:right="60" w:firstLine="374"/>
        <w:spacing w:after="0" w:line="231" w:lineRule="auto"/>
        <w:rPr>
          <w:sz w:val="20"/>
          <w:szCs w:val="20"/>
          <w:color w:val="auto"/>
        </w:rPr>
      </w:pPr>
      <w:r>
        <w:rPr>
          <w:rFonts w:ascii="Times New Roman" w:cs="Times New Roman" w:eastAsia="Times New Roman" w:hAnsi="Times New Roman"/>
          <w:sz w:val="14"/>
          <w:szCs w:val="14"/>
          <w:color w:val="auto"/>
        </w:rPr>
        <w:t>The 4.875% Notes due 2026 will mature on April 30, 2026 and may be redeemed in whole or in part at the Company’s option at any time or from time to time at the redemption prices set forth in the Indenture and bear interest at a rate of 4.875% per year payable semi-annually on March 16 and September 16 of each year, commencing on September 16, 2021. The 4.875% Notes due 2026 are general unsecured obligations of the Company that rank senior in right of payment to all of the Company’s existing and future indebtedness that is expressly subordinated in right of payment to the 4.875% Notes due 2026,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69" w:lineRule="exact"/>
        <w:rPr>
          <w:sz w:val="20"/>
          <w:szCs w:val="20"/>
          <w:color w:val="auto"/>
        </w:rPr>
      </w:pPr>
    </w:p>
    <w:p>
      <w:pPr>
        <w:jc w:val="both"/>
        <w:ind w:right="20" w:firstLine="374"/>
        <w:spacing w:after="0" w:line="236" w:lineRule="auto"/>
        <w:rPr>
          <w:sz w:val="20"/>
          <w:szCs w:val="20"/>
          <w:color w:val="auto"/>
        </w:rPr>
      </w:pPr>
      <w:r>
        <w:rPr>
          <w:rFonts w:ascii="Times New Roman" w:cs="Times New Roman" w:eastAsia="Times New Roman" w:hAnsi="Times New Roman"/>
          <w:sz w:val="14"/>
          <w:szCs w:val="14"/>
          <w:color w:val="auto"/>
        </w:rPr>
        <w:t>The Indenture contains certain covenants, including covenants requiring the Company to comply with the asset coverage requirements of Sections 18(a)(1)(A) and 18(a)(1)(B) as modified by Section 61(a)(2) of the 1940 Act, whether or not it is subject to those requirements, and to provide financial information to the holders of the Notes and the Trustee if the Company is no longer subject to the reporting requirements under the Exchange Act. Additionally, the Company has agreed to use its commercially reasonable efforts to maintain a rating of the 4.875% Notes due 2026 from a rating agency, as long as the notes are outstanding. These covenants are subject to important limitations and exceptions that are described in the Indenture.</w:t>
      </w:r>
    </w:p>
    <w:p>
      <w:pPr>
        <w:spacing w:after="0" w:line="69"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4"/>
          <w:szCs w:val="14"/>
          <w:color w:val="auto"/>
        </w:rPr>
        <w:t>In addition, on the occurrence of a “change of control repurchase event,” as defined in the Indenture, the Company will generally be required to make an offer to purchase the outstanding notes at a price equal to 100% of the principal amount of such notes plus accrued and unpaid interest to the repurchase date.</w:t>
      </w:r>
    </w:p>
    <w:p>
      <w:pPr>
        <w:spacing w:after="0" w:line="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Sale of Additional 4.875% Notes due 2026</w:t>
      </w:r>
    </w:p>
    <w:p>
      <w:pPr>
        <w:spacing w:after="0" w:line="98" w:lineRule="exact"/>
        <w:rPr>
          <w:sz w:val="20"/>
          <w:szCs w:val="20"/>
          <w:color w:val="auto"/>
        </w:rPr>
      </w:pPr>
    </w:p>
    <w:p>
      <w:pPr>
        <w:ind w:right="140" w:firstLine="374"/>
        <w:spacing w:after="0" w:line="233" w:lineRule="auto"/>
        <w:rPr>
          <w:sz w:val="20"/>
          <w:szCs w:val="20"/>
          <w:color w:val="auto"/>
        </w:rPr>
      </w:pPr>
      <w:r>
        <w:rPr>
          <w:rFonts w:ascii="Times New Roman" w:cs="Times New Roman" w:eastAsia="Times New Roman" w:hAnsi="Times New Roman"/>
          <w:sz w:val="14"/>
          <w:szCs w:val="14"/>
          <w:color w:val="auto"/>
        </w:rPr>
        <w:t>On June 23, 2021, the Company issued $28 million in aggregate principal amount of its 4.875% Notes due 2026 (the “New Notes”) in a private placement exempt from registration under the Section 4(a)(2) of the Securities Act. The New Notes have not been registered under the Securities Act or any state securities laws and may not be reoffered or resold in the United States absent registration or an applicable exemption from such registration requirements. The net proceeds to the Company were approximately $27.4 million, after deducting estimated offering expenses. The Company intends to use the net proceeds of the offering to redeem in full its HCAP Notes (as defined below), make investments in portfolio companies in accordance with its investment objectives, and for general corporate purposes.</w:t>
      </w:r>
    </w:p>
    <w:p>
      <w:pPr>
        <w:spacing w:after="0" w:line="69"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14"/>
          <w:szCs w:val="14"/>
          <w:color w:val="auto"/>
        </w:rPr>
        <w:t>The New Notes were issued under the Indenture governing the 4.875% Notes due 2026. The New Notes were issued as “Additional Notes” under the Indenture and have identical terms to Company’s $80.0 million of aggregate principal amount of 4.875% Notes due 2026 that were issued on April 30, 2021, other than the issue date. The New Notes will be treated as a single class of notes with the Company’s existing 4.875% Notes due 2026 for all purposes under the Indenture.</w:t>
      </w:r>
    </w:p>
    <w:p>
      <w:pPr>
        <w:spacing w:after="0" w:line="69"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4"/>
          <w:szCs w:val="14"/>
          <w:color w:val="auto"/>
        </w:rPr>
        <w:t>In connection with the issuance of the 4.875% Notes Due 2026, (including the New Notes) the Company incurred approximately $2.4 million of original issue discount, and $1.2 million of debt offering costs, both of which are being amortized over the expected term of the facility on an effective yield method.</w:t>
      </w:r>
    </w:p>
    <w:p>
      <w:pPr>
        <w:spacing w:after="0" w:line="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Exchange of 4.875% Notes due 2026</w:t>
      </w:r>
    </w:p>
    <w:p>
      <w:pPr>
        <w:spacing w:after="0" w:line="98" w:lineRule="exact"/>
        <w:rPr>
          <w:sz w:val="20"/>
          <w:szCs w:val="20"/>
          <w:color w:val="auto"/>
        </w:rPr>
      </w:pPr>
    </w:p>
    <w:p>
      <w:pPr>
        <w:ind w:right="140" w:firstLine="374"/>
        <w:spacing w:after="0" w:line="229" w:lineRule="auto"/>
        <w:rPr>
          <w:sz w:val="20"/>
          <w:szCs w:val="20"/>
          <w:color w:val="auto"/>
        </w:rPr>
      </w:pPr>
      <w:r>
        <w:rPr>
          <w:rFonts w:ascii="Times New Roman" w:cs="Times New Roman" w:eastAsia="Times New Roman" w:hAnsi="Times New Roman"/>
          <w:sz w:val="14"/>
          <w:szCs w:val="14"/>
          <w:color w:val="auto"/>
        </w:rPr>
        <w:t>On October 5, 2021, the Company filed with the SEC a registration statement relating to an offer to exchange the 4.875% Notes due 2026 for new notes issued by the Company that are registered under the Securities Act (the “Exchange Offer”), which registration statement was declared effective on December 2, 2021. Upon the terms and subject to the conditions in the prospectus relating to the Exchange Offer, the Company accepted any existing 4.875% Notes due 2026 (the “Restricted Notes”) validly tendered and not withdrawn prior to January 3, 2022, the expiration date of the Exchange Offer, and issued new 4.875% Notes due 2026 that have been registered under the Securities Act (the “Exchange Notes”). The form and terms of the Exchange Notes are substantially identical to those of the Restricted Notes, except that the transfer restrictions and registration rights relating to the Restricted Notes do not apply to the Exchange Notes, and the Exchange Notes do not provide for the payment of additional interest in the event of a registration default. In addition, the Exchange Notes bear a different CUSIP number than the Restricted Notes. The Exchange Notes are issued under and entitled to the benefits of the same indenture that authorized the issuance of the Restricted Notes.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On the expiration date of the Exchange Offer, all of the Restricted Notes had been validly tendered, and all of the outstanding Restricted Notes were exchanged for newly issued Exchange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Fair Value of 4.875% Notes due 2026.</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1" w:lineRule="exact"/>
        <w:rPr>
          <w:sz w:val="20"/>
          <w:szCs w:val="20"/>
          <w:color w:val="auto"/>
        </w:rPr>
      </w:pPr>
    </w:p>
    <w:p>
      <w:pPr>
        <w:ind w:right="20" w:firstLine="374"/>
        <w:spacing w:after="0" w:line="241" w:lineRule="auto"/>
        <w:rPr>
          <w:sz w:val="20"/>
          <w:szCs w:val="20"/>
          <w:color w:val="auto"/>
        </w:rPr>
      </w:pPr>
      <w:r>
        <w:rPr>
          <w:rFonts w:ascii="Times New Roman" w:cs="Times New Roman" w:eastAsia="Times New Roman" w:hAnsi="Times New Roman"/>
          <w:sz w:val="14"/>
          <w:szCs w:val="14"/>
          <w:color w:val="auto"/>
        </w:rPr>
        <w:t>The 4.875% Notes due 2026 were issued during the second quarter of 2021 and are carried at cost, net of unamortized discount of approximately $1.0 million and unamortized offering costs of approximately $0.4 million as of June 30, 2024. The fair value of the Company’s outstanding 4.875% Notes due 2026 disclosed, but not carried, was approximately $100.5 million at June 30, 2024. The 4.875% Notes due 2026 were categorized as Level III under the ASC 820 Fair Value.</w:t>
      </w:r>
    </w:p>
    <w:p>
      <w:pPr>
        <w:spacing w:after="0" w:line="69" w:lineRule="exact"/>
        <w:rPr>
          <w:sz w:val="20"/>
          <w:szCs w:val="20"/>
          <w:color w:val="auto"/>
        </w:rPr>
      </w:pPr>
    </w:p>
    <w:p>
      <w:pPr>
        <w:jc w:val="both"/>
        <w:ind w:right="380" w:firstLine="374"/>
        <w:spacing w:after="0" w:line="241" w:lineRule="auto"/>
        <w:rPr>
          <w:sz w:val="20"/>
          <w:szCs w:val="20"/>
          <w:color w:val="auto"/>
        </w:rPr>
      </w:pPr>
      <w:r>
        <w:rPr>
          <w:rFonts w:ascii="Times New Roman" w:cs="Times New Roman" w:eastAsia="Times New Roman" w:hAnsi="Times New Roman"/>
          <w:sz w:val="14"/>
          <w:szCs w:val="14"/>
          <w:color w:val="auto"/>
        </w:rPr>
        <w:t>As of December 31, 2023, the 4.875% Notes due 2026 were carried net of unamortized discount of approximately $1.2 million and unamortized offering costs of approximately $561 thousand. The fair value of the 4.875% Notes due 2026 was approximated at carrying value on the consolidated balance sheets and the 4.875% Notes due 2026 were categorized as Level III under the ASC 820 Fair Value Hierarchy. The fair value of the Company’s outstanding 4.875% Notes due 2026 was approximately $106.2 million at December 31, 2023.</w:t>
      </w:r>
    </w:p>
    <w:p>
      <w:pPr>
        <w:spacing w:after="0" w:line="69"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4"/>
          <w:szCs w:val="14"/>
          <w:color w:val="auto"/>
        </w:rPr>
        <w:t>The following table summarizes the interest expense, amortization of original issue discount, deferred financing costs, average outstanding balance, and average stated interest rate on the 4.875% Notes due 2026 for the three and six months ended June 30, 2024 and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80" w:type="dxa"/>
            <w:vAlign w:val="bottom"/>
          </w:tcPr>
          <w:p>
            <w:pPr>
              <w:spacing w:after="0"/>
              <w:rPr>
                <w:sz w:val="16"/>
                <w:szCs w:val="16"/>
                <w:color w:val="auto"/>
              </w:rPr>
            </w:pPr>
          </w:p>
        </w:tc>
        <w:tc>
          <w:tcPr>
            <w:tcW w:w="31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4"/>
                <w:szCs w:val="14"/>
                <w:color w:val="auto"/>
              </w:rPr>
            </w:pPr>
          </w:p>
        </w:tc>
        <w:tc>
          <w:tcPr>
            <w:tcW w:w="1780" w:type="dxa"/>
            <w:vAlign w:val="bottom"/>
            <w:tcBorders>
              <w:top w:val="single" w:sz="8" w:color="auto"/>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r>
      <w:tr>
        <w:trPr>
          <w:trHeight w:val="169"/>
        </w:trPr>
        <w:tc>
          <w:tcPr>
            <w:tcW w:w="4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1,317</w:t>
            </w: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1,317</w:t>
            </w:r>
          </w:p>
        </w:tc>
        <w:tc>
          <w:tcPr>
            <w:tcW w:w="3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2,633</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2,633</w:t>
            </w:r>
          </w:p>
        </w:tc>
        <w:tc>
          <w:tcPr>
            <w:tcW w:w="20" w:type="dxa"/>
            <w:vAlign w:val="bottom"/>
          </w:tcPr>
          <w:p>
            <w:pPr>
              <w:spacing w:after="0"/>
              <w:rPr>
                <w:sz w:val="14"/>
                <w:szCs w:val="14"/>
                <w:color w:val="auto"/>
              </w:rPr>
            </w:pPr>
          </w:p>
        </w:tc>
      </w:tr>
      <w:tr>
        <w:trPr>
          <w:trHeight w:val="176"/>
        </w:trPr>
        <w:tc>
          <w:tcPr>
            <w:tcW w:w="4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Amortization of original issue discount</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125</w:t>
            </w:r>
          </w:p>
        </w:tc>
        <w:tc>
          <w:tcPr>
            <w:tcW w:w="3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119</w:t>
            </w:r>
          </w:p>
        </w:tc>
        <w:tc>
          <w:tcPr>
            <w:tcW w:w="380" w:type="dxa"/>
            <w:vAlign w:val="bottom"/>
            <w:shd w:val="clear" w:color="auto" w:fill="CFF0FC"/>
          </w:tcPr>
          <w:p>
            <w:pPr>
              <w:spacing w:after="0"/>
              <w:rPr>
                <w:sz w:val="15"/>
                <w:szCs w:val="15"/>
                <w:color w:val="auto"/>
              </w:rPr>
            </w:pPr>
          </w:p>
        </w:tc>
        <w:tc>
          <w:tcPr>
            <w:tcW w:w="1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249</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236</w:t>
            </w:r>
          </w:p>
        </w:tc>
        <w:tc>
          <w:tcPr>
            <w:tcW w:w="20" w:type="dxa"/>
            <w:vAlign w:val="bottom"/>
          </w:tcPr>
          <w:p>
            <w:pPr>
              <w:spacing w:after="0"/>
              <w:rPr>
                <w:sz w:val="15"/>
                <w:szCs w:val="15"/>
                <w:color w:val="auto"/>
              </w:rPr>
            </w:pPr>
          </w:p>
        </w:tc>
      </w:tr>
      <w:tr>
        <w:trPr>
          <w:trHeight w:val="175"/>
        </w:trPr>
        <w:tc>
          <w:tcPr>
            <w:tcW w:w="4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financing costs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67</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133</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127</w:t>
            </w:r>
          </w:p>
        </w:tc>
        <w:tc>
          <w:tcPr>
            <w:tcW w:w="20" w:type="dxa"/>
            <w:vAlign w:val="bottom"/>
          </w:tcPr>
          <w:p>
            <w:pPr>
              <w:spacing w:after="0"/>
              <w:rPr>
                <w:sz w:val="15"/>
                <w:szCs w:val="15"/>
                <w:color w:val="auto"/>
              </w:rPr>
            </w:pPr>
          </w:p>
        </w:tc>
      </w:tr>
      <w:tr>
        <w:trPr>
          <w:trHeight w:val="209"/>
        </w:trPr>
        <w:tc>
          <w:tcPr>
            <w:tcW w:w="4760" w:type="dxa"/>
            <w:vAlign w:val="bottom"/>
            <w:tcBorders>
              <w:bottom w:val="single" w:sz="8" w:color="CFF0FC"/>
            </w:tcBorders>
            <w:shd w:val="clear" w:color="auto" w:fill="CFF0FC"/>
          </w:tcPr>
          <w:p>
            <w:pPr>
              <w:ind w:left="240"/>
              <w:spacing w:after="0" w:line="155" w:lineRule="exact"/>
              <w:rPr>
                <w:sz w:val="20"/>
                <w:szCs w:val="20"/>
                <w:color w:val="auto"/>
              </w:rPr>
            </w:pPr>
            <w:r>
              <w:rPr>
                <w:rFonts w:ascii="Times New Roman" w:cs="Times New Roman" w:eastAsia="Times New Roman" w:hAnsi="Times New Roman"/>
                <w:sz w:val="14"/>
                <w:szCs w:val="14"/>
                <w:color w:val="auto"/>
              </w:rPr>
              <w:t>Total interest and financing expenses</w:t>
            </w: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1,509</w:t>
            </w:r>
          </w:p>
        </w:tc>
        <w:tc>
          <w:tcPr>
            <w:tcW w:w="340" w:type="dxa"/>
            <w:vAlign w:val="bottom"/>
            <w:tcBorders>
              <w:bottom w:val="single" w:sz="8" w:color="auto"/>
            </w:tcBorders>
            <w:shd w:val="clear" w:color="auto" w:fill="CFF0FC"/>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1,500</w:t>
            </w:r>
          </w:p>
        </w:tc>
        <w:tc>
          <w:tcPr>
            <w:tcW w:w="38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3,015</w:t>
            </w:r>
          </w:p>
        </w:tc>
        <w:tc>
          <w:tcPr>
            <w:tcW w:w="30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2,996</w:t>
            </w:r>
          </w:p>
        </w:tc>
        <w:tc>
          <w:tcPr>
            <w:tcW w:w="20" w:type="dxa"/>
            <w:vAlign w:val="bottom"/>
          </w:tcPr>
          <w:p>
            <w:pPr>
              <w:spacing w:after="0"/>
              <w:rPr>
                <w:sz w:val="18"/>
                <w:szCs w:val="18"/>
                <w:color w:val="auto"/>
              </w:rPr>
            </w:pPr>
          </w:p>
        </w:tc>
      </w:tr>
      <w:tr>
        <w:trPr>
          <w:trHeight w:val="156"/>
        </w:trPr>
        <w:tc>
          <w:tcPr>
            <w:tcW w:w="4760" w:type="dxa"/>
            <w:vAlign w:val="bottom"/>
          </w:tcPr>
          <w:p>
            <w:pPr>
              <w:ind w:left="220"/>
              <w:spacing w:after="0" w:line="156" w:lineRule="exact"/>
              <w:rPr>
                <w:sz w:val="20"/>
                <w:szCs w:val="20"/>
                <w:color w:val="auto"/>
              </w:rPr>
            </w:pPr>
            <w:r>
              <w:rPr>
                <w:rFonts w:ascii="Times New Roman" w:cs="Times New Roman" w:eastAsia="Times New Roman" w:hAnsi="Times New Roman"/>
                <w:sz w:val="14"/>
                <w:szCs w:val="14"/>
                <w:color w:val="auto"/>
              </w:rPr>
              <w:t>Average outstanding balance</w:t>
            </w:r>
          </w:p>
        </w:tc>
        <w:tc>
          <w:tcPr>
            <w:tcW w:w="20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108,000</w:t>
            </w: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108,000</w:t>
            </w:r>
          </w:p>
        </w:tc>
        <w:tc>
          <w:tcPr>
            <w:tcW w:w="380" w:type="dxa"/>
            <w:vAlign w:val="bottom"/>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108,000</w:t>
            </w:r>
          </w:p>
        </w:tc>
        <w:tc>
          <w:tcPr>
            <w:tcW w:w="300" w:type="dxa"/>
            <w:vAlign w:val="bottom"/>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108,000</w:t>
            </w:r>
          </w:p>
        </w:tc>
        <w:tc>
          <w:tcPr>
            <w:tcW w:w="20" w:type="dxa"/>
            <w:vAlign w:val="bottom"/>
          </w:tcPr>
          <w:p>
            <w:pPr>
              <w:spacing w:after="0"/>
              <w:rPr>
                <w:sz w:val="13"/>
                <w:szCs w:val="13"/>
                <w:color w:val="auto"/>
              </w:rPr>
            </w:pPr>
          </w:p>
        </w:tc>
      </w:tr>
      <w:tr>
        <w:trPr>
          <w:trHeight w:val="176"/>
        </w:trPr>
        <w:tc>
          <w:tcPr>
            <w:tcW w:w="4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Average stated interest rate</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4.88 %</w:t>
            </w:r>
          </w:p>
        </w:tc>
        <w:tc>
          <w:tcPr>
            <w:tcW w:w="3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4.88 %</w:t>
            </w:r>
          </w:p>
        </w:tc>
        <w:tc>
          <w:tcPr>
            <w:tcW w:w="20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4.88 %</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4.88 %</w:t>
            </w:r>
          </w:p>
        </w:tc>
        <w:tc>
          <w:tcPr>
            <w:tcW w:w="20" w:type="dxa"/>
            <w:vAlign w:val="bottom"/>
          </w:tcPr>
          <w:p>
            <w:pPr>
              <w:spacing w:after="0"/>
              <w:rPr>
                <w:sz w:val="15"/>
                <w:szCs w:val="15"/>
                <w:color w:val="auto"/>
              </w:rPr>
            </w:pPr>
          </w:p>
        </w:tc>
      </w:tr>
    </w:tbl>
    <w:p>
      <w:pPr>
        <w:spacing w:after="0" w:line="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98" w:lineRule="exact"/>
        <w:rPr>
          <w:sz w:val="20"/>
          <w:szCs w:val="20"/>
          <w:color w:val="auto"/>
        </w:rPr>
      </w:pPr>
    </w:p>
    <w:p>
      <w:pPr>
        <w:ind w:right="200" w:firstLine="374"/>
        <w:spacing w:after="0" w:line="241" w:lineRule="auto"/>
        <w:rPr>
          <w:sz w:val="20"/>
          <w:szCs w:val="20"/>
          <w:color w:val="auto"/>
        </w:rPr>
      </w:pPr>
      <w:r>
        <w:rPr>
          <w:rFonts w:ascii="Times New Roman" w:cs="Times New Roman" w:eastAsia="Times New Roman" w:hAnsi="Times New Roman"/>
          <w:sz w:val="14"/>
          <w:szCs w:val="14"/>
          <w:color w:val="auto"/>
        </w:rPr>
        <w:t>On December 18, 2019, Great Lakes Portman Ridge Funding LLC (“GLPRF LLC”), our wholly-owned subsidiary,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we serve as portfolio manager under the Revolving Credit Facility.</w:t>
      </w:r>
    </w:p>
    <w:p>
      <w:pPr>
        <w:spacing w:after="0" w:line="69" w:lineRule="exact"/>
        <w:rPr>
          <w:sz w:val="20"/>
          <w:szCs w:val="20"/>
          <w:color w:val="auto"/>
        </w:rPr>
      </w:pPr>
    </w:p>
    <w:p>
      <w:pPr>
        <w:ind w:right="80" w:firstLine="374"/>
        <w:spacing w:after="0" w:line="236" w:lineRule="auto"/>
        <w:rPr>
          <w:sz w:val="20"/>
          <w:szCs w:val="20"/>
          <w:color w:val="auto"/>
        </w:rPr>
      </w:pPr>
      <w:r>
        <w:rPr>
          <w:rFonts w:ascii="Times New Roman" w:cs="Times New Roman" w:eastAsia="Times New Roman" w:hAnsi="Times New Roman"/>
          <w:sz w:val="14"/>
          <w:szCs w:val="14"/>
          <w:color w:val="auto"/>
        </w:rPr>
        <w:t>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69" w:lineRule="exact"/>
        <w:rPr>
          <w:sz w:val="20"/>
          <w:szCs w:val="20"/>
          <w:color w:val="auto"/>
        </w:rPr>
      </w:pPr>
    </w:p>
    <w:p>
      <w:pPr>
        <w:ind w:right="40" w:firstLine="374"/>
        <w:spacing w:after="0" w:line="241" w:lineRule="auto"/>
        <w:rPr>
          <w:sz w:val="20"/>
          <w:szCs w:val="20"/>
          <w:color w:val="auto"/>
        </w:rPr>
      </w:pPr>
      <w:r>
        <w:rPr>
          <w:rFonts w:ascii="Times New Roman" w:cs="Times New Roman" w:eastAsia="Times New Roman" w:hAnsi="Times New Roman"/>
          <w:sz w:val="14"/>
          <w:szCs w:val="14"/>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w:t>
      </w:r>
    </w:p>
    <w:p>
      <w:pPr>
        <w:spacing w:after="0" w:line="69" w:lineRule="exact"/>
        <w:rPr>
          <w:sz w:val="20"/>
          <w:szCs w:val="20"/>
          <w:color w:val="auto"/>
        </w:rPr>
      </w:pPr>
    </w:p>
    <w:p>
      <w:pPr>
        <w:ind w:right="160" w:firstLine="374"/>
        <w:spacing w:after="0" w:line="233" w:lineRule="auto"/>
        <w:rPr>
          <w:sz w:val="20"/>
          <w:szCs w:val="20"/>
          <w:color w:val="auto"/>
        </w:rPr>
      </w:pPr>
      <w:r>
        <w:rPr>
          <w:rFonts w:ascii="Times New Roman" w:cs="Times New Roman" w:eastAsia="Times New Roman" w:hAnsi="Times New Roman"/>
          <w:sz w:val="14"/>
          <w:szCs w:val="14"/>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us, and our exposure under the Revolving Credit Facility is limited to the value of our investment in GLPRF LLC. 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we are no longer the portfolio manager of GLPRF LLC.</w:t>
      </w:r>
    </w:p>
    <w:p>
      <w:pPr>
        <w:spacing w:after="0" w:line="69" w:lineRule="exact"/>
        <w:rPr>
          <w:sz w:val="20"/>
          <w:szCs w:val="20"/>
          <w:color w:val="auto"/>
        </w:rPr>
      </w:pPr>
    </w:p>
    <w:p>
      <w:pPr>
        <w:jc w:val="both"/>
        <w:ind w:right="100" w:firstLine="374"/>
        <w:spacing w:after="0" w:line="241" w:lineRule="auto"/>
        <w:rPr>
          <w:sz w:val="20"/>
          <w:szCs w:val="20"/>
          <w:color w:val="auto"/>
        </w:rPr>
      </w:pPr>
      <w:r>
        <w:rPr>
          <w:rFonts w:ascii="Times New Roman" w:cs="Times New Roman" w:eastAsia="Times New Roman" w:hAnsi="Times New Roman"/>
          <w:sz w:val="14"/>
          <w:szCs w:val="14"/>
          <w:color w:val="auto"/>
        </w:rPr>
        <w:t>On April 29, 2022, GLPRF LLC amended the Revolving Credit Facility with JPM as administrative agent. The amended agreement replaces three-month SOFR as the benchmark interest rate and reduces the applicable margin to 2.80% per annum from 2.85% per annum. Other amendments include the extension of the reinvestment period and scheduled termination date to April 29, 2025 and April 29, 2026, respectively.</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At June 30, 2024, GLPRF LLC was in compliance with all of its debt covenants and $92.0 million principal amount of borrowings was outstanding under the Revolving Credit Facility.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GLPRF LLC disclosed, but not carried, was approximately $92.5 million at June 30, 2024 and categorized as Level III under the ASC 820 Fair Value Hierarchy.</w:t>
      </w:r>
    </w:p>
    <w:p>
      <w:pPr>
        <w:spacing w:after="0" w:line="80" w:lineRule="exact"/>
        <w:rPr>
          <w:sz w:val="20"/>
          <w:szCs w:val="20"/>
          <w:color w:val="auto"/>
        </w:rPr>
      </w:pPr>
    </w:p>
    <w:p>
      <w:pPr>
        <w:ind w:right="200" w:firstLine="374"/>
        <w:spacing w:after="0" w:line="241" w:lineRule="auto"/>
        <w:rPr>
          <w:sz w:val="20"/>
          <w:szCs w:val="20"/>
          <w:color w:val="auto"/>
        </w:rPr>
      </w:pPr>
      <w:r>
        <w:rPr>
          <w:rFonts w:ascii="Times New Roman" w:cs="Times New Roman" w:eastAsia="Times New Roman" w:hAnsi="Times New Roman"/>
          <w:sz w:val="14"/>
          <w:szCs w:val="14"/>
          <w:color w:val="auto"/>
        </w:rPr>
        <w:t>At December 31, 2023, GLPRF LLC was in compliance with all of its debt covenants and $92.0 million principal amount of borrowings was outstanding under the Revolving Credit Facility. The fair value of GLPRF LLC was approximated at carrying value on the consolidated balance sheets and is categorized as Level III under the ASC 820 Fair Value Hierarchy. The fair value of GLPRF LLC was approximately $91.2 million at December 31, 2023.</w:t>
      </w:r>
    </w:p>
    <w:p>
      <w:pPr>
        <w:spacing w:after="0" w:line="69"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4"/>
          <w:szCs w:val="14"/>
          <w:color w:val="auto"/>
        </w:rPr>
        <w:t>The following table summarizes the interest expense, deferred financing costs, average outstanding balance, and average stated interest rate on the Revolving Credit Facility for the three and six months ended June 30, 2024 and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80" w:type="dxa"/>
            <w:vAlign w:val="bottom"/>
          </w:tcPr>
          <w:p>
            <w:pPr>
              <w:spacing w:after="0"/>
              <w:rPr>
                <w:sz w:val="16"/>
                <w:szCs w:val="16"/>
                <w:color w:val="auto"/>
              </w:rPr>
            </w:pPr>
          </w:p>
        </w:tc>
        <w:tc>
          <w:tcPr>
            <w:tcW w:w="31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4"/>
                <w:szCs w:val="14"/>
                <w:color w:val="auto"/>
              </w:rPr>
            </w:pPr>
          </w:p>
        </w:tc>
        <w:tc>
          <w:tcPr>
            <w:tcW w:w="1780" w:type="dxa"/>
            <w:vAlign w:val="bottom"/>
            <w:tcBorders>
              <w:top w:val="single" w:sz="8" w:color="auto"/>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r>
      <w:tr>
        <w:trPr>
          <w:trHeight w:val="169"/>
        </w:trPr>
        <w:tc>
          <w:tcPr>
            <w:tcW w:w="4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1,929</w:t>
            </w: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1,845</w:t>
            </w:r>
          </w:p>
        </w:tc>
        <w:tc>
          <w:tcPr>
            <w:tcW w:w="3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3,865</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3,579</w:t>
            </w:r>
          </w:p>
        </w:tc>
        <w:tc>
          <w:tcPr>
            <w:tcW w:w="20" w:type="dxa"/>
            <w:vAlign w:val="bottom"/>
          </w:tcPr>
          <w:p>
            <w:pPr>
              <w:spacing w:after="0"/>
              <w:rPr>
                <w:sz w:val="14"/>
                <w:szCs w:val="14"/>
                <w:color w:val="auto"/>
              </w:rPr>
            </w:pPr>
          </w:p>
        </w:tc>
      </w:tr>
      <w:tr>
        <w:trPr>
          <w:trHeight w:val="176"/>
        </w:trPr>
        <w:tc>
          <w:tcPr>
            <w:tcW w:w="47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Deferred financing costs</w:t>
            </w:r>
          </w:p>
        </w:tc>
        <w:tc>
          <w:tcPr>
            <w:tcW w:w="2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83</w:t>
            </w:r>
          </w:p>
        </w:tc>
        <w:tc>
          <w:tcPr>
            <w:tcW w:w="34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380" w:type="dxa"/>
            <w:vAlign w:val="bottom"/>
            <w:tcBorders>
              <w:bottom w:val="single" w:sz="8" w:color="auto"/>
            </w:tcBorders>
            <w:shd w:val="clear" w:color="auto" w:fill="CFF0FC"/>
          </w:tcPr>
          <w:p>
            <w:pPr>
              <w:spacing w:after="0"/>
              <w:rPr>
                <w:sz w:val="15"/>
                <w:szCs w:val="15"/>
                <w:color w:val="auto"/>
              </w:rPr>
            </w:pPr>
          </w:p>
        </w:tc>
        <w:tc>
          <w:tcPr>
            <w:tcW w:w="17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166</w:t>
            </w: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166</w:t>
            </w:r>
          </w:p>
        </w:tc>
        <w:tc>
          <w:tcPr>
            <w:tcW w:w="20" w:type="dxa"/>
            <w:vAlign w:val="bottom"/>
          </w:tcPr>
          <w:p>
            <w:pPr>
              <w:spacing w:after="0"/>
              <w:rPr>
                <w:sz w:val="15"/>
                <w:szCs w:val="15"/>
                <w:color w:val="auto"/>
              </w:rPr>
            </w:pPr>
          </w:p>
        </w:tc>
      </w:tr>
      <w:tr>
        <w:trPr>
          <w:trHeight w:val="169"/>
        </w:trPr>
        <w:tc>
          <w:tcPr>
            <w:tcW w:w="4760" w:type="dxa"/>
            <w:vAlign w:val="bottom"/>
          </w:tcPr>
          <w:p>
            <w:pPr>
              <w:ind w:left="240"/>
              <w:spacing w:after="0" w:line="155" w:lineRule="exact"/>
              <w:rPr>
                <w:sz w:val="20"/>
                <w:szCs w:val="20"/>
                <w:color w:val="auto"/>
              </w:rPr>
            </w:pPr>
            <w:r>
              <w:rPr>
                <w:rFonts w:ascii="Times New Roman" w:cs="Times New Roman" w:eastAsia="Times New Roman" w:hAnsi="Times New Roman"/>
                <w:sz w:val="14"/>
                <w:szCs w:val="14"/>
                <w:color w:val="auto"/>
              </w:rPr>
              <w:t>Total interest and financing expenses</w:t>
            </w: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89"/>
              <w:spacing w:after="0" w:line="155" w:lineRule="exact"/>
              <w:rPr>
                <w:sz w:val="20"/>
                <w:szCs w:val="20"/>
                <w:color w:val="auto"/>
              </w:rPr>
            </w:pPr>
            <w:r>
              <w:rPr>
                <w:rFonts w:ascii="Times New Roman" w:cs="Times New Roman" w:eastAsia="Times New Roman" w:hAnsi="Times New Roman"/>
                <w:sz w:val="14"/>
                <w:szCs w:val="14"/>
                <w:color w:val="auto"/>
              </w:rPr>
              <w:t>2,012</w:t>
            </w: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1,928</w:t>
            </w:r>
          </w:p>
        </w:tc>
        <w:tc>
          <w:tcPr>
            <w:tcW w:w="38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4,031</w:t>
            </w:r>
          </w:p>
        </w:tc>
        <w:tc>
          <w:tcPr>
            <w:tcW w:w="30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3,745</w:t>
            </w:r>
          </w:p>
        </w:tc>
        <w:tc>
          <w:tcPr>
            <w:tcW w:w="20" w:type="dxa"/>
            <w:vAlign w:val="bottom"/>
          </w:tcPr>
          <w:p>
            <w:pPr>
              <w:spacing w:after="0"/>
              <w:rPr>
                <w:sz w:val="14"/>
                <w:szCs w:val="14"/>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4760" w:type="dxa"/>
            <w:vAlign w:val="bottom"/>
            <w:shd w:val="clear" w:color="auto" w:fill="CFF0FC"/>
          </w:tcPr>
          <w:p>
            <w:pPr>
              <w:ind w:left="220"/>
              <w:spacing w:after="0" w:line="156" w:lineRule="exact"/>
              <w:rPr>
                <w:sz w:val="20"/>
                <w:szCs w:val="20"/>
                <w:color w:val="auto"/>
              </w:rPr>
            </w:pPr>
            <w:r>
              <w:rPr>
                <w:rFonts w:ascii="Times New Roman" w:cs="Times New Roman" w:eastAsia="Times New Roman" w:hAnsi="Times New Roman"/>
                <w:sz w:val="14"/>
                <w:szCs w:val="14"/>
                <w:color w:val="auto"/>
              </w:rPr>
              <w:t>Average outstanding balance</w:t>
            </w:r>
          </w:p>
        </w:tc>
        <w:tc>
          <w:tcPr>
            <w:tcW w:w="20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ind w:right="89"/>
              <w:spacing w:after="0" w:line="156" w:lineRule="exact"/>
              <w:rPr>
                <w:sz w:val="20"/>
                <w:szCs w:val="20"/>
                <w:color w:val="auto"/>
              </w:rPr>
            </w:pPr>
            <w:r>
              <w:rPr>
                <w:rFonts w:ascii="Times New Roman" w:cs="Times New Roman" w:eastAsia="Times New Roman" w:hAnsi="Times New Roman"/>
                <w:sz w:val="14"/>
                <w:szCs w:val="14"/>
                <w:color w:val="auto"/>
              </w:rPr>
              <w:t>92,000</w:t>
            </w:r>
          </w:p>
        </w:tc>
        <w:tc>
          <w:tcPr>
            <w:tcW w:w="340" w:type="dxa"/>
            <w:vAlign w:val="bottom"/>
            <w:shd w:val="clear" w:color="auto" w:fill="CFF0FC"/>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92,264</w:t>
            </w:r>
          </w:p>
        </w:tc>
        <w:tc>
          <w:tcPr>
            <w:tcW w:w="380" w:type="dxa"/>
            <w:vAlign w:val="bottom"/>
            <w:shd w:val="clear" w:color="auto" w:fill="CFF0FC"/>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92,000</w:t>
            </w:r>
          </w:p>
        </w:tc>
        <w:tc>
          <w:tcPr>
            <w:tcW w:w="300" w:type="dxa"/>
            <w:vAlign w:val="bottom"/>
            <w:shd w:val="clear" w:color="auto" w:fill="CFF0FC"/>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92,014</w:t>
            </w:r>
          </w:p>
        </w:tc>
        <w:tc>
          <w:tcPr>
            <w:tcW w:w="20" w:type="dxa"/>
            <w:vAlign w:val="bottom"/>
          </w:tcPr>
          <w:p>
            <w:pPr>
              <w:spacing w:after="0"/>
              <w:rPr>
                <w:sz w:val="13"/>
                <w:szCs w:val="13"/>
                <w:color w:val="auto"/>
              </w:rPr>
            </w:pPr>
          </w:p>
        </w:tc>
      </w:tr>
      <w:tr>
        <w:trPr>
          <w:trHeight w:val="188"/>
        </w:trPr>
        <w:tc>
          <w:tcPr>
            <w:tcW w:w="4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stated interest rate</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8.11 %</w:t>
            </w:r>
          </w:p>
        </w:tc>
        <w:tc>
          <w:tcPr>
            <w:tcW w:w="340" w:type="dxa"/>
            <w:vAlign w:val="bottom"/>
          </w:tcPr>
          <w:p>
            <w:pPr>
              <w:spacing w:after="0"/>
              <w:rPr>
                <w:sz w:val="16"/>
                <w:szCs w:val="16"/>
                <w:color w:val="auto"/>
              </w:rPr>
            </w:pPr>
          </w:p>
        </w:tc>
        <w:tc>
          <w:tcPr>
            <w:tcW w:w="16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7.71 %</w:t>
            </w:r>
          </w:p>
        </w:tc>
        <w:tc>
          <w:tcPr>
            <w:tcW w:w="20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8.12 %</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7.54 %</w:t>
            </w:r>
          </w:p>
        </w:tc>
        <w:tc>
          <w:tcPr>
            <w:tcW w:w="20" w:type="dxa"/>
            <w:vAlign w:val="bottom"/>
          </w:tcPr>
          <w:p>
            <w:pPr>
              <w:spacing w:after="0"/>
              <w:rPr>
                <w:sz w:val="16"/>
                <w:szCs w:val="16"/>
                <w:color w:val="auto"/>
              </w:rPr>
            </w:pPr>
          </w:p>
        </w:tc>
      </w:tr>
      <w:tr>
        <w:trPr>
          <w:trHeight w:val="714"/>
        </w:trPr>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429"/>
              <w:spacing w:after="0"/>
              <w:rPr>
                <w:sz w:val="20"/>
                <w:szCs w:val="20"/>
                <w:color w:val="auto"/>
              </w:rPr>
            </w:pPr>
            <w:r>
              <w:rPr>
                <w:rFonts w:ascii="Times New Roman" w:cs="Times New Roman" w:eastAsia="Times New Roman" w:hAnsi="Times New Roman"/>
                <w:sz w:val="13"/>
                <w:szCs w:val="13"/>
                <w:color w:val="auto"/>
              </w:rPr>
              <w:t>38</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39"/>
        </w:trPr>
        <w:tc>
          <w:tcPr>
            <w:tcW w:w="4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63"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2018-2 Secured Notes: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0" w:type="dxa"/>
            <w:vAlign w:val="bottom"/>
          </w:tcPr>
          <w:p>
            <w:pPr>
              <w:spacing w:after="0"/>
              <w:rPr>
                <w:sz w:val="12"/>
                <w:szCs w:val="12"/>
                <w:color w:val="auto"/>
              </w:rPr>
            </w:pP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20" w:type="dxa"/>
            <w:vAlign w:val="bottom"/>
          </w:tcPr>
          <w:p>
            <w:pPr>
              <w:spacing w:after="0"/>
              <w:rPr>
                <w:sz w:val="12"/>
                <w:szCs w:val="12"/>
                <w:color w:val="auto"/>
              </w:rPr>
            </w:pPr>
          </w:p>
        </w:tc>
        <w:tc>
          <w:tcPr>
            <w:tcW w:w="9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11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Stated </w:t>
            </w:r>
            <w:r>
              <w:rPr>
                <w:rFonts w:ascii="Times New Roman" w:cs="Times New Roman" w:eastAsia="Times New Roman" w:hAnsi="Times New Roman"/>
                <w:sz w:val="19"/>
                <w:szCs w:val="19"/>
                <w:b w:val="1"/>
                <w:bCs w:val="1"/>
                <w:color w:val="auto"/>
                <w:vertAlign w:val="subscript"/>
              </w:rPr>
              <w:t>(2)</w:t>
            </w: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940" w:type="dxa"/>
            <w:vAlign w:val="bottom"/>
          </w:tcPr>
          <w:p>
            <w:pPr>
              <w:jc w:val="right"/>
              <w:ind w:right="652"/>
              <w:spacing w:after="0"/>
              <w:rPr>
                <w:sz w:val="20"/>
                <w:szCs w:val="20"/>
                <w:color w:val="auto"/>
              </w:rPr>
            </w:pPr>
            <w:r>
              <w:rPr>
                <w:rFonts w:ascii="Times New Roman" w:cs="Times New Roman" w:eastAsia="Times New Roman" w:hAnsi="Times New Roman"/>
                <w:sz w:val="10"/>
                <w:szCs w:val="10"/>
                <w:b w:val="1"/>
                <w:bCs w:val="1"/>
                <w:color w:val="auto"/>
              </w:rPr>
              <w:t>(4)</w:t>
            </w:r>
          </w:p>
        </w:tc>
        <w:tc>
          <w:tcPr>
            <w:tcW w:w="1460" w:type="dxa"/>
            <w:vAlign w:val="bottom"/>
            <w:gridSpan w:val="2"/>
          </w:tcPr>
          <w:p>
            <w:pPr>
              <w:jc w:val="right"/>
              <w:ind w:right="328"/>
              <w:spacing w:after="0"/>
              <w:rPr>
                <w:sz w:val="20"/>
                <w:szCs w:val="20"/>
                <w:color w:val="auto"/>
              </w:rPr>
            </w:pPr>
            <w:r>
              <w:rPr>
                <w:rFonts w:ascii="Times New Roman" w:cs="Times New Roman" w:eastAsia="Times New Roman" w:hAnsi="Times New Roman"/>
                <w:sz w:val="10"/>
                <w:szCs w:val="10"/>
                <w:b w:val="1"/>
                <w:bCs w:val="1"/>
                <w:color w:val="auto"/>
              </w:rPr>
              <w:t>(1)</w:t>
            </w: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3860" w:type="dxa"/>
            <w:vAlign w:val="bottom"/>
            <w:tcBorders>
              <w:bottom w:val="single" w:sz="8" w:color="auto"/>
            </w:tcBorders>
            <w:gridSpan w:val="2"/>
            <w:vMerge w:val="continue"/>
          </w:tcPr>
          <w:p>
            <w:pPr>
              <w:spacing w:after="0"/>
              <w:rPr>
                <w:sz w:val="14"/>
                <w:szCs w:val="14"/>
                <w:color w:val="auto"/>
              </w:rPr>
            </w:pPr>
          </w:p>
        </w:tc>
        <w:tc>
          <w:tcPr>
            <w:tcW w:w="108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 at Par</w:t>
            </w:r>
          </w:p>
        </w:tc>
        <w:tc>
          <w:tcPr>
            <w:tcW w:w="194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60" w:type="dxa"/>
            <w:vAlign w:val="bottom"/>
          </w:tcPr>
          <w:p>
            <w:pPr>
              <w:spacing w:after="0"/>
              <w:rPr>
                <w:sz w:val="14"/>
                <w:szCs w:val="14"/>
                <w:color w:val="auto"/>
              </w:rPr>
            </w:pPr>
          </w:p>
        </w:tc>
        <w:tc>
          <w:tcPr>
            <w:tcW w:w="13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40" w:type="dxa"/>
            <w:vAlign w:val="bottom"/>
          </w:tcPr>
          <w:p>
            <w:pPr>
              <w:spacing w:after="0"/>
              <w:rPr>
                <w:sz w:val="14"/>
                <w:szCs w:val="14"/>
                <w:color w:val="auto"/>
              </w:rPr>
            </w:pPr>
          </w:p>
        </w:tc>
        <w:tc>
          <w:tcPr>
            <w:tcW w:w="1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2018-2 Secured Notes: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3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Class A-1R-R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2,871</w:t>
            </w:r>
          </w:p>
        </w:tc>
        <w:tc>
          <w:tcPr>
            <w:tcW w:w="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2,894</w:t>
            </w:r>
          </w:p>
        </w:tc>
        <w:tc>
          <w:tcPr>
            <w:tcW w:w="1940" w:type="dxa"/>
            <w:vAlign w:val="bottom"/>
            <w:shd w:val="clear" w:color="auto" w:fill="CFF0FC"/>
          </w:tcPr>
          <w:p>
            <w:pPr>
              <w:jc w:val="center"/>
              <w:spacing w:after="0" w:line="175" w:lineRule="exact"/>
              <w:rPr>
                <w:sz w:val="20"/>
                <w:szCs w:val="20"/>
                <w:color w:val="auto"/>
              </w:rPr>
            </w:pPr>
            <w:r>
              <w:rPr>
                <w:rFonts w:ascii="Times New Roman" w:cs="Times New Roman" w:eastAsia="Times New Roman" w:hAnsi="Times New Roman"/>
                <w:sz w:val="14"/>
                <w:szCs w:val="14"/>
                <w:color w:val="auto"/>
              </w:rPr>
              <w:t>Reference Rate + 1.58%</w:t>
            </w:r>
            <w:r>
              <w:rPr>
                <w:rFonts w:ascii="Times New Roman" w:cs="Times New Roman" w:eastAsia="Times New Roman" w:hAnsi="Times New Roman"/>
                <w:sz w:val="19"/>
                <w:szCs w:val="19"/>
                <w:color w:val="auto"/>
                <w:vertAlign w:val="superscript"/>
              </w:rPr>
              <w:t>(3)</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AAA(sf)</w:t>
            </w:r>
          </w:p>
        </w:tc>
        <w:tc>
          <w:tcPr>
            <w:tcW w:w="14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11/20/2029</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Class A-1T-R Notes</w:t>
            </w:r>
          </w:p>
        </w:tc>
        <w:tc>
          <w:tcPr>
            <w:tcW w:w="12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9,002</w:t>
            </w:r>
          </w:p>
        </w:tc>
        <w:tc>
          <w:tcPr>
            <w:tcW w:w="16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8,826</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Reference Rate + 1.58%</w:t>
            </w:r>
          </w:p>
        </w:tc>
        <w:tc>
          <w:tcPr>
            <w:tcW w:w="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AAA(sf)</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11/20/2029</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3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Class A-2-R Notes</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54,681</w:t>
            </w: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55,100</w:t>
            </w: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Reference Rate + 2.45%</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AA (sf)</w:t>
            </w:r>
          </w:p>
        </w:tc>
        <w:tc>
          <w:tcPr>
            <w:tcW w:w="14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11/20/2029</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Class B-R Notes</w:t>
            </w:r>
          </w:p>
        </w:tc>
        <w:tc>
          <w:tcPr>
            <w:tcW w:w="12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18,102</w:t>
            </w:r>
          </w:p>
        </w:tc>
        <w:tc>
          <w:tcPr>
            <w:tcW w:w="16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18,250</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Reference Rate + 3.17%</w:t>
            </w:r>
          </w:p>
        </w:tc>
        <w:tc>
          <w:tcPr>
            <w:tcW w:w="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 (sf)</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11/20/2029</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2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84,656</w:t>
            </w:r>
          </w:p>
        </w:tc>
        <w:tc>
          <w:tcPr>
            <w:tcW w:w="16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85,070</w:t>
            </w:r>
          </w:p>
        </w:tc>
        <w:tc>
          <w:tcPr>
            <w:tcW w:w="19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80" w:right="100" w:hanging="372"/>
        <w:spacing w:after="0"/>
        <w:tabs>
          <w:tab w:leader="none" w:pos="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ratings from each of S&amp;P and DBRS for the Class A-1R-R Notes and the Class A-1T-R Notes and from S&amp;P for the Class A-2-R Notes and Class B-R Notes as of the closing of the CLO on October 18, 2018.</w:t>
      </w:r>
    </w:p>
    <w:p>
      <w:pPr>
        <w:spacing w:after="0" w:line="79" w:lineRule="exact"/>
        <w:rPr>
          <w:rFonts w:ascii="Times New Roman" w:cs="Times New Roman" w:eastAsia="Times New Roman" w:hAnsi="Times New Roman"/>
          <w:sz w:val="13"/>
          <w:szCs w:val="13"/>
          <w:color w:val="auto"/>
        </w:rPr>
      </w:pPr>
    </w:p>
    <w:p>
      <w:pPr>
        <w:ind w:left="380" w:right="380" w:hanging="372"/>
        <w:spacing w:after="0"/>
        <w:tabs>
          <w:tab w:leader="none" w:pos="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indenture governing our CLO permits the repricing or refinancing of the secured notes after November 20, 2020, which may result in the redemption of the outstanding notes occurring prior to their stated maturity.</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may be indexed to either the CP Rate (as defined in the governing indenture) or Reference Rate.</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 Rate is defined as the sum of the Term SOFR Rate plus 0.26161%, or 5.56% as of June 30, 2024.</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20" w:type="dxa"/>
            <w:vAlign w:val="bottom"/>
          </w:tcPr>
          <w:p>
            <w:pPr>
              <w:spacing w:after="0"/>
              <w:rPr>
                <w:sz w:val="12"/>
                <w:szCs w:val="12"/>
                <w:color w:val="auto"/>
              </w:rPr>
            </w:pPr>
          </w:p>
        </w:tc>
        <w:tc>
          <w:tcPr>
            <w:tcW w:w="10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11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 xml:space="preserve">Stated </w:t>
            </w:r>
            <w:r>
              <w:rPr>
                <w:rFonts w:ascii="Times New Roman" w:cs="Times New Roman" w:eastAsia="Times New Roman" w:hAnsi="Times New Roman"/>
                <w:sz w:val="19"/>
                <w:szCs w:val="19"/>
                <w:b w:val="1"/>
                <w:bCs w:val="1"/>
                <w:color w:val="auto"/>
                <w:vertAlign w:val="subscript"/>
              </w:rPr>
              <w:t>(2)</w:t>
            </w:r>
          </w:p>
        </w:tc>
        <w:tc>
          <w:tcPr>
            <w:tcW w:w="0" w:type="dxa"/>
            <w:vAlign w:val="bottom"/>
          </w:tcPr>
          <w:p>
            <w:pPr>
              <w:spacing w:after="0"/>
              <w:rPr>
                <w:sz w:val="1"/>
                <w:szCs w:val="1"/>
                <w:color w:val="auto"/>
              </w:rPr>
            </w:pPr>
          </w:p>
        </w:tc>
      </w:tr>
      <w:tr>
        <w:trPr>
          <w:trHeight w:val="164"/>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960" w:type="dxa"/>
            <w:vAlign w:val="bottom"/>
          </w:tcPr>
          <w:p>
            <w:pPr>
              <w:jc w:val="right"/>
              <w:ind w:right="672"/>
              <w:spacing w:after="0"/>
              <w:rPr>
                <w:sz w:val="20"/>
                <w:szCs w:val="20"/>
                <w:color w:val="auto"/>
              </w:rPr>
            </w:pPr>
            <w:r>
              <w:rPr>
                <w:rFonts w:ascii="Times New Roman" w:cs="Times New Roman" w:eastAsia="Times New Roman" w:hAnsi="Times New Roman"/>
                <w:sz w:val="10"/>
                <w:szCs w:val="10"/>
                <w:b w:val="1"/>
                <w:bCs w:val="1"/>
                <w:color w:val="auto"/>
              </w:rPr>
              <w:t>(4)</w:t>
            </w:r>
          </w:p>
        </w:tc>
        <w:tc>
          <w:tcPr>
            <w:tcW w:w="180" w:type="dxa"/>
            <w:vAlign w:val="bottom"/>
          </w:tcPr>
          <w:p>
            <w:pPr>
              <w:spacing w:after="0"/>
              <w:rPr>
                <w:sz w:val="14"/>
                <w:szCs w:val="14"/>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w w:val="98"/>
              </w:rPr>
              <w:t>Rating</w:t>
            </w:r>
          </w:p>
        </w:tc>
        <w:tc>
          <w:tcPr>
            <w:tcW w:w="520" w:type="dxa"/>
            <w:vAlign w:val="bottom"/>
          </w:tcPr>
          <w:p>
            <w:pPr>
              <w:jc w:val="right"/>
              <w:ind w:right="352"/>
              <w:spacing w:after="0"/>
              <w:rPr>
                <w:sz w:val="20"/>
                <w:szCs w:val="20"/>
                <w:color w:val="auto"/>
              </w:rPr>
            </w:pPr>
            <w:r>
              <w:rPr>
                <w:rFonts w:ascii="Times New Roman" w:cs="Times New Roman" w:eastAsia="Times New Roman" w:hAnsi="Times New Roman"/>
                <w:sz w:val="10"/>
                <w:szCs w:val="10"/>
                <w:color w:val="auto"/>
                <w:w w:val="85"/>
              </w:rPr>
              <w:t>(1)</w:t>
            </w:r>
          </w:p>
        </w:tc>
        <w:tc>
          <w:tcPr>
            <w:tcW w:w="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 at Par</w:t>
            </w:r>
          </w:p>
        </w:tc>
        <w:tc>
          <w:tcPr>
            <w:tcW w:w="1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8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60"/>
        </w:trPr>
        <w:tc>
          <w:tcPr>
            <w:tcW w:w="39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2018-2 Secured Notes: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Reference Rate + 1.58%</w:t>
            </w:r>
            <w:r>
              <w:rPr>
                <w:rFonts w:ascii="Times New Roman" w:cs="Times New Roman" w:eastAsia="Times New Roman" w:hAnsi="Times New Roman"/>
                <w:sz w:val="19"/>
                <w:szCs w:val="19"/>
                <w:color w:val="auto"/>
                <w:vertAlign w:val="superscript"/>
              </w:rPr>
              <w:t>(3)</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Class A-1R-R Notes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12,818</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12,922</w:t>
            </w:r>
          </w:p>
        </w:tc>
        <w:tc>
          <w:tcPr>
            <w:tcW w:w="1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AAA(sf)</w:t>
            </w: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11/20/2029</w:t>
            </w:r>
          </w:p>
        </w:tc>
        <w:tc>
          <w:tcPr>
            <w:tcW w:w="0" w:type="dxa"/>
            <w:vAlign w:val="bottom"/>
          </w:tcPr>
          <w:p>
            <w:pPr>
              <w:spacing w:after="0"/>
              <w:rPr>
                <w:sz w:val="1"/>
                <w:szCs w:val="1"/>
                <w:color w:val="auto"/>
              </w:rPr>
            </w:pPr>
          </w:p>
        </w:tc>
      </w:tr>
      <w:tr>
        <w:trPr>
          <w:trHeight w:val="175"/>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Class A-1T-R Notes</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39,369</w:t>
            </w: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39,411</w:t>
            </w: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Reference Rate + 1.58%</w:t>
            </w: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AAA(sf)</w:t>
            </w:r>
          </w:p>
        </w:tc>
        <w:tc>
          <w:tcPr>
            <w:tcW w:w="144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11/20/2029</w:t>
            </w:r>
          </w:p>
        </w:tc>
        <w:tc>
          <w:tcPr>
            <w:tcW w:w="0" w:type="dxa"/>
            <w:vAlign w:val="bottom"/>
          </w:tcPr>
          <w:p>
            <w:pPr>
              <w:spacing w:after="0"/>
              <w:rPr>
                <w:sz w:val="1"/>
                <w:szCs w:val="1"/>
                <w:color w:val="auto"/>
              </w:rPr>
            </w:pPr>
          </w:p>
        </w:tc>
      </w:tr>
      <w:tr>
        <w:trPr>
          <w:trHeight w:val="176"/>
        </w:trPr>
        <w:tc>
          <w:tcPr>
            <w:tcW w:w="3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Class A-2-R Notes</w:t>
            </w:r>
          </w:p>
        </w:tc>
        <w:tc>
          <w:tcPr>
            <w:tcW w:w="12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54,681</w:t>
            </w:r>
          </w:p>
        </w:tc>
        <w:tc>
          <w:tcPr>
            <w:tcW w:w="16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55,100</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Reference Rate + 2.45%</w:t>
            </w:r>
          </w:p>
        </w:tc>
        <w:tc>
          <w:tcPr>
            <w:tcW w:w="18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AA (sf)</w:t>
            </w: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11/20/2029</w:t>
            </w:r>
          </w:p>
        </w:tc>
        <w:tc>
          <w:tcPr>
            <w:tcW w:w="0" w:type="dxa"/>
            <w:vAlign w:val="bottom"/>
          </w:tcPr>
          <w:p>
            <w:pPr>
              <w:spacing w:after="0"/>
              <w:rPr>
                <w:sz w:val="1"/>
                <w:szCs w:val="1"/>
                <w:color w:val="auto"/>
              </w:rPr>
            </w:pPr>
          </w:p>
        </w:tc>
      </w:tr>
      <w:tr>
        <w:trPr>
          <w:trHeight w:val="176"/>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Class B-R Notes</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18,103</w:t>
            </w: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18,250</w:t>
            </w: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Reference Rate + 3.17%</w:t>
            </w: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 (sf)</w:t>
            </w:r>
          </w:p>
        </w:tc>
        <w:tc>
          <w:tcPr>
            <w:tcW w:w="144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11/20/2029</w:t>
            </w:r>
          </w:p>
        </w:tc>
        <w:tc>
          <w:tcPr>
            <w:tcW w:w="0" w:type="dxa"/>
            <w:vAlign w:val="bottom"/>
          </w:tcPr>
          <w:p>
            <w:pPr>
              <w:spacing w:after="0"/>
              <w:rPr>
                <w:sz w:val="1"/>
                <w:szCs w:val="1"/>
                <w:color w:val="auto"/>
              </w:rPr>
            </w:pPr>
          </w:p>
        </w:tc>
      </w:tr>
      <w:tr>
        <w:trPr>
          <w:trHeight w:val="182"/>
        </w:trPr>
        <w:tc>
          <w:tcPr>
            <w:tcW w:w="39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124,971</w:t>
            </w: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125,683</w:t>
            </w:r>
          </w:p>
        </w:tc>
        <w:tc>
          <w:tcPr>
            <w:tcW w:w="196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5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-127635</wp:posOffset>
            </wp:positionV>
            <wp:extent cx="1111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9030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19" w:lineRule="exact"/>
        <w:rPr>
          <w:sz w:val="20"/>
          <w:szCs w:val="20"/>
          <w:color w:val="auto"/>
        </w:rPr>
      </w:pPr>
    </w:p>
    <w:p>
      <w:pPr>
        <w:ind w:left="380" w:right="100" w:hanging="372"/>
        <w:spacing w:after="0"/>
        <w:tabs>
          <w:tab w:leader="none" w:pos="3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ratings from each of S&amp;P and DBRS for the Class A-1R-R Notes and the Class A-1T-R Notes and from S&amp;P for the Class A-2-R Notes and Class B-R Notes as of the closing of the CLO on October 18, 2018.</w:t>
      </w:r>
    </w:p>
    <w:p>
      <w:pPr>
        <w:spacing w:after="0" w:line="79" w:lineRule="exact"/>
        <w:rPr>
          <w:rFonts w:ascii="Times New Roman" w:cs="Times New Roman" w:eastAsia="Times New Roman" w:hAnsi="Times New Roman"/>
          <w:sz w:val="13"/>
          <w:szCs w:val="13"/>
          <w:color w:val="auto"/>
        </w:rPr>
      </w:pPr>
    </w:p>
    <w:p>
      <w:pPr>
        <w:ind w:left="380" w:right="380" w:hanging="372"/>
        <w:spacing w:after="0"/>
        <w:tabs>
          <w:tab w:leader="none" w:pos="3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indenture governing our CLO permits the repricing or refinancing of the secured notes after November 20, 2020, which may result in the redemption of the outstanding notes occurring prior to their stated maturity.</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may be indexed to either the CP Rate (as defined in the governing indenture) or Reference Rate.</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 Rate is defined as the sum of the Term SOFR Rate plus 0.26161%, or 5.63% as of December 31, 2023.</w:t>
      </w:r>
    </w:p>
    <w:p>
      <w:pPr>
        <w:spacing w:after="0" w:line="238" w:lineRule="exact"/>
        <w:rPr>
          <w:sz w:val="20"/>
          <w:szCs w:val="20"/>
          <w:color w:val="auto"/>
        </w:rPr>
      </w:pPr>
    </w:p>
    <w:p>
      <w:pPr>
        <w:ind w:right="180" w:firstLine="374"/>
        <w:spacing w:after="0" w:line="241" w:lineRule="auto"/>
        <w:rPr>
          <w:sz w:val="20"/>
          <w:szCs w:val="20"/>
          <w:color w:val="auto"/>
        </w:rPr>
      </w:pPr>
      <w:r>
        <w:rPr>
          <w:rFonts w:ascii="Times New Roman" w:cs="Times New Roman" w:eastAsia="Times New Roman" w:hAnsi="Times New Roman"/>
          <w:sz w:val="14"/>
          <w:szCs w:val="14"/>
          <w:color w:val="auto"/>
        </w:rPr>
        <w:t>On October 28, 2020, the Company completed the GARS Acquisition, pursuant to the terms and conditions of the GARS Merger Agreement. In connection therewith, the Company now consolidates the financial statements the 2018-2 CLO a $420.0 million par value CLO facility. On the date of the transaction the debt assumed was recognized at fair value, resulting in a $2.4 million discount which is amortized over the remaining term of the borrowings.</w:t>
      </w:r>
    </w:p>
    <w:p>
      <w:pPr>
        <w:spacing w:after="0" w:line="69" w:lineRule="exact"/>
        <w:rPr>
          <w:sz w:val="20"/>
          <w:szCs w:val="20"/>
          <w:color w:val="auto"/>
        </w:rPr>
      </w:pPr>
    </w:p>
    <w:p>
      <w:pPr>
        <w:ind w:firstLine="374"/>
        <w:spacing w:after="0" w:line="225" w:lineRule="auto"/>
        <w:rPr>
          <w:sz w:val="20"/>
          <w:szCs w:val="20"/>
          <w:color w:val="auto"/>
        </w:rPr>
      </w:pPr>
      <w:r>
        <w:rPr>
          <w:rFonts w:ascii="Times New Roman" w:cs="Times New Roman" w:eastAsia="Times New Roman" w:hAnsi="Times New Roman"/>
          <w:sz w:val="14"/>
          <w:szCs w:val="14"/>
          <w:color w:val="auto"/>
        </w:rPr>
        <w:t>The CLO was executed by GF 2018-2 (the “Issuer”) and Portman Ridge Funding 2018-2 LLC (formerly known as Garrison Funding 2018-2 LLC, together with the Issuer, the “Co-Issuers”) who issued $312.0 million of senior secured notes (collectively referred to as the “2018-2 Secured Notes” individually defined above in the table) and $108.0 million of subordinated notes (the “2018-2 Subordinated Notes” and, together with the 2018-2 Secured Notes, the “2018-2 Notes”) backed by a diversified portfolio of primarily senior secured loans. The Company owns all $108.0 million of the 2018-2 Subordinated Notes and $18.3 million of the Class B-R Notes and serves as collateral manager for the Co-Issuers. The Company is entitled to receive interest from the Class B-R Notes, distributions from the 2018-2 Subordinated Notes and fees for serving as collateral manager in accordance with the CLO’s governing documents and to the extent funds are available for such purposes. However, as a result of retaining all of the 2018-2 Subordinated Notes, the Company consolidates the accounts of the Co-Issuers into its financial statements and all transactions between the Company and the Co-Issuers are eliminated on consolidation. As a result of this consolidation, the 2018-2 Secured Notes issued by the CLO is treated as the Company’s indebtedness, except any 2018-2 Secured Notes owned by the Company, which are eliminated in consolidation. The 2018-2 Notes are scheduled to mature on November 20, 2029, however the Co-Issuers may redeem the 2018-2 Notes on any business day after November 20, 2020. The indenture governing the 2018-2 Notes provides that, to the extent cash is available from cash collections, the holders of the 2018-2 Notes are to receive quarterly interest payments on the 20th day or, if not a business day, the next succeeding business day of February, May, August and November of each year until the stated maturity or earlier redemption. On July 18, 2019, $25.0 million outstanding of the aggregate $50.0 million Class A-1R-R Notes available under the CLO converted to Class A-1T-R Notes. On November 18, 2022, the Company drew $14.3 million of the $25.0 million unfunded Class A-1R-R Notes. The Reinvestment Period ended on November 20, 2022, and the remaining amount of the unfunded Class A1 R-R Notes terminated. During the first quarter of 2021, the Company redeemed approximately $88.0 million of the 2018-2 Secured Notes. In connection therewith, the Company recognized a realized loss on extinguishment of debt of approximately $0.9 million. During 2023, the Company redeemed approximately $52.5 million of the par value of 2018-2 Secured Notes. In connection therewith, the Company recognized a realized loss on extinguishment of approximately $0.4 million.</w:t>
      </w:r>
    </w:p>
    <w:p>
      <w:pPr>
        <w:spacing w:after="0" w:line="72" w:lineRule="exact"/>
        <w:rPr>
          <w:sz w:val="20"/>
          <w:szCs w:val="20"/>
          <w:color w:val="auto"/>
        </w:rPr>
      </w:pPr>
    </w:p>
    <w:p>
      <w:pPr>
        <w:ind w:right="300" w:firstLine="374"/>
        <w:spacing w:after="0" w:line="261" w:lineRule="auto"/>
        <w:rPr>
          <w:sz w:val="20"/>
          <w:szCs w:val="20"/>
          <w:color w:val="auto"/>
        </w:rPr>
      </w:pPr>
      <w:r>
        <w:rPr>
          <w:rFonts w:ascii="Times New Roman" w:cs="Times New Roman" w:eastAsia="Times New Roman" w:hAnsi="Times New Roman"/>
          <w:sz w:val="14"/>
          <w:szCs w:val="14"/>
          <w:color w:val="auto"/>
        </w:rPr>
        <w:t>During the three and six months ended June 30, 2024, the Company redeemed approximately $6.6 million and $40.6 million, respectively, of the par value of 2018-2 Secured Notes. In connection therewith, the Company recognized a realized loss on extinguishment of less than $0.1 million and $0.3 million for the three and six months ended June 30, 2024, respectively.</w:t>
      </w:r>
    </w:p>
    <w:p>
      <w:pPr>
        <w:spacing w:after="0" w:line="55"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4"/>
          <w:szCs w:val="14"/>
          <w:color w:val="auto"/>
        </w:rPr>
        <w:t>During the three and six months ended June 30, 2023, the Company redeemed approximately $23.6 million and $30.5 million, respectively, of the par value of 2018-2 Secured Notes. In connection therewith, the Company recognized a realized loss on extinguishment of $0.2 million and $0.2 million for the three and six months ended June 30, 2023, respectively.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1"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4"/>
          <w:szCs w:val="14"/>
          <w:color w:val="auto"/>
        </w:rPr>
        <w:t>At June 30, 2024 and December 31, 2023, the fair value of the 2018-2 Notes approximated their carrying value on the consolidated balance sheets and the 2018-2 Notes were categorized as Level III under the ASC 820 Fair Value Hierarchy.</w:t>
      </w:r>
    </w:p>
    <w:p>
      <w:pPr>
        <w:spacing w:after="0" w:line="55"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4"/>
          <w:szCs w:val="14"/>
          <w:color w:val="auto"/>
        </w:rPr>
        <w:t>The following table summarizes the interest expense, amortization of original issue discount, average outstanding balance, and average stated interest rate on the 2018-2 Secured Notes for the three and six months ended June 30, 2024 and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80" w:type="dxa"/>
            <w:vAlign w:val="bottom"/>
          </w:tcPr>
          <w:p>
            <w:pPr>
              <w:spacing w:after="0"/>
              <w:rPr>
                <w:sz w:val="16"/>
                <w:szCs w:val="16"/>
                <w:color w:val="auto"/>
              </w:rPr>
            </w:pPr>
          </w:p>
        </w:tc>
        <w:tc>
          <w:tcPr>
            <w:tcW w:w="31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4"/>
                <w:szCs w:val="14"/>
                <w:color w:val="auto"/>
              </w:rPr>
            </w:pPr>
          </w:p>
        </w:tc>
        <w:tc>
          <w:tcPr>
            <w:tcW w:w="1780" w:type="dxa"/>
            <w:vAlign w:val="bottom"/>
            <w:tcBorders>
              <w:top w:val="single" w:sz="8" w:color="auto"/>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r>
      <w:tr>
        <w:trPr>
          <w:trHeight w:val="169"/>
        </w:trPr>
        <w:tc>
          <w:tcPr>
            <w:tcW w:w="4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1,798</w:t>
            </w:r>
          </w:p>
        </w:tc>
        <w:tc>
          <w:tcPr>
            <w:tcW w:w="340" w:type="dxa"/>
            <w:vAlign w:val="bottom"/>
            <w:shd w:val="clear" w:color="auto" w:fill="CFF0FC"/>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2,919</w:t>
            </w:r>
          </w:p>
        </w:tc>
        <w:tc>
          <w:tcPr>
            <w:tcW w:w="3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3,999</w:t>
            </w:r>
          </w:p>
        </w:tc>
        <w:tc>
          <w:tcPr>
            <w:tcW w:w="3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5,894</w:t>
            </w:r>
          </w:p>
        </w:tc>
        <w:tc>
          <w:tcPr>
            <w:tcW w:w="20" w:type="dxa"/>
            <w:vAlign w:val="bottom"/>
          </w:tcPr>
          <w:p>
            <w:pPr>
              <w:spacing w:after="0"/>
              <w:rPr>
                <w:sz w:val="14"/>
                <w:szCs w:val="14"/>
                <w:color w:val="auto"/>
              </w:rPr>
            </w:pPr>
          </w:p>
        </w:tc>
      </w:tr>
      <w:tr>
        <w:trPr>
          <w:trHeight w:val="175"/>
        </w:trPr>
        <w:tc>
          <w:tcPr>
            <w:tcW w:w="4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original issue discount</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46</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tcPr>
          <w:p>
            <w:pPr>
              <w:spacing w:after="0"/>
              <w:rPr>
                <w:sz w:val="15"/>
                <w:szCs w:val="15"/>
                <w:color w:val="auto"/>
              </w:rPr>
            </w:pPr>
          </w:p>
        </w:tc>
      </w:tr>
      <w:tr>
        <w:trPr>
          <w:trHeight w:val="209"/>
        </w:trPr>
        <w:tc>
          <w:tcPr>
            <w:tcW w:w="4760" w:type="dxa"/>
            <w:vAlign w:val="bottom"/>
            <w:tcBorders>
              <w:bottom w:val="single" w:sz="8" w:color="CFF0FC"/>
            </w:tcBorders>
            <w:shd w:val="clear" w:color="auto" w:fill="CFF0FC"/>
          </w:tcPr>
          <w:p>
            <w:pPr>
              <w:ind w:left="240"/>
              <w:spacing w:after="0" w:line="155" w:lineRule="exact"/>
              <w:rPr>
                <w:sz w:val="20"/>
                <w:szCs w:val="20"/>
                <w:color w:val="auto"/>
              </w:rPr>
            </w:pPr>
            <w:r>
              <w:rPr>
                <w:rFonts w:ascii="Times New Roman" w:cs="Times New Roman" w:eastAsia="Times New Roman" w:hAnsi="Times New Roman"/>
                <w:sz w:val="14"/>
                <w:szCs w:val="14"/>
                <w:color w:val="auto"/>
              </w:rPr>
              <w:t>Total interest and financing expenses</w:t>
            </w: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1,844</w:t>
            </w:r>
          </w:p>
        </w:tc>
        <w:tc>
          <w:tcPr>
            <w:tcW w:w="340" w:type="dxa"/>
            <w:vAlign w:val="bottom"/>
            <w:tcBorders>
              <w:bottom w:val="single" w:sz="8" w:color="auto"/>
            </w:tcBorders>
            <w:shd w:val="clear" w:color="auto" w:fill="CFF0FC"/>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2,944</w:t>
            </w:r>
          </w:p>
        </w:tc>
        <w:tc>
          <w:tcPr>
            <w:tcW w:w="38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4,045</w:t>
            </w:r>
          </w:p>
        </w:tc>
        <w:tc>
          <w:tcPr>
            <w:tcW w:w="30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5,963</w:t>
            </w:r>
          </w:p>
        </w:tc>
        <w:tc>
          <w:tcPr>
            <w:tcW w:w="20" w:type="dxa"/>
            <w:vAlign w:val="bottom"/>
          </w:tcPr>
          <w:p>
            <w:pPr>
              <w:spacing w:after="0"/>
              <w:rPr>
                <w:sz w:val="18"/>
                <w:szCs w:val="18"/>
                <w:color w:val="auto"/>
              </w:rPr>
            </w:pPr>
          </w:p>
        </w:tc>
      </w:tr>
      <w:tr>
        <w:trPr>
          <w:trHeight w:val="156"/>
        </w:trPr>
        <w:tc>
          <w:tcPr>
            <w:tcW w:w="4760" w:type="dxa"/>
            <w:vAlign w:val="bottom"/>
          </w:tcPr>
          <w:p>
            <w:pPr>
              <w:ind w:left="220"/>
              <w:spacing w:after="0" w:line="156" w:lineRule="exact"/>
              <w:rPr>
                <w:sz w:val="20"/>
                <w:szCs w:val="20"/>
                <w:color w:val="auto"/>
              </w:rPr>
            </w:pPr>
            <w:r>
              <w:rPr>
                <w:rFonts w:ascii="Times New Roman" w:cs="Times New Roman" w:eastAsia="Times New Roman" w:hAnsi="Times New Roman"/>
                <w:sz w:val="14"/>
                <w:szCs w:val="14"/>
                <w:color w:val="auto"/>
              </w:rPr>
              <w:t>Average outstanding balance</w:t>
            </w:r>
          </w:p>
        </w:tc>
        <w:tc>
          <w:tcPr>
            <w:tcW w:w="20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88,686</w:t>
            </w: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160,908</w:t>
            </w:r>
          </w:p>
        </w:tc>
        <w:tc>
          <w:tcPr>
            <w:tcW w:w="380" w:type="dxa"/>
            <w:vAlign w:val="bottom"/>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99,661</w:t>
            </w:r>
          </w:p>
        </w:tc>
        <w:tc>
          <w:tcPr>
            <w:tcW w:w="300" w:type="dxa"/>
            <w:vAlign w:val="bottom"/>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168,006</w:t>
            </w:r>
          </w:p>
        </w:tc>
        <w:tc>
          <w:tcPr>
            <w:tcW w:w="20" w:type="dxa"/>
            <w:vAlign w:val="bottom"/>
          </w:tcPr>
          <w:p>
            <w:pPr>
              <w:spacing w:after="0"/>
              <w:rPr>
                <w:sz w:val="13"/>
                <w:szCs w:val="13"/>
                <w:color w:val="auto"/>
              </w:rPr>
            </w:pPr>
          </w:p>
        </w:tc>
      </w:tr>
      <w:tr>
        <w:trPr>
          <w:trHeight w:val="176"/>
        </w:trPr>
        <w:tc>
          <w:tcPr>
            <w:tcW w:w="4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Average stated interest rate</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8.03 %</w:t>
            </w:r>
          </w:p>
        </w:tc>
        <w:tc>
          <w:tcPr>
            <w:tcW w:w="3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7.16 %</w:t>
            </w:r>
          </w:p>
        </w:tc>
        <w:tc>
          <w:tcPr>
            <w:tcW w:w="20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7.97 %</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6.97 %</w:t>
            </w:r>
          </w:p>
        </w:tc>
        <w:tc>
          <w:tcPr>
            <w:tcW w:w="20" w:type="dxa"/>
            <w:vAlign w:val="bottom"/>
          </w:tcPr>
          <w:p>
            <w:pPr>
              <w:spacing w:after="0"/>
              <w:rPr>
                <w:sz w:val="15"/>
                <w:szCs w:val="15"/>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Collateralized Loan Obligation Financing Covenants</w:t>
      </w:r>
    </w:p>
    <w:p>
      <w:pPr>
        <w:spacing w:after="0" w:line="98"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4"/>
          <w:szCs w:val="14"/>
          <w:color w:val="auto"/>
        </w:rPr>
        <w:t>The documents governing the CLO include three overcollateralization tests which are comprised of the Class A Overcollateralization Test, the Class B Overcollateralization Test and the EoD Overcollateralization Test, each of which are individually defined below.</w:t>
      </w:r>
    </w:p>
    <w:p>
      <w:pPr>
        <w:spacing w:after="0" w:line="55" w:lineRule="exact"/>
        <w:rPr>
          <w:sz w:val="20"/>
          <w:szCs w:val="20"/>
          <w:color w:val="auto"/>
        </w:rPr>
      </w:pPr>
    </w:p>
    <w:p>
      <w:pPr>
        <w:jc w:val="both"/>
        <w:ind w:right="160" w:firstLine="374"/>
        <w:spacing w:after="0" w:line="233" w:lineRule="auto"/>
        <w:rPr>
          <w:sz w:val="20"/>
          <w:szCs w:val="20"/>
          <w:color w:val="auto"/>
        </w:rPr>
      </w:pPr>
      <w:r>
        <w:rPr>
          <w:rFonts w:ascii="Times New Roman" w:cs="Times New Roman" w:eastAsia="Times New Roman" w:hAnsi="Times New Roman"/>
          <w:sz w:val="14"/>
          <w:szCs w:val="14"/>
          <w:color w:val="auto"/>
        </w:rPr>
        <w:t>The documents governing the CLO include two coverage tests applicable to the 2018-2 Secured Notes as of June 30, 2024. The first test compares the amount of interest received on the collateral loans held by 2018-2 CLO to the amount of interest payable on the 2018-2 Secured Notes in respect of the amounts drawn and certain expenses. To meet this first test, at any time, the aggregate amount of interest received on the collateral loans must equal, after the payment of certain fees and expenses, at least 135.0% of the aggregate amount of interest payable on the Class A-1R-R Notes, the Class A-1T-R Notes and the Class A-2-R Notes (collectively, the “Class A-R Notes”) and 125.0% of the interest payable on the Class A-R Notes and Class B-R Notes, taken together.</w:t>
      </w:r>
    </w:p>
    <w:p>
      <w:pPr>
        <w:spacing w:after="0" w:line="69" w:lineRule="exact"/>
        <w:rPr>
          <w:sz w:val="20"/>
          <w:szCs w:val="20"/>
          <w:color w:val="auto"/>
        </w:rPr>
      </w:pPr>
    </w:p>
    <w:p>
      <w:pPr>
        <w:ind w:right="120" w:firstLine="374"/>
        <w:spacing w:after="0" w:line="236" w:lineRule="auto"/>
        <w:rPr>
          <w:sz w:val="20"/>
          <w:szCs w:val="20"/>
          <w:color w:val="auto"/>
        </w:rPr>
      </w:pPr>
      <w:r>
        <w:rPr>
          <w:rFonts w:ascii="Times New Roman" w:cs="Times New Roman" w:eastAsia="Times New Roman" w:hAnsi="Times New Roman"/>
          <w:sz w:val="14"/>
          <w:szCs w:val="14"/>
          <w:color w:val="auto"/>
        </w:rPr>
        <w:t>The second test compares the aggregate assets that serve as collateral for the 2018-2 Secured Notes, or the Total Capitalization, as defined and calculated in accordance with the indenture, to the aggregate outstanding principal amount of the 2018-2 Secured Notes in respect of the amounts drawn. To meet this second test at any time, the Total Capitalization must equal at least (1) 128.0% of the aggregate outstanding principal amount of the Class A-R Notes (“Class A Overcollateralization Test”), and (2) 118.2% of the aggregate principal amount of the Class A-R Notes and Class B-R Notes, taken together (the test in clause (2), the “Class B Overcollateralization Test”).</w:t>
      </w:r>
    </w:p>
    <w:p>
      <w:pPr>
        <w:spacing w:after="0" w:line="69" w:lineRule="exact"/>
        <w:rPr>
          <w:sz w:val="20"/>
          <w:szCs w:val="20"/>
          <w:color w:val="auto"/>
        </w:rPr>
      </w:pPr>
    </w:p>
    <w:p>
      <w:pPr>
        <w:ind w:right="20" w:firstLine="374"/>
        <w:spacing w:after="0" w:line="236" w:lineRule="auto"/>
        <w:rPr>
          <w:sz w:val="20"/>
          <w:szCs w:val="20"/>
          <w:color w:val="auto"/>
        </w:rPr>
      </w:pPr>
      <w:r>
        <w:rPr>
          <w:rFonts w:ascii="Times New Roman" w:cs="Times New Roman" w:eastAsia="Times New Roman" w:hAnsi="Times New Roman"/>
          <w:sz w:val="14"/>
          <w:szCs w:val="14"/>
          <w:color w:val="auto"/>
        </w:rPr>
        <w:t>If the coverage tests are not satisfied with respect to a quarterly payment date, the CLO may be required to apply amounts to the repayment of interest on and principal of the 2018-2 Notes prior to their maturity to the extent necessary to satisfy the applicable coverage tests. As a result, there may be reduced funds available for 2018-2 CLO to make additional investments or to make distributions on the 2018-2 Notes held by the Company. Additionally, compliance was measured on each day collateral loans are purchased, originated or sold and in connection with monthly reporting to the note holders.</w:t>
      </w:r>
    </w:p>
    <w:p>
      <w:pPr>
        <w:spacing w:after="0" w:line="69"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4"/>
          <w:szCs w:val="14"/>
          <w:color w:val="auto"/>
        </w:rPr>
        <w:t>Furthermore, if under the second coverage test the Total Capitalization equals 125.0% or less of the aggregate outstanding principal amount on the Class A-1R-R and Class A-1T-R Notes (“EoD Overcollateralization Test”), taken together remained so for ten business days, an event of default would be deemed to have occurred.</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June 30, 2024, the trustee for the CLO has asserted that the Class A Overcollateralization Test, Class B Overcollateralization, and the EoD Overcollateralization Test were met.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Senior Securities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Information about the Company’s senior securities is shown as of the dates indicated in the below table.</w:t>
      </w:r>
    </w:p>
    <w:tbl>
      <w:tblPr>
        <w:tblLayout w:type="fixed"/>
        <w:tblInd w:w="0" w:type="dxa"/>
        <w:tblCellMar>
          <w:top w:w="0" w:type="dxa"/>
          <w:left w:w="0" w:type="dxa"/>
          <w:bottom w:w="0" w:type="dxa"/>
          <w:right w:w="0" w:type="dxa"/>
        </w:tblCellMar>
      </w:tblPr>
      <w:tr>
        <w:trPr>
          <w:trHeight w:val="148"/>
        </w:trPr>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jc w:val="center"/>
              <w:ind w:right="308"/>
              <w:spacing w:after="0" w:line="147" w:lineRule="exact"/>
              <w:rPr>
                <w:sz w:val="20"/>
                <w:szCs w:val="20"/>
                <w:color w:val="auto"/>
              </w:rPr>
            </w:pPr>
            <w:r>
              <w:rPr>
                <w:rFonts w:ascii="Times New Roman" w:cs="Times New Roman" w:eastAsia="Times New Roman" w:hAnsi="Times New Roman"/>
                <w:sz w:val="14"/>
                <w:szCs w:val="14"/>
                <w:b w:val="1"/>
                <w:bCs w:val="1"/>
                <w:color w:val="auto"/>
              </w:rPr>
              <w:t>Total Amount</w:t>
            </w: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180" w:type="dxa"/>
            <w:vAlign w:val="bottom"/>
          </w:tcPr>
          <w:p>
            <w:pPr>
              <w:spacing w:after="0"/>
              <w:rPr>
                <w:sz w:val="12"/>
                <w:szCs w:val="12"/>
                <w:color w:val="auto"/>
              </w:rPr>
            </w:pPr>
          </w:p>
        </w:tc>
        <w:tc>
          <w:tcPr>
            <w:tcW w:w="1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Asset Coverage per</w:t>
            </w:r>
          </w:p>
        </w:tc>
        <w:tc>
          <w:tcPr>
            <w:tcW w:w="160" w:type="dxa"/>
            <w:vAlign w:val="bottom"/>
          </w:tcPr>
          <w:p>
            <w:pPr>
              <w:spacing w:after="0"/>
              <w:rPr>
                <w:sz w:val="12"/>
                <w:szCs w:val="12"/>
                <w:color w:val="auto"/>
              </w:rPr>
            </w:pPr>
          </w:p>
        </w:tc>
        <w:tc>
          <w:tcPr>
            <w:tcW w:w="15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22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Market</w:t>
            </w:r>
          </w:p>
        </w:tc>
        <w:tc>
          <w:tcPr>
            <w:tcW w:w="0" w:type="dxa"/>
            <w:vAlign w:val="bottom"/>
          </w:tcPr>
          <w:p>
            <w:pPr>
              <w:spacing w:after="0"/>
              <w:rPr>
                <w:sz w:val="1"/>
                <w:szCs w:val="1"/>
                <w:color w:val="auto"/>
              </w:rPr>
            </w:pPr>
          </w:p>
        </w:tc>
      </w:tr>
      <w:tr>
        <w:trPr>
          <w:trHeight w:val="146"/>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and Period</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jc w:val="center"/>
              <w:ind w:right="308"/>
              <w:spacing w:after="0" w:line="146"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1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Preference per</w:t>
            </w:r>
          </w:p>
        </w:tc>
        <w:tc>
          <w:tcPr>
            <w:tcW w:w="2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308"/>
              <w:spacing w:after="0" w:line="189" w:lineRule="exact"/>
              <w:rPr>
                <w:sz w:val="20"/>
                <w:szCs w:val="20"/>
                <w:color w:val="auto"/>
              </w:rPr>
            </w:pPr>
            <w:r>
              <w:rPr>
                <w:rFonts w:ascii="Times New Roman" w:cs="Times New Roman" w:eastAsia="Times New Roman" w:hAnsi="Times New Roman"/>
                <w:sz w:val="14"/>
                <w:szCs w:val="14"/>
                <w:b w:val="1"/>
                <w:bCs w:val="1"/>
                <w:color w:val="auto"/>
                <w:w w:val="95"/>
              </w:rPr>
              <w:t>Securities</w:t>
            </w:r>
            <w:r>
              <w:rPr>
                <w:rFonts w:ascii="Times New Roman" w:cs="Times New Roman" w:eastAsia="Times New Roman" w:hAnsi="Times New Roman"/>
                <w:sz w:val="19"/>
                <w:szCs w:val="19"/>
                <w:b w:val="1"/>
                <w:bCs w:val="1"/>
                <w:color w:val="auto"/>
                <w:w w:val="95"/>
                <w:vertAlign w:val="superscript"/>
              </w:rPr>
              <w:t>(1)</w:t>
            </w:r>
          </w:p>
        </w:tc>
        <w:tc>
          <w:tcPr>
            <w:tcW w:w="180" w:type="dxa"/>
            <w:vAlign w:val="bottom"/>
          </w:tcPr>
          <w:p>
            <w:pPr>
              <w:spacing w:after="0"/>
              <w:rPr>
                <w:sz w:val="16"/>
                <w:szCs w:val="16"/>
                <w:color w:val="auto"/>
              </w:rPr>
            </w:pPr>
          </w:p>
        </w:tc>
        <w:tc>
          <w:tcPr>
            <w:tcW w:w="1720" w:type="dxa"/>
            <w:vAlign w:val="bottom"/>
            <w:tcBorders>
              <w:bottom w:val="single" w:sz="8" w:color="auto"/>
            </w:tcBorders>
          </w:tcPr>
          <w:p>
            <w:pPr>
              <w:jc w:val="right"/>
              <w:ind w:right="648"/>
              <w:spacing w:after="0" w:line="189" w:lineRule="exact"/>
              <w:rPr>
                <w:sz w:val="20"/>
                <w:szCs w:val="20"/>
                <w:color w:val="auto"/>
              </w:rPr>
            </w:pPr>
            <w:r>
              <w:rPr>
                <w:rFonts w:ascii="Times New Roman" w:cs="Times New Roman" w:eastAsia="Times New Roman" w:hAnsi="Times New Roman"/>
                <w:sz w:val="14"/>
                <w:szCs w:val="14"/>
                <w:b w:val="1"/>
                <w:bCs w:val="1"/>
                <w:color w:val="auto"/>
              </w:rPr>
              <w:t>Unit</w:t>
            </w:r>
            <w:r>
              <w:rPr>
                <w:rFonts w:ascii="Times New Roman" w:cs="Times New Roman" w:eastAsia="Times New Roman" w:hAnsi="Times New Roman"/>
                <w:sz w:val="19"/>
                <w:szCs w:val="19"/>
                <w:b w:val="1"/>
                <w:bCs w:val="1"/>
                <w:color w:val="auto"/>
                <w:vertAlign w:val="superscript"/>
              </w:rPr>
              <w:t>(2)</w:t>
            </w:r>
          </w:p>
        </w:tc>
        <w:tc>
          <w:tcPr>
            <w:tcW w:w="160" w:type="dxa"/>
            <w:vAlign w:val="bottom"/>
          </w:tcPr>
          <w:p>
            <w:pPr>
              <w:spacing w:after="0"/>
              <w:rPr>
                <w:sz w:val="16"/>
                <w:szCs w:val="16"/>
                <w:color w:val="auto"/>
              </w:rPr>
            </w:pPr>
          </w:p>
        </w:tc>
        <w:tc>
          <w:tcPr>
            <w:tcW w:w="1580" w:type="dxa"/>
            <w:vAlign w:val="bottom"/>
            <w:tcBorders>
              <w:bottom w:val="single" w:sz="8" w:color="auto"/>
            </w:tcBorders>
          </w:tcPr>
          <w:p>
            <w:pPr>
              <w:jc w:val="center"/>
              <w:ind w:right="48"/>
              <w:spacing w:after="0" w:line="189" w:lineRule="exact"/>
              <w:rPr>
                <w:sz w:val="20"/>
                <w:szCs w:val="20"/>
                <w:color w:val="auto"/>
              </w:rPr>
            </w:pPr>
            <w:r>
              <w:rPr>
                <w:rFonts w:ascii="Times New Roman" w:cs="Times New Roman" w:eastAsia="Times New Roman" w:hAnsi="Times New Roman"/>
                <w:sz w:val="14"/>
                <w:szCs w:val="14"/>
                <w:b w:val="1"/>
                <w:bCs w:val="1"/>
                <w:color w:val="auto"/>
                <w:w w:val="92"/>
              </w:rPr>
              <w:t>Unit</w:t>
            </w:r>
            <w:r>
              <w:rPr>
                <w:rFonts w:ascii="Times New Roman" w:cs="Times New Roman" w:eastAsia="Times New Roman" w:hAnsi="Times New Roman"/>
                <w:sz w:val="19"/>
                <w:szCs w:val="19"/>
                <w:b w:val="1"/>
                <w:bCs w:val="1"/>
                <w:color w:val="auto"/>
                <w:w w:val="92"/>
                <w:vertAlign w:val="superscript"/>
              </w:rPr>
              <w:t>(3)</w:t>
            </w:r>
          </w:p>
        </w:tc>
        <w:tc>
          <w:tcPr>
            <w:tcW w:w="220" w:type="dxa"/>
            <w:vAlign w:val="bottom"/>
          </w:tcPr>
          <w:p>
            <w:pPr>
              <w:spacing w:after="0"/>
              <w:rPr>
                <w:sz w:val="16"/>
                <w:szCs w:val="16"/>
                <w:color w:val="auto"/>
              </w:rPr>
            </w:pPr>
          </w:p>
        </w:tc>
        <w:tc>
          <w:tcPr>
            <w:tcW w:w="15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6"/>
              </w:rPr>
              <w:t>Value per Unit</w:t>
            </w:r>
            <w:r>
              <w:rPr>
                <w:rFonts w:ascii="Times New Roman" w:cs="Times New Roman" w:eastAsia="Times New Roman" w:hAnsi="Times New Roman"/>
                <w:sz w:val="19"/>
                <w:szCs w:val="19"/>
                <w:b w:val="1"/>
                <w:bCs w:val="1"/>
                <w:color w:val="auto"/>
                <w:w w:val="96"/>
                <w:vertAlign w:val="superscript"/>
              </w:rPr>
              <w:t>(4)</w:t>
            </w:r>
          </w:p>
        </w:tc>
        <w:tc>
          <w:tcPr>
            <w:tcW w:w="0" w:type="dxa"/>
            <w:vAlign w:val="bottom"/>
          </w:tcPr>
          <w:p>
            <w:pPr>
              <w:spacing w:after="0"/>
              <w:rPr>
                <w:sz w:val="1"/>
                <w:szCs w:val="1"/>
                <w:color w:val="auto"/>
              </w:rPr>
            </w:pPr>
          </w:p>
        </w:tc>
      </w:tr>
      <w:tr>
        <w:trPr>
          <w:trHeight w:val="16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Fiscal 2013</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192,592</w:t>
            </w:r>
          </w:p>
        </w:tc>
        <w:tc>
          <w:tcPr>
            <w:tcW w:w="19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2,264</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2014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223,885</w:t>
            </w:r>
          </w:p>
        </w:tc>
        <w:tc>
          <w:tcPr>
            <w:tcW w:w="1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2,140</w:t>
            </w:r>
          </w:p>
        </w:tc>
        <w:tc>
          <w:tcPr>
            <w:tcW w:w="160" w:type="dxa"/>
            <w:vAlign w:val="bottom"/>
          </w:tcPr>
          <w:p>
            <w:pPr>
              <w:spacing w:after="0"/>
              <w:rPr>
                <w:sz w:val="15"/>
                <w:szCs w:val="15"/>
                <w:color w:val="auto"/>
              </w:rPr>
            </w:pPr>
          </w:p>
        </w:tc>
        <w:tc>
          <w:tcPr>
            <w:tcW w:w="158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Fiscal 2015</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208,049</w:t>
            </w:r>
          </w:p>
        </w:tc>
        <w:tc>
          <w:tcPr>
            <w:tcW w:w="19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2,025</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2016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180,881</w:t>
            </w:r>
          </w:p>
        </w:tc>
        <w:tc>
          <w:tcPr>
            <w:tcW w:w="1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2,048</w:t>
            </w:r>
          </w:p>
        </w:tc>
        <w:tc>
          <w:tcPr>
            <w:tcW w:w="160" w:type="dxa"/>
            <w:vAlign w:val="bottom"/>
          </w:tcPr>
          <w:p>
            <w:pPr>
              <w:spacing w:after="0"/>
              <w:rPr>
                <w:sz w:val="15"/>
                <w:szCs w:val="15"/>
                <w:color w:val="auto"/>
              </w:rPr>
            </w:pPr>
          </w:p>
        </w:tc>
        <w:tc>
          <w:tcPr>
            <w:tcW w:w="158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Fiscal 2017</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104,407</w:t>
            </w:r>
          </w:p>
        </w:tc>
        <w:tc>
          <w:tcPr>
            <w:tcW w:w="19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2,713</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2018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103,763</w:t>
            </w:r>
          </w:p>
        </w:tc>
        <w:tc>
          <w:tcPr>
            <w:tcW w:w="1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2,490</w:t>
            </w:r>
          </w:p>
        </w:tc>
        <w:tc>
          <w:tcPr>
            <w:tcW w:w="160" w:type="dxa"/>
            <w:vAlign w:val="bottom"/>
          </w:tcPr>
          <w:p>
            <w:pPr>
              <w:spacing w:after="0"/>
              <w:rPr>
                <w:sz w:val="15"/>
                <w:szCs w:val="15"/>
                <w:color w:val="auto"/>
              </w:rPr>
            </w:pPr>
          </w:p>
        </w:tc>
        <w:tc>
          <w:tcPr>
            <w:tcW w:w="158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Fiscal 2019</w:t>
            </w:r>
            <w:r>
              <w:rPr>
                <w:rFonts w:ascii="Times New Roman" w:cs="Times New Roman" w:eastAsia="Times New Roman" w:hAnsi="Times New Roman"/>
                <w:sz w:val="19"/>
                <w:szCs w:val="19"/>
                <w:color w:val="auto"/>
                <w:vertAlign w:val="superscript"/>
              </w:rPr>
              <w:t>(5)</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156,978</w:t>
            </w:r>
          </w:p>
        </w:tc>
        <w:tc>
          <w:tcPr>
            <w:tcW w:w="19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1,950</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Fiscal 2020</w:t>
            </w:r>
            <w:r>
              <w:rPr>
                <w:rFonts w:ascii="Times New Roman" w:cs="Times New Roman" w:eastAsia="Times New Roman" w:hAnsi="Times New Roman"/>
                <w:sz w:val="19"/>
                <w:szCs w:val="19"/>
                <w:color w:val="auto"/>
                <w:vertAlign w:val="superscript"/>
              </w:rPr>
              <w:t>(6)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377,910</w:t>
            </w:r>
          </w:p>
        </w:tc>
        <w:tc>
          <w:tcPr>
            <w:tcW w:w="1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1,560</w:t>
            </w:r>
          </w:p>
        </w:tc>
        <w:tc>
          <w:tcPr>
            <w:tcW w:w="160" w:type="dxa"/>
            <w:vAlign w:val="bottom"/>
          </w:tcPr>
          <w:p>
            <w:pPr>
              <w:spacing w:after="0"/>
              <w:rPr>
                <w:sz w:val="15"/>
                <w:szCs w:val="15"/>
                <w:color w:val="auto"/>
              </w:rPr>
            </w:pPr>
          </w:p>
        </w:tc>
        <w:tc>
          <w:tcPr>
            <w:tcW w:w="158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Fiscal 2021</w:t>
            </w:r>
            <w:r>
              <w:rPr>
                <w:rFonts w:ascii="Times New Roman" w:cs="Times New Roman" w:eastAsia="Times New Roman" w:hAnsi="Times New Roman"/>
                <w:sz w:val="19"/>
                <w:szCs w:val="19"/>
                <w:color w:val="auto"/>
                <w:vertAlign w:val="superscript"/>
              </w:rPr>
              <w:t>(7)</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352,434</w:t>
            </w:r>
          </w:p>
        </w:tc>
        <w:tc>
          <w:tcPr>
            <w:tcW w:w="19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1,780</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6"/>
        </w:trPr>
        <w:tc>
          <w:tcPr>
            <w:tcW w:w="37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Fiscal 2022</w:t>
            </w:r>
            <w:r>
              <w:rPr>
                <w:rFonts w:ascii="Times New Roman" w:cs="Times New Roman" w:eastAsia="Times New Roman" w:hAnsi="Times New Roman"/>
                <w:sz w:val="19"/>
                <w:szCs w:val="19"/>
                <w:color w:val="auto"/>
                <w:vertAlign w:val="superscript"/>
              </w:rPr>
              <w:t>(8)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378,163</w:t>
            </w:r>
          </w:p>
        </w:tc>
        <w:tc>
          <w:tcPr>
            <w:tcW w:w="1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1,601</w:t>
            </w:r>
          </w:p>
        </w:tc>
        <w:tc>
          <w:tcPr>
            <w:tcW w:w="160" w:type="dxa"/>
            <w:vAlign w:val="bottom"/>
          </w:tcPr>
          <w:p>
            <w:pPr>
              <w:spacing w:after="0"/>
              <w:rPr>
                <w:sz w:val="15"/>
                <w:szCs w:val="15"/>
                <w:color w:val="auto"/>
              </w:rPr>
            </w:pPr>
          </w:p>
        </w:tc>
        <w:tc>
          <w:tcPr>
            <w:tcW w:w="158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Fiscal 2023</w:t>
            </w:r>
            <w:r>
              <w:rPr>
                <w:rFonts w:ascii="Times New Roman" w:cs="Times New Roman" w:eastAsia="Times New Roman" w:hAnsi="Times New Roman"/>
                <w:sz w:val="19"/>
                <w:szCs w:val="19"/>
                <w:color w:val="auto"/>
                <w:vertAlign w:val="superscript"/>
              </w:rPr>
              <w:t>(9)</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325,683</w:t>
            </w:r>
          </w:p>
        </w:tc>
        <w:tc>
          <w:tcPr>
            <w:tcW w:w="19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1,646</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5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2024</w:t>
            </w:r>
            <w:r>
              <w:rPr>
                <w:rFonts w:ascii="Times New Roman" w:cs="Times New Roman" w:eastAsia="Times New Roman" w:hAnsi="Times New Roman"/>
                <w:sz w:val="19"/>
                <w:szCs w:val="19"/>
                <w:color w:val="auto"/>
                <w:vertAlign w:val="superscript"/>
              </w:rPr>
              <w:t>(10)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285,070</w:t>
            </w:r>
          </w:p>
        </w:tc>
        <w:tc>
          <w:tcPr>
            <w:tcW w:w="1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1,689</w:t>
            </w:r>
          </w:p>
        </w:tc>
        <w:tc>
          <w:tcPr>
            <w:tcW w:w="160" w:type="dxa"/>
            <w:vAlign w:val="bottom"/>
          </w:tcPr>
          <w:p>
            <w:pPr>
              <w:spacing w:after="0"/>
              <w:rPr>
                <w:sz w:val="21"/>
                <w:szCs w:val="21"/>
                <w:color w:val="auto"/>
              </w:rPr>
            </w:pPr>
          </w:p>
        </w:tc>
        <w:tc>
          <w:tcPr>
            <w:tcW w:w="158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19030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1"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amount of each class of senior securities outstanding at the end of the period presented.</w:t>
      </w:r>
    </w:p>
    <w:p>
      <w:pPr>
        <w:spacing w:after="0" w:line="93" w:lineRule="exact"/>
        <w:rPr>
          <w:rFonts w:ascii="Times New Roman" w:cs="Times New Roman" w:eastAsia="Times New Roman" w:hAnsi="Times New Roman"/>
          <w:sz w:val="13"/>
          <w:szCs w:val="13"/>
          <w:color w:val="auto"/>
        </w:rPr>
      </w:pPr>
    </w:p>
    <w:p>
      <w:pPr>
        <w:ind w:left="380" w:right="340" w:hanging="372"/>
        <w:spacing w:after="0"/>
        <w:tabs>
          <w:tab w:leader="none" w:pos="3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Asset coverage per unit is the ratio of the carrying value of PTMN’s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79" w:lineRule="exact"/>
        <w:rPr>
          <w:rFonts w:ascii="Times New Roman" w:cs="Times New Roman" w:eastAsia="Times New Roman" w:hAnsi="Times New Roman"/>
          <w:sz w:val="13"/>
          <w:szCs w:val="13"/>
          <w:color w:val="auto"/>
        </w:rPr>
      </w:pPr>
    </w:p>
    <w:p>
      <w:pPr>
        <w:ind w:left="380" w:right="200" w:hanging="372"/>
        <w:spacing w:after="0"/>
        <w:tabs>
          <w:tab w:leader="none" w:pos="3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3" w:right="319" w:bottom="1440" w:gutter="0" w:footer="0" w:header="0"/>
        </w:sectPr>
      </w:pPr>
    </w:p>
    <w:bookmarkStart w:id="40" w:name="page41"/>
    <w:bookmarkEnd w:id="40"/>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ind w:right="-71"/>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71"/>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p>
      <w:pPr>
        <w:ind w:left="372" w:hanging="372"/>
        <w:spacing w:after="0" w:line="228" w:lineRule="auto"/>
        <w:tabs>
          <w:tab w:leader="none" w:pos="372"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 except with respect to the 7.375% Notes Due 2019 and the 6.125% Notes Due 2022, as other debt securities are not registered for public trading. For the years ended December 31, 2017, 2016, 2015, 2014, and 2013, the average market value per $1,000 of par value of the 7.375% Notes Due 2019 was $1,016.04, $1,000.00, $1,011.96, $1,037.72, and $1,032.96, respectively. For the years-ended December 31, 2020, 2019 and 2018 and for the period from August 14, 2017 (date of issuance) to December 31, 2017, the average market value per $1,000 of par value of the 6.125% Notes Due 2022 was $953.20, $1,009.93, $1,009.20 and $1,006.00, respectively. Average market value is computed by taking the daily average of the closing prices for the period.</w:t>
      </w:r>
    </w:p>
    <w:p>
      <w:pPr>
        <w:spacing w:after="0" w:line="79" w:lineRule="exact"/>
        <w:rPr>
          <w:rFonts w:ascii="Times New Roman" w:cs="Times New Roman" w:eastAsia="Times New Roman" w:hAnsi="Times New Roman"/>
          <w:sz w:val="13"/>
          <w:szCs w:val="13"/>
          <w:color w:val="auto"/>
        </w:rPr>
      </w:pPr>
    </w:p>
    <w:p>
      <w:pPr>
        <w:ind w:left="372" w:hanging="372"/>
        <w:spacing w:after="0"/>
        <w:tabs>
          <w:tab w:leader="none" w:pos="372"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2019, the Total Amount Outstanding Exclusive of Treasury Securities consisted of 6.125% Notes Due 2022 of $77,407 and Revolving Credit Facilities of $79,571.</w:t>
      </w:r>
    </w:p>
    <w:p>
      <w:pPr>
        <w:spacing w:after="0" w:line="93" w:lineRule="exact"/>
        <w:rPr>
          <w:rFonts w:ascii="Times New Roman" w:cs="Times New Roman" w:eastAsia="Times New Roman" w:hAnsi="Times New Roman"/>
          <w:sz w:val="13"/>
          <w:szCs w:val="13"/>
          <w:color w:val="auto"/>
        </w:rPr>
      </w:pPr>
    </w:p>
    <w:p>
      <w:pPr>
        <w:ind w:left="372" w:right="240" w:hanging="372"/>
        <w:spacing w:after="0"/>
        <w:tabs>
          <w:tab w:leader="none" w:pos="372"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2020, the Total Amount Outstanding Exclusive of Treasury Securities consisted of 6.125% Notes Due 2022 of $76,726, Revolving Credit Facilities of $49,321 and 2018-2 Secured Notes of $251,863.</w:t>
      </w:r>
    </w:p>
    <w:p>
      <w:pPr>
        <w:spacing w:after="0" w:line="79" w:lineRule="exact"/>
        <w:rPr>
          <w:rFonts w:ascii="Times New Roman" w:cs="Times New Roman" w:eastAsia="Times New Roman" w:hAnsi="Times New Roman"/>
          <w:sz w:val="13"/>
          <w:szCs w:val="13"/>
          <w:color w:val="auto"/>
        </w:rPr>
      </w:pPr>
    </w:p>
    <w:p>
      <w:pPr>
        <w:ind w:left="372" w:right="220" w:hanging="372"/>
        <w:spacing w:after="0"/>
        <w:tabs>
          <w:tab w:leader="none" w:pos="372"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2021, the Total Amount Outstanding Exclusive of Treasury Securities consisted of 4.875% Notes due 2026 of $108,000, Revolving Credit Facilities of $80,571 and 2018-2 Secured Notes of $163,863.</w:t>
      </w:r>
    </w:p>
    <w:p>
      <w:pPr>
        <w:spacing w:after="0" w:line="79" w:lineRule="exact"/>
        <w:rPr>
          <w:rFonts w:ascii="Times New Roman" w:cs="Times New Roman" w:eastAsia="Times New Roman" w:hAnsi="Times New Roman"/>
          <w:sz w:val="13"/>
          <w:szCs w:val="13"/>
          <w:color w:val="auto"/>
        </w:rPr>
      </w:pPr>
    </w:p>
    <w:p>
      <w:pPr>
        <w:ind w:left="372" w:right="220" w:hanging="372"/>
        <w:spacing w:after="0"/>
        <w:tabs>
          <w:tab w:leader="none" w:pos="372"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2022, the Total Amount Outstanding Exclusive of Treasury Securities consisted of 4.875% Notes due 2026 of $108,000, Revolving Credit Facilities of $92,000 and 2018-2 Secured Notes of $178,163.</w:t>
      </w:r>
    </w:p>
    <w:p>
      <w:pPr>
        <w:spacing w:after="0" w:line="79" w:lineRule="exact"/>
        <w:rPr>
          <w:rFonts w:ascii="Times New Roman" w:cs="Times New Roman" w:eastAsia="Times New Roman" w:hAnsi="Times New Roman"/>
          <w:sz w:val="13"/>
          <w:szCs w:val="13"/>
          <w:color w:val="auto"/>
        </w:rPr>
      </w:pPr>
    </w:p>
    <w:p>
      <w:pPr>
        <w:ind w:left="372" w:right="220" w:hanging="372"/>
        <w:spacing w:after="0"/>
        <w:tabs>
          <w:tab w:leader="none" w:pos="372"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2023, the Total Amount Outstanding Exclusive of Treasury Securities consisted of 4.875% Notes due 2026 of $108,000, Revolving Credit Facilities of $92,000 and 2018-2 Secured Notes of $125,683.</w:t>
      </w:r>
    </w:p>
    <w:p>
      <w:pPr>
        <w:spacing w:after="0" w:line="79" w:lineRule="exact"/>
        <w:rPr>
          <w:rFonts w:ascii="Times New Roman" w:cs="Times New Roman" w:eastAsia="Times New Roman" w:hAnsi="Times New Roman"/>
          <w:sz w:val="13"/>
          <w:szCs w:val="13"/>
          <w:color w:val="auto"/>
        </w:rPr>
      </w:pPr>
    </w:p>
    <w:p>
      <w:pPr>
        <w:ind w:left="372" w:hanging="372"/>
        <w:spacing w:after="0"/>
        <w:tabs>
          <w:tab w:leader="none" w:pos="372"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June 30, 2024, the Total Amount Outstanding Exclusive of Treasury Securities consisted of 4.875% Notes due 2026 of $108,000, Revolving Credit Facilities of $92,000 and 2018-2 Secured Notes of $85,070.</w:t>
      </w:r>
    </w:p>
    <w:p>
      <w:pPr>
        <w:spacing w:after="0" w:line="200" w:lineRule="exact"/>
        <w:rPr>
          <w:sz w:val="20"/>
          <w:szCs w:val="20"/>
          <w:color w:val="auto"/>
        </w:rPr>
      </w:pPr>
    </w:p>
    <w:p>
      <w:pPr>
        <w:spacing w:after="0" w:line="378"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763" w:right="39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7" w:lineRule="exact"/>
        <w:rPr>
          <w:sz w:val="20"/>
          <w:szCs w:val="20"/>
          <w:color w:val="auto"/>
        </w:rPr>
      </w:pPr>
    </w:p>
    <w:p>
      <w:pPr>
        <w:ind w:left="300" w:hanging="292"/>
        <w:spacing w:after="0"/>
        <w:tabs>
          <w:tab w:leader="none" w:pos="3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DISTRIBUTABLE TAXABLE INCOME</w:t>
      </w:r>
    </w:p>
    <w:p>
      <w:pPr>
        <w:spacing w:after="0" w:line="98" w:lineRule="exact"/>
        <w:rPr>
          <w:sz w:val="20"/>
          <w:szCs w:val="20"/>
          <w:color w:val="auto"/>
        </w:rPr>
      </w:pPr>
    </w:p>
    <w:p>
      <w:pPr>
        <w:ind w:right="40" w:firstLine="374"/>
        <w:spacing w:after="0" w:line="231" w:lineRule="auto"/>
        <w:rPr>
          <w:sz w:val="20"/>
          <w:szCs w:val="20"/>
          <w:color w:val="auto"/>
        </w:rPr>
      </w:pPr>
      <w:r>
        <w:rPr>
          <w:rFonts w:ascii="Times New Roman" w:cs="Times New Roman" w:eastAsia="Times New Roman" w:hAnsi="Times New Roman"/>
          <w:sz w:val="14"/>
          <w:szCs w:val="14"/>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2021).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69" w:lineRule="exact"/>
        <w:rPr>
          <w:sz w:val="20"/>
          <w:szCs w:val="20"/>
          <w:color w:val="auto"/>
        </w:rPr>
      </w:pPr>
    </w:p>
    <w:p>
      <w:pPr>
        <w:ind w:firstLine="374"/>
        <w:spacing w:after="0"/>
        <w:rPr>
          <w:sz w:val="20"/>
          <w:szCs w:val="20"/>
          <w:color w:val="auto"/>
        </w:rPr>
      </w:pPr>
      <w:r>
        <w:rPr>
          <w:rFonts w:ascii="Times New Roman" w:cs="Times New Roman" w:eastAsia="Times New Roman" w:hAnsi="Times New Roman"/>
          <w:sz w:val="14"/>
          <w:szCs w:val="14"/>
          <w:color w:val="auto"/>
        </w:rPr>
        <w:t>The Company may distribute taxable dividends that are payable in cash or shares of its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with respect to publicly offered RICs indicating that this rule will apply even where the total amount of cash that may be distributed is limited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the Company decides to make any distributions consistent with this guidance that are payable in part in its stock, taxable stockholders receiving such dividends will be required to include the full amount of the dividend (whether received in cash, shares of the Company’s stock, or a combination thereof) as ordinary income (or as long-term capital gain to the extent such distribution is properly reported as a capital gain dividend) to the extent of the Company’s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the Company’s stock at the time of the sale. Furthermore, with respect to non-U.S. stockholders, the Company may be required to withhold U.S. tax with respect to such dividends, including in respect of all or a portion of such dividend that is payable in stock. In addition, if a significant number of the Company’s stockholders determine to sell shares of its stock in order to pay taxes owed on dividends, it may put downward pressure on the trading price of the Company’s stock.</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reconciles net increase (decrease) in net assets resulting from operations to taxable income for six months ended June 30, 2024 and 2023:</w:t>
      </w:r>
    </w:p>
    <w:p>
      <w:pPr>
        <w:spacing w:after="0" w:line="242"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(1,887 )</w:t>
            </w:r>
          </w:p>
        </w:tc>
        <w:tc>
          <w:tcPr>
            <w:tcW w:w="5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(3,059 )</w:t>
            </w: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benefit (provision) on realized and unrealized gains (losses) on investments</w:t>
            </w: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(407 )</w:t>
            </w: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3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5,895</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10,136</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gain (loss)</w:t>
            </w: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9,231</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9,774</w:t>
            </w: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Book/tax differences on CLO equity investments</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(523 )</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(860 )</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Book/tax differences related to mergers and partnership investments</w:t>
            </w: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1,052</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(1,301 )</w:t>
            </w: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book/tax differences</w:t>
            </w: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Taxable income before deductions for distributions</w:t>
            </w: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13,231</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14,885</w:t>
            </w:r>
          </w:p>
        </w:tc>
        <w:tc>
          <w:tcPr>
            <w:tcW w:w="0" w:type="dxa"/>
            <w:vAlign w:val="bottom"/>
          </w:tcPr>
          <w:p>
            <w:pPr>
              <w:spacing w:after="0"/>
              <w:rPr>
                <w:sz w:val="1"/>
                <w:szCs w:val="1"/>
                <w:color w:val="auto"/>
              </w:rPr>
            </w:pPr>
          </w:p>
        </w:tc>
      </w:tr>
      <w:tr>
        <w:trPr>
          <w:trHeight w:val="120"/>
        </w:trPr>
        <w:tc>
          <w:tcPr>
            <w:tcW w:w="770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Taxable income before deductions for distributions per weighted</w:t>
            </w:r>
          </w:p>
        </w:tc>
        <w:tc>
          <w:tcPr>
            <w:tcW w:w="3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1.42</w:t>
            </w:r>
          </w:p>
        </w:tc>
        <w:tc>
          <w:tcPr>
            <w:tcW w:w="52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88"/>
        </w:trPr>
        <w:tc>
          <w:tcPr>
            <w:tcW w:w="7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average basic and diluted shares for the period</w:t>
            </w:r>
          </w:p>
        </w:tc>
        <w:tc>
          <w:tcPr>
            <w:tcW w:w="38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-233045</wp:posOffset>
            </wp:positionV>
            <wp:extent cx="939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-215900</wp:posOffset>
            </wp:positionV>
            <wp:extent cx="939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2" w:lineRule="exact"/>
        <w:rPr>
          <w:sz w:val="20"/>
          <w:szCs w:val="20"/>
          <w:color w:val="auto"/>
        </w:rPr>
      </w:pPr>
    </w:p>
    <w:p>
      <w:pPr>
        <w:ind w:right="100" w:firstLine="374"/>
        <w:spacing w:after="0" w:line="236" w:lineRule="auto"/>
        <w:rPr>
          <w:sz w:val="20"/>
          <w:szCs w:val="20"/>
          <w:color w:val="auto"/>
        </w:rPr>
      </w:pPr>
      <w:r>
        <w:rPr>
          <w:rFonts w:ascii="Times New Roman" w:cs="Times New Roman" w:eastAsia="Times New Roman" w:hAnsi="Times New Roman"/>
          <w:sz w:val="14"/>
          <w:szCs w:val="14"/>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three and six months ended June 30, 2024, the Asset Manager Affiliates did not make any cash distributions to the Company.</w:t>
      </w:r>
    </w:p>
    <w:p>
      <w:pPr>
        <w:spacing w:after="0" w:line="69" w:lineRule="exact"/>
        <w:rPr>
          <w:sz w:val="20"/>
          <w:szCs w:val="20"/>
          <w:color w:val="auto"/>
        </w:rPr>
      </w:pPr>
    </w:p>
    <w:p>
      <w:pPr>
        <w:ind w:right="60" w:firstLine="374"/>
        <w:spacing w:after="0" w:line="236" w:lineRule="auto"/>
        <w:rPr>
          <w:sz w:val="20"/>
          <w:szCs w:val="20"/>
          <w:color w:val="auto"/>
        </w:rPr>
      </w:pPr>
      <w:r>
        <w:rPr>
          <w:rFonts w:ascii="Times New Roman" w:cs="Times New Roman" w:eastAsia="Times New Roman" w:hAnsi="Times New Roman"/>
          <w:sz w:val="14"/>
          <w:szCs w:val="14"/>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69"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4"/>
          <w:szCs w:val="14"/>
          <w:color w:val="auto"/>
        </w:rPr>
        <w:t>At June 30, 2024, the Company had a net capital loss carryforward of $463.0 million to offset net capital gains. This net capital loss carryforward is not subject to expiration. A portion of the Company’s capital loss carryovers are subject to an annual use limitation under the Code and related regulations.</w:t>
      </w:r>
    </w:p>
    <w:p>
      <w:pPr>
        <w:spacing w:after="0" w:line="55" w:lineRule="exact"/>
        <w:rPr>
          <w:sz w:val="20"/>
          <w:szCs w:val="20"/>
          <w:color w:val="auto"/>
        </w:rPr>
      </w:pPr>
    </w:p>
    <w:p>
      <w:pPr>
        <w:ind w:right="120" w:firstLine="374"/>
        <w:spacing w:after="0" w:line="241" w:lineRule="auto"/>
        <w:rPr>
          <w:sz w:val="20"/>
          <w:szCs w:val="20"/>
          <w:color w:val="auto"/>
        </w:rPr>
      </w:pPr>
      <w:r>
        <w:rPr>
          <w:rFonts w:ascii="Times New Roman" w:cs="Times New Roman" w:eastAsia="Times New Roman" w:hAnsi="Times New Roman"/>
          <w:sz w:val="14"/>
          <w:szCs w:val="14"/>
          <w:color w:val="auto"/>
        </w:rPr>
        <w:t>The Company has certain taxable subsidiaries which have elected to be taxed as corporations for U.S. tax purposes. For the six months ended June 30, 2024, the taxable subsidiaries’ activity resulted in a benefit for income taxes of $0.5 million. As of June 30, 2024, the taxable subsidiaries have, in aggregate, $0.8 million of net deferred tax liabilities. A portion of the taxable subsidiaries’ net operating loss and capital loss carryovers are subject to an annual use limitation under the Code and related regulations.</w:t>
      </w:r>
    </w:p>
    <w:p>
      <w:pPr>
        <w:spacing w:after="0" w:line="69" w:lineRule="exact"/>
        <w:rPr>
          <w:sz w:val="20"/>
          <w:szCs w:val="20"/>
          <w:color w:val="auto"/>
        </w:rPr>
      </w:pPr>
    </w:p>
    <w:p>
      <w:pPr>
        <w:ind w:right="80" w:firstLine="374"/>
        <w:spacing w:after="0" w:line="228" w:lineRule="auto"/>
        <w:rPr>
          <w:sz w:val="20"/>
          <w:szCs w:val="20"/>
          <w:color w:val="auto"/>
        </w:rPr>
      </w:pPr>
      <w:r>
        <w:rPr>
          <w:rFonts w:ascii="Times New Roman" w:cs="Times New Roman" w:eastAsia="Times New Roman" w:hAnsi="Times New Roman"/>
          <w:sz w:val="14"/>
          <w:szCs w:val="14"/>
          <w:color w:val="auto"/>
        </w:rPr>
        <w:t>ASC Topic 740 Accounting for Uncertainty in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7" w:lineRule="exact"/>
        <w:rPr>
          <w:sz w:val="20"/>
          <w:szCs w:val="20"/>
          <w:color w:val="auto"/>
        </w:rPr>
      </w:pPr>
    </w:p>
    <w:p>
      <w:pPr>
        <w:ind w:left="300" w:hanging="292"/>
        <w:spacing w:after="0"/>
        <w:tabs>
          <w:tab w:leader="none" w:pos="30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98" w:lineRule="exact"/>
        <w:rPr>
          <w:sz w:val="20"/>
          <w:szCs w:val="20"/>
          <w:color w:val="auto"/>
        </w:rPr>
      </w:pPr>
    </w:p>
    <w:p>
      <w:pPr>
        <w:ind w:right="60" w:firstLine="374"/>
        <w:spacing w:after="0" w:line="236" w:lineRule="auto"/>
        <w:rPr>
          <w:sz w:val="20"/>
          <w:szCs w:val="20"/>
          <w:color w:val="auto"/>
        </w:rPr>
      </w:pPr>
      <w:r>
        <w:rPr>
          <w:rFonts w:ascii="Times New Roman" w:cs="Times New Roman" w:eastAsia="Times New Roman" w:hAnsi="Times New Roman"/>
          <w:sz w:val="14"/>
          <w:szCs w:val="14"/>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June 30, 2024, and December 31, 2023, the Company had $32.7 million and $28.6 million unfunded commitments, respectively.</w:t>
      </w:r>
    </w:p>
    <w:p>
      <w:pPr>
        <w:spacing w:after="0" w:line="69"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4"/>
          <w:szCs w:val="14"/>
          <w:color w:val="auto"/>
        </w:rPr>
        <w:t>The Company may, from time to time, enter into commitments to fund investments. These unfunded commitments are assessed for fair value in accordance with ASC 820. As of June 30, 2024 and December 31, 2023, the Company had the following outstanding commitments to fund investments in current portfolio companies: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187"/>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40" w:type="dxa"/>
            <w:vAlign w:val="bottom"/>
          </w:tcPr>
          <w:p>
            <w:pPr>
              <w:spacing w:after="0"/>
              <w:rPr>
                <w:sz w:val="16"/>
                <w:szCs w:val="16"/>
                <w:color w:val="auto"/>
              </w:rPr>
            </w:pPr>
          </w:p>
        </w:tc>
        <w:tc>
          <w:tcPr>
            <w:tcW w:w="2820" w:type="dxa"/>
            <w:vAlign w:val="bottom"/>
            <w:tcBorders>
              <w:bottom w:val="single" w:sz="8" w:color="auto"/>
            </w:tcBorders>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Accordion Partners LLC (Revolver)</w:t>
            </w:r>
          </w:p>
        </w:tc>
        <w:tc>
          <w:tcPr>
            <w:tcW w:w="140" w:type="dxa"/>
            <w:vAlign w:val="bottom"/>
            <w:shd w:val="clear" w:color="auto" w:fill="CFF0FC"/>
          </w:tcPr>
          <w:p>
            <w:pPr>
              <w:spacing w:after="0"/>
              <w:rPr>
                <w:sz w:val="14"/>
                <w:szCs w:val="14"/>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8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765</w:t>
            </w:r>
          </w:p>
        </w:tc>
        <w:tc>
          <w:tcPr>
            <w:tcW w:w="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1,531</w:t>
            </w:r>
          </w:p>
        </w:tc>
      </w:tr>
      <w:tr>
        <w:trPr>
          <w:trHeight w:val="17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AMCP Pet Holdings, Inc. (Revolver)</w:t>
            </w:r>
          </w:p>
        </w:tc>
        <w:tc>
          <w:tcPr>
            <w:tcW w:w="1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Revolving Loan</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350</w:t>
            </w:r>
          </w:p>
        </w:tc>
      </w:tr>
      <w:tr>
        <w:trPr>
          <w:trHeight w:val="17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Anthem Sports &amp; Entertainment Inc. (Revolver)</w:t>
            </w:r>
          </w:p>
        </w:tc>
        <w:tc>
          <w:tcPr>
            <w:tcW w:w="140" w:type="dxa"/>
            <w:vAlign w:val="bottom"/>
            <w:shd w:val="clear" w:color="auto" w:fill="CFF0FC"/>
          </w:tcPr>
          <w:p>
            <w:pPr>
              <w:spacing w:after="0"/>
              <w:rPr>
                <w:sz w:val="15"/>
                <w:szCs w:val="15"/>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83</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83</w:t>
            </w:r>
          </w:p>
        </w:tc>
      </w:tr>
      <w:tr>
        <w:trPr>
          <w:trHeight w:val="17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BetaNXT, Inc. (Revolver)</w:t>
            </w:r>
          </w:p>
        </w:tc>
        <w:tc>
          <w:tcPr>
            <w:tcW w:w="1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1,328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2,174</w:t>
            </w:r>
          </w:p>
        </w:tc>
      </w:tr>
      <w:tr>
        <w:trPr>
          <w:trHeight w:val="17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Bradshaw International Parent Corp. (Revolver)</w:t>
            </w:r>
          </w:p>
        </w:tc>
        <w:tc>
          <w:tcPr>
            <w:tcW w:w="140" w:type="dxa"/>
            <w:vAlign w:val="bottom"/>
            <w:shd w:val="clear" w:color="auto" w:fill="CFF0FC"/>
          </w:tcPr>
          <w:p>
            <w:pPr>
              <w:spacing w:after="0"/>
              <w:rPr>
                <w:sz w:val="15"/>
                <w:szCs w:val="15"/>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922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922</w:t>
            </w:r>
          </w:p>
        </w:tc>
      </w:tr>
      <w:tr>
        <w:trPr>
          <w:trHeight w:val="17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CCMG Buyer, LLC (Care Connectors Medical Group) (Revolver)</w:t>
            </w:r>
          </w:p>
        </w:tc>
        <w:tc>
          <w:tcPr>
            <w:tcW w:w="1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Centric Brands Inc. (Revolver)</w:t>
            </w:r>
          </w:p>
        </w:tc>
        <w:tc>
          <w:tcPr>
            <w:tcW w:w="140" w:type="dxa"/>
            <w:vAlign w:val="bottom"/>
            <w:shd w:val="clear" w:color="auto" w:fill="CFF0FC"/>
          </w:tcPr>
          <w:p>
            <w:pPr>
              <w:spacing w:after="0"/>
              <w:rPr>
                <w:sz w:val="15"/>
                <w:szCs w:val="15"/>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1,166</w:t>
            </w:r>
          </w:p>
        </w:tc>
      </w:tr>
      <w:tr>
        <w:trPr>
          <w:trHeight w:val="17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Colonnade Intermediate, LLC (Revolver)</w:t>
            </w:r>
          </w:p>
        </w:tc>
        <w:tc>
          <w:tcPr>
            <w:tcW w:w="1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r>
      <w:tr>
        <w:trPr>
          <w:trHeight w:val="175"/>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Colonnade Intermediate, LLC (Super Priority)</w:t>
            </w:r>
          </w:p>
        </w:tc>
        <w:tc>
          <w:tcPr>
            <w:tcW w:w="140" w:type="dxa"/>
            <w:vAlign w:val="bottom"/>
            <w:shd w:val="clear" w:color="auto" w:fill="CFF0FC"/>
          </w:tcPr>
          <w:p>
            <w:pPr>
              <w:spacing w:after="0"/>
              <w:rPr>
                <w:sz w:val="15"/>
                <w:szCs w:val="15"/>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Delayed Draw Term Loan</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Critical Nurse Staffing, LLC (Revolver)</w:t>
            </w:r>
          </w:p>
        </w:tc>
        <w:tc>
          <w:tcPr>
            <w:tcW w:w="1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2,000</w:t>
            </w:r>
          </w:p>
        </w:tc>
      </w:tr>
      <w:tr>
        <w:trPr>
          <w:trHeight w:val="17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Dentive, LLC</w:t>
            </w:r>
          </w:p>
        </w:tc>
        <w:tc>
          <w:tcPr>
            <w:tcW w:w="140" w:type="dxa"/>
            <w:vAlign w:val="bottom"/>
            <w:shd w:val="clear" w:color="auto" w:fill="CFF0FC"/>
          </w:tcPr>
          <w:p>
            <w:pPr>
              <w:spacing w:after="0"/>
              <w:rPr>
                <w:sz w:val="15"/>
                <w:szCs w:val="15"/>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Delayed Draw Term Loan</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830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430</w:t>
            </w:r>
          </w:p>
        </w:tc>
      </w:tr>
      <w:tr>
        <w:trPr>
          <w:trHeight w:val="17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Dentive, LLC (Revolver)</w:t>
            </w:r>
          </w:p>
        </w:tc>
        <w:tc>
          <w:tcPr>
            <w:tcW w:w="1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186</w:t>
            </w:r>
          </w:p>
        </w:tc>
      </w:tr>
      <w:tr>
        <w:trPr>
          <w:trHeight w:val="17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Fortis Payment Systems, LLC</w:t>
            </w:r>
          </w:p>
        </w:tc>
        <w:tc>
          <w:tcPr>
            <w:tcW w:w="140" w:type="dxa"/>
            <w:vAlign w:val="bottom"/>
            <w:shd w:val="clear" w:color="auto" w:fill="CFF0FC"/>
          </w:tcPr>
          <w:p>
            <w:pPr>
              <w:spacing w:after="0"/>
              <w:rPr>
                <w:sz w:val="15"/>
                <w:szCs w:val="15"/>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Delayed Draw Term Loan</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711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GreenPark Infrastructure, LLC - Series M-1</w:t>
            </w:r>
          </w:p>
        </w:tc>
        <w:tc>
          <w:tcPr>
            <w:tcW w:w="1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Common Stock and Membership Units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1,829</w:t>
            </w:r>
          </w:p>
        </w:tc>
      </w:tr>
      <w:tr>
        <w:trPr>
          <w:trHeight w:val="17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H.W. Lochner, Inc. (Revolver)</w:t>
            </w:r>
          </w:p>
        </w:tc>
        <w:tc>
          <w:tcPr>
            <w:tcW w:w="140" w:type="dxa"/>
            <w:vAlign w:val="bottom"/>
            <w:shd w:val="clear" w:color="auto" w:fill="CFF0FC"/>
          </w:tcPr>
          <w:p>
            <w:pPr>
              <w:spacing w:after="0"/>
              <w:rPr>
                <w:sz w:val="15"/>
                <w:szCs w:val="15"/>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4,142</w:t>
            </w:r>
          </w:p>
        </w:tc>
      </w:tr>
      <w:tr>
        <w:trPr>
          <w:trHeight w:val="17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IDC Infusion Services</w:t>
            </w:r>
          </w:p>
        </w:tc>
        <w:tc>
          <w:tcPr>
            <w:tcW w:w="1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Delayed Draw Term Loan</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1,065</w:t>
            </w:r>
          </w:p>
        </w:tc>
      </w:tr>
      <w:tr>
        <w:trPr>
          <w:trHeight w:val="17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Luminii LLC (Revolver)</w:t>
            </w:r>
          </w:p>
        </w:tc>
        <w:tc>
          <w:tcPr>
            <w:tcW w:w="140" w:type="dxa"/>
            <w:vAlign w:val="bottom"/>
            <w:shd w:val="clear" w:color="auto" w:fill="CFF0FC"/>
          </w:tcPr>
          <w:p>
            <w:pPr>
              <w:spacing w:after="0"/>
              <w:rPr>
                <w:sz w:val="15"/>
                <w:szCs w:val="15"/>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172</w:t>
            </w:r>
          </w:p>
        </w:tc>
      </w:tr>
      <w:tr>
        <w:trPr>
          <w:trHeight w:val="17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Morae Global Corporation (Revolver)</w:t>
            </w:r>
          </w:p>
        </w:tc>
        <w:tc>
          <w:tcPr>
            <w:tcW w:w="1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208</w:t>
            </w:r>
          </w:p>
        </w:tc>
      </w:tr>
      <w:tr>
        <w:trPr>
          <w:trHeight w:val="175"/>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Netwrix Corporation (Revolver)</w:t>
            </w:r>
          </w:p>
        </w:tc>
        <w:tc>
          <w:tcPr>
            <w:tcW w:w="140" w:type="dxa"/>
            <w:vAlign w:val="bottom"/>
            <w:shd w:val="clear" w:color="auto" w:fill="CFF0FC"/>
          </w:tcPr>
          <w:p>
            <w:pPr>
              <w:spacing w:after="0"/>
              <w:rPr>
                <w:sz w:val="15"/>
                <w:szCs w:val="15"/>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1,148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1,148</w:t>
            </w:r>
          </w:p>
        </w:tc>
      </w:tr>
      <w:tr>
        <w:trPr>
          <w:trHeight w:val="17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Netwrix Corporation</w:t>
            </w:r>
          </w:p>
        </w:tc>
        <w:tc>
          <w:tcPr>
            <w:tcW w:w="1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Delayed Draw Term Loan</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941</w:t>
            </w:r>
          </w:p>
        </w:tc>
      </w:tr>
      <w:tr>
        <w:trPr>
          <w:trHeight w:val="175"/>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PhyNet Dermatology LLC</w:t>
            </w:r>
          </w:p>
        </w:tc>
        <w:tc>
          <w:tcPr>
            <w:tcW w:w="140" w:type="dxa"/>
            <w:vAlign w:val="bottom"/>
            <w:shd w:val="clear" w:color="auto" w:fill="CFF0FC"/>
          </w:tcPr>
          <w:p>
            <w:pPr>
              <w:spacing w:after="0"/>
              <w:rPr>
                <w:sz w:val="15"/>
                <w:szCs w:val="15"/>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Delayed Draw Term Loan</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690</w:t>
            </w:r>
          </w:p>
        </w:tc>
      </w:tr>
      <w:tr>
        <w:trPr>
          <w:trHeight w:val="17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PMP OPCO, LLC (Princeton Medspa Partners, LLC)</w:t>
            </w:r>
          </w:p>
        </w:tc>
        <w:tc>
          <w:tcPr>
            <w:tcW w:w="1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Delayed Draw Term Loan</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PMP OPCO, LLC (Princeton Medspa Partners, LLC) (Revolver)</w:t>
            </w:r>
          </w:p>
        </w:tc>
        <w:tc>
          <w:tcPr>
            <w:tcW w:w="140" w:type="dxa"/>
            <w:vAlign w:val="bottom"/>
            <w:shd w:val="clear" w:color="auto" w:fill="CFF0FC"/>
          </w:tcPr>
          <w:p>
            <w:pPr>
              <w:spacing w:after="0"/>
              <w:rPr>
                <w:sz w:val="15"/>
                <w:szCs w:val="15"/>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Qualtek LLC (ABL Revolver)</w:t>
            </w:r>
          </w:p>
        </w:tc>
        <w:tc>
          <w:tcPr>
            <w:tcW w:w="1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Riddell, Inc.</w:t>
            </w:r>
          </w:p>
        </w:tc>
        <w:tc>
          <w:tcPr>
            <w:tcW w:w="140" w:type="dxa"/>
            <w:vAlign w:val="bottom"/>
            <w:shd w:val="clear" w:color="auto" w:fill="CFF0FC"/>
          </w:tcPr>
          <w:p>
            <w:pPr>
              <w:spacing w:after="0"/>
              <w:rPr>
                <w:sz w:val="15"/>
                <w:szCs w:val="15"/>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Delayed Draw Term Loan</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636</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Riskonnect Parent LLC</w:t>
            </w:r>
          </w:p>
        </w:tc>
        <w:tc>
          <w:tcPr>
            <w:tcW w:w="1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Delayed Draw Term Loan</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5,000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A-Great Lakes Funding II LLC</w:t>
            </w:r>
          </w:p>
        </w:tc>
        <w:tc>
          <w:tcPr>
            <w:tcW w:w="140" w:type="dxa"/>
            <w:vAlign w:val="bottom"/>
            <w:shd w:val="clear" w:color="auto" w:fill="CFF0FC"/>
          </w:tcPr>
          <w:p>
            <w:pPr>
              <w:spacing w:after="0"/>
              <w:rPr>
                <w:sz w:val="15"/>
                <w:szCs w:val="15"/>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Joint Venture</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10,145</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5,473</w:t>
            </w:r>
          </w:p>
        </w:tc>
      </w:tr>
      <w:tr>
        <w:trPr>
          <w:trHeight w:val="17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TA/WEG Holdings, LLC</w:t>
            </w:r>
          </w:p>
        </w:tc>
        <w:tc>
          <w:tcPr>
            <w:tcW w:w="1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Delayed Draw Term Loan</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758</w:t>
            </w:r>
          </w:p>
        </w:tc>
      </w:tr>
      <w:tr>
        <w:trPr>
          <w:trHeight w:val="175"/>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TA/WEG Holdings, LLC (Revolver)</w:t>
            </w:r>
          </w:p>
        </w:tc>
        <w:tc>
          <w:tcPr>
            <w:tcW w:w="140" w:type="dxa"/>
            <w:vAlign w:val="bottom"/>
            <w:shd w:val="clear" w:color="auto" w:fill="CFF0FC"/>
          </w:tcPr>
          <w:p>
            <w:pPr>
              <w:spacing w:after="0"/>
              <w:rPr>
                <w:sz w:val="15"/>
                <w:szCs w:val="15"/>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784</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784</w:t>
            </w:r>
          </w:p>
        </w:tc>
      </w:tr>
      <w:tr>
        <w:trPr>
          <w:trHeight w:val="17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Tactical Air Support, Inc.</w:t>
            </w:r>
          </w:p>
        </w:tc>
        <w:tc>
          <w:tcPr>
            <w:tcW w:w="1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Delayed Draw Term Loan</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286</w:t>
            </w:r>
          </w:p>
        </w:tc>
      </w:tr>
      <w:tr>
        <w:trPr>
          <w:trHeight w:val="175"/>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VBC Spine Opco LLC (DxTx Pain and Spine LLC) (Revolver)</w:t>
            </w:r>
          </w:p>
        </w:tc>
        <w:tc>
          <w:tcPr>
            <w:tcW w:w="140" w:type="dxa"/>
            <w:vAlign w:val="bottom"/>
            <w:shd w:val="clear" w:color="auto" w:fill="CFF0FC"/>
          </w:tcPr>
          <w:p>
            <w:pPr>
              <w:spacing w:after="0"/>
              <w:rPr>
                <w:sz w:val="15"/>
                <w:szCs w:val="15"/>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Revolver</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258</w:t>
            </w:r>
          </w:p>
        </w:tc>
      </w:tr>
      <w:tr>
        <w:trPr>
          <w:trHeight w:val="17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VBC Spine Opco LLC (DxTx Pain and Spine LLC)</w:t>
            </w:r>
          </w:p>
        </w:tc>
        <w:tc>
          <w:tcPr>
            <w:tcW w:w="14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Delayed Draw Term Loan</w:t>
            </w: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761</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1,902</w:t>
            </w:r>
          </w:p>
        </w:tc>
      </w:tr>
      <w:tr>
        <w:trPr>
          <w:trHeight w:val="209"/>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Unfunded Portfolio Company Commitments</w:t>
            </w:r>
          </w:p>
        </w:tc>
        <w:tc>
          <w:tcPr>
            <w:tcW w:w="140" w:type="dxa"/>
            <w:vAlign w:val="bottom"/>
            <w:tcBorders>
              <w:bottom w:val="single" w:sz="8" w:color="CFF0FC"/>
            </w:tcBorders>
            <w:shd w:val="clear" w:color="auto" w:fill="CFF0FC"/>
          </w:tcPr>
          <w:p>
            <w:pPr>
              <w:spacing w:after="0"/>
              <w:rPr>
                <w:sz w:val="18"/>
                <w:szCs w:val="18"/>
                <w:color w:val="auto"/>
              </w:rPr>
            </w:pPr>
          </w:p>
        </w:tc>
        <w:tc>
          <w:tcPr>
            <w:tcW w:w="28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32,658</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28,566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625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625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65"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4"/>
          <w:szCs w:val="14"/>
          <w:color w:val="auto"/>
        </w:rPr>
        <w:t>The Company is involved in litigation in the normal course of its operations and does not expect that the outcome of those litigations to have a material adverse impact to the Company’s financial position or results of operations.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7" w:lineRule="exact"/>
        <w:rPr>
          <w:sz w:val="20"/>
          <w:szCs w:val="20"/>
          <w:color w:val="auto"/>
        </w:rPr>
      </w:pPr>
    </w:p>
    <w:p>
      <w:pPr>
        <w:ind w:left="300" w:hanging="292"/>
        <w:spacing w:after="0"/>
        <w:tabs>
          <w:tab w:leader="none" w:pos="30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STOCKHOLDERS’ EQUITY</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tables detail the components of Stockholders’ Equity for the six months ended June 30, 2024 and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00" w:type="dxa"/>
            <w:vAlign w:val="bottom"/>
          </w:tcPr>
          <w:p>
            <w:pPr>
              <w:spacing w:after="0"/>
              <w:rPr>
                <w:sz w:val="11"/>
                <w:szCs w:val="11"/>
                <w:color w:val="auto"/>
              </w:rPr>
            </w:pPr>
          </w:p>
        </w:tc>
        <w:tc>
          <w:tcPr>
            <w:tcW w:w="1080" w:type="dxa"/>
            <w:vAlign w:val="bottom"/>
            <w:vMerge w:val="restart"/>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192"/>
              <w:spacing w:after="0" w:line="131" w:lineRule="exact"/>
              <w:rPr>
                <w:sz w:val="20"/>
                <w:szCs w:val="20"/>
                <w:color w:val="auto"/>
              </w:rPr>
            </w:pPr>
            <w:r>
              <w:rPr>
                <w:rFonts w:ascii="Times New Roman" w:cs="Times New Roman" w:eastAsia="Times New Roman" w:hAnsi="Times New Roman"/>
                <w:sz w:val="14"/>
                <w:szCs w:val="14"/>
                <w:b w:val="1"/>
                <w:bCs w:val="1"/>
                <w:color w:val="auto"/>
              </w:rPr>
              <w:t>Capital in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172"/>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center"/>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Excess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Distributable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right="232"/>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1080" w:type="dxa"/>
            <w:vAlign w:val="bottom"/>
            <w:tcBorders>
              <w:bottom w:val="single" w:sz="8" w:color="auto"/>
            </w:tcBorders>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of Par 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(loss) earnings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January 1, 2024</w:t>
            </w:r>
          </w:p>
        </w:tc>
        <w:tc>
          <w:tcPr>
            <w:tcW w:w="1080" w:type="dxa"/>
            <w:vAlign w:val="bottom"/>
            <w:shd w:val="clear" w:color="auto" w:fill="CFF0FC"/>
          </w:tcPr>
          <w:p>
            <w:pPr>
              <w:jc w:val="right"/>
              <w:ind w:right="93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94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717,835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(504,411 )</w:t>
            </w:r>
          </w:p>
        </w:tc>
        <w:tc>
          <w:tcPr>
            <w:tcW w:w="3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213,518</w:t>
            </w:r>
          </w:p>
        </w:tc>
        <w:tc>
          <w:tcPr>
            <w:tcW w:w="0" w:type="dxa"/>
            <w:vAlign w:val="bottom"/>
          </w:tcPr>
          <w:p>
            <w:pPr>
              <w:spacing w:after="0"/>
              <w:rPr>
                <w:sz w:val="1"/>
                <w:szCs w:val="1"/>
                <w:color w:val="auto"/>
              </w:rPr>
            </w:pPr>
          </w:p>
        </w:tc>
      </w:tr>
      <w:tr>
        <w:trPr>
          <w:trHeight w:val="175"/>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investment income</w:t>
            </w:r>
          </w:p>
        </w:tc>
        <w:tc>
          <w:tcPr>
            <w:tcW w:w="1080" w:type="dxa"/>
            <w:vAlign w:val="bottom"/>
          </w:tcPr>
          <w:p>
            <w:pPr>
              <w:spacing w:after="0"/>
              <w:rPr>
                <w:sz w:val="15"/>
                <w:szCs w:val="15"/>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6,226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6,226</w:t>
            </w:r>
          </w:p>
        </w:tc>
        <w:tc>
          <w:tcPr>
            <w:tcW w:w="0" w:type="dxa"/>
            <w:vAlign w:val="bottom"/>
          </w:tcPr>
          <w:p>
            <w:pPr>
              <w:spacing w:after="0"/>
              <w:rPr>
                <w:sz w:val="1"/>
                <w:szCs w:val="1"/>
                <w:color w:val="auto"/>
              </w:rPr>
            </w:pPr>
          </w:p>
        </w:tc>
      </w:tr>
      <w:tr>
        <w:trPr>
          <w:trHeight w:val="17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on investments</w:t>
            </w: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75"/>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(losses) from investment transactions and extinguishment of debt</w:t>
            </w:r>
          </w:p>
        </w:tc>
        <w:tc>
          <w:tcPr>
            <w:tcW w:w="1080" w:type="dxa"/>
            <w:vAlign w:val="bottom"/>
          </w:tcPr>
          <w:p>
            <w:pPr>
              <w:spacing w:after="0"/>
              <w:rPr>
                <w:sz w:val="15"/>
                <w:szCs w:val="15"/>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(2,270 )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(2,270 )</w:t>
            </w:r>
          </w:p>
        </w:tc>
        <w:tc>
          <w:tcPr>
            <w:tcW w:w="0" w:type="dxa"/>
            <w:vAlign w:val="bottom"/>
          </w:tcPr>
          <w:p>
            <w:pPr>
              <w:spacing w:after="0"/>
              <w:rPr>
                <w:sz w:val="1"/>
                <w:szCs w:val="1"/>
                <w:color w:val="auto"/>
              </w:rPr>
            </w:pPr>
          </w:p>
        </w:tc>
      </w:tr>
      <w:tr>
        <w:trPr>
          <w:trHeight w:val="17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(provision) benefit on realized and unrealized gains (losses) on investments</w:t>
            </w: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459</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459</w:t>
            </w:r>
          </w:p>
        </w:tc>
        <w:tc>
          <w:tcPr>
            <w:tcW w:w="0" w:type="dxa"/>
            <w:vAlign w:val="bottom"/>
          </w:tcPr>
          <w:p>
            <w:pPr>
              <w:spacing w:after="0"/>
              <w:rPr>
                <w:sz w:val="1"/>
                <w:szCs w:val="1"/>
                <w:color w:val="auto"/>
              </w:rPr>
            </w:pPr>
          </w:p>
        </w:tc>
      </w:tr>
      <w:tr>
        <w:trPr>
          <w:trHeight w:val="175"/>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080" w:type="dxa"/>
            <w:vAlign w:val="bottom"/>
          </w:tcPr>
          <w:p>
            <w:pPr>
              <w:spacing w:after="0"/>
              <w:rPr>
                <w:sz w:val="15"/>
                <w:szCs w:val="15"/>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(6,444 )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(6,444 )</w:t>
            </w:r>
          </w:p>
        </w:tc>
        <w:tc>
          <w:tcPr>
            <w:tcW w:w="0" w:type="dxa"/>
            <w:vAlign w:val="bottom"/>
          </w:tcPr>
          <w:p>
            <w:pPr>
              <w:spacing w:after="0"/>
              <w:rPr>
                <w:sz w:val="1"/>
                <w:szCs w:val="1"/>
                <w:color w:val="auto"/>
              </w:rPr>
            </w:pPr>
          </w:p>
        </w:tc>
      </w:tr>
      <w:tr>
        <w:trPr>
          <w:trHeight w:val="17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Reinvested Dividends</w:t>
            </w: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50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Stock-repurchase</w:t>
            </w: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(952 )</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(953 )</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March 31, 2024</w:t>
            </w:r>
          </w:p>
        </w:tc>
        <w:tc>
          <w:tcPr>
            <w:tcW w:w="1080" w:type="dxa"/>
            <w:vAlign w:val="bottom"/>
            <w:tcBorders>
              <w:bottom w:val="single" w:sz="8" w:color="auto"/>
            </w:tcBorders>
            <w:shd w:val="clear" w:color="auto" w:fill="CFF0FC"/>
          </w:tcPr>
          <w:p>
            <w:pPr>
              <w:jc w:val="right"/>
              <w:ind w:right="93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716,883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(506,369 )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210,607</w:t>
            </w:r>
          </w:p>
        </w:tc>
        <w:tc>
          <w:tcPr>
            <w:tcW w:w="0" w:type="dxa"/>
            <w:vAlign w:val="bottom"/>
          </w:tcPr>
          <w:p>
            <w:pPr>
              <w:spacing w:after="0"/>
              <w:rPr>
                <w:sz w:val="1"/>
                <w:szCs w:val="1"/>
                <w:color w:val="auto"/>
              </w:rPr>
            </w:pPr>
          </w:p>
        </w:tc>
      </w:tr>
      <w:tr>
        <w:trPr>
          <w:trHeight w:val="156"/>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investment income</w:t>
            </w:r>
          </w:p>
        </w:tc>
        <w:tc>
          <w:tcPr>
            <w:tcW w:w="1080" w:type="dxa"/>
            <w:vAlign w:val="bottom"/>
          </w:tcPr>
          <w:p>
            <w:pPr>
              <w:jc w:val="right"/>
              <w:ind w:right="93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6,477</w:t>
            </w:r>
          </w:p>
        </w:tc>
        <w:tc>
          <w:tcPr>
            <w:tcW w:w="30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6,477</w:t>
            </w:r>
          </w:p>
        </w:tc>
        <w:tc>
          <w:tcPr>
            <w:tcW w:w="0" w:type="dxa"/>
            <w:vAlign w:val="bottom"/>
          </w:tcPr>
          <w:p>
            <w:pPr>
              <w:spacing w:after="0"/>
              <w:rPr>
                <w:sz w:val="1"/>
                <w:szCs w:val="1"/>
                <w:color w:val="auto"/>
              </w:rPr>
            </w:pPr>
          </w:p>
        </w:tc>
      </w:tr>
      <w:tr>
        <w:trPr>
          <w:trHeight w:val="17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on investments</w:t>
            </w: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(5,966 )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(5,966 )</w:t>
            </w:r>
          </w:p>
        </w:tc>
        <w:tc>
          <w:tcPr>
            <w:tcW w:w="0" w:type="dxa"/>
            <w:vAlign w:val="bottom"/>
          </w:tcPr>
          <w:p>
            <w:pPr>
              <w:spacing w:after="0"/>
              <w:rPr>
                <w:sz w:val="1"/>
                <w:szCs w:val="1"/>
                <w:color w:val="auto"/>
              </w:rPr>
            </w:pPr>
          </w:p>
        </w:tc>
      </w:tr>
      <w:tr>
        <w:trPr>
          <w:trHeight w:val="175"/>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(losses) from investment transactions and extinguishment of debt</w:t>
            </w:r>
          </w:p>
        </w:tc>
        <w:tc>
          <w:tcPr>
            <w:tcW w:w="1080" w:type="dxa"/>
            <w:vAlign w:val="bottom"/>
          </w:tcPr>
          <w:p>
            <w:pPr>
              <w:spacing w:after="0"/>
              <w:rPr>
                <w:sz w:val="15"/>
                <w:szCs w:val="15"/>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(6,961 )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(6,961 )</w:t>
            </w:r>
          </w:p>
        </w:tc>
        <w:tc>
          <w:tcPr>
            <w:tcW w:w="0" w:type="dxa"/>
            <w:vAlign w:val="bottom"/>
          </w:tcPr>
          <w:p>
            <w:pPr>
              <w:spacing w:after="0"/>
              <w:rPr>
                <w:sz w:val="1"/>
                <w:szCs w:val="1"/>
                <w:color w:val="auto"/>
              </w:rPr>
            </w:pPr>
          </w:p>
        </w:tc>
      </w:tr>
      <w:tr>
        <w:trPr>
          <w:trHeight w:val="17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(provision) benefit on realized and unrealized gains (losses) on investments</w:t>
            </w: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75"/>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080" w:type="dxa"/>
            <w:vAlign w:val="bottom"/>
          </w:tcPr>
          <w:p>
            <w:pPr>
              <w:spacing w:after="0"/>
              <w:rPr>
                <w:sz w:val="15"/>
                <w:szCs w:val="15"/>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(6,411 )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(6,411 )</w:t>
            </w:r>
          </w:p>
        </w:tc>
        <w:tc>
          <w:tcPr>
            <w:tcW w:w="0" w:type="dxa"/>
            <w:vAlign w:val="bottom"/>
          </w:tcPr>
          <w:p>
            <w:pPr>
              <w:spacing w:after="0"/>
              <w:rPr>
                <w:sz w:val="1"/>
                <w:szCs w:val="1"/>
                <w:color w:val="auto"/>
              </w:rPr>
            </w:pPr>
          </w:p>
        </w:tc>
      </w:tr>
      <w:tr>
        <w:trPr>
          <w:trHeight w:val="17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Reinvested Dividends</w:t>
            </w: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158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75"/>
        </w:trPr>
        <w:tc>
          <w:tcPr>
            <w:tcW w:w="50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Stock-repurchase</w:t>
            </w: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(1,553 )</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(1,553 )</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June 30, 2024</w:t>
            </w:r>
          </w:p>
        </w:tc>
        <w:tc>
          <w:tcPr>
            <w:tcW w:w="1080" w:type="dxa"/>
            <w:vAlign w:val="bottom"/>
            <w:tcBorders>
              <w:bottom w:val="single" w:sz="8" w:color="auto"/>
            </w:tcBorders>
            <w:shd w:val="clear" w:color="auto" w:fill="CFF0FC"/>
          </w:tcPr>
          <w:p>
            <w:pPr>
              <w:jc w:val="right"/>
              <w:ind w:right="93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715,488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(519,152 )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196,429</w:t>
            </w:r>
          </w:p>
        </w:tc>
        <w:tc>
          <w:tcPr>
            <w:tcW w:w="0" w:type="dxa"/>
            <w:vAlign w:val="bottom"/>
          </w:tcPr>
          <w:p>
            <w:pPr>
              <w:spacing w:after="0"/>
              <w:rPr>
                <w:sz w:val="1"/>
                <w:szCs w:val="1"/>
                <w:color w:val="auto"/>
              </w:rPr>
            </w:pPr>
          </w:p>
        </w:tc>
      </w:tr>
      <w:tr>
        <w:trPr>
          <w:trHeight w:val="399"/>
        </w:trPr>
        <w:tc>
          <w:tcPr>
            <w:tcW w:w="50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2023</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000" w:type="dxa"/>
            <w:vAlign w:val="bottom"/>
          </w:tcPr>
          <w:p>
            <w:pPr>
              <w:spacing w:after="0"/>
              <w:rPr>
                <w:sz w:val="11"/>
                <w:szCs w:val="11"/>
                <w:color w:val="auto"/>
              </w:rPr>
            </w:pPr>
          </w:p>
        </w:tc>
        <w:tc>
          <w:tcPr>
            <w:tcW w:w="1080" w:type="dxa"/>
            <w:vAlign w:val="bottom"/>
            <w:vMerge w:val="restart"/>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192"/>
              <w:spacing w:after="0" w:line="131" w:lineRule="exact"/>
              <w:rPr>
                <w:sz w:val="20"/>
                <w:szCs w:val="20"/>
                <w:color w:val="auto"/>
              </w:rPr>
            </w:pPr>
            <w:r>
              <w:rPr>
                <w:rFonts w:ascii="Times New Roman" w:cs="Times New Roman" w:eastAsia="Times New Roman" w:hAnsi="Times New Roman"/>
                <w:sz w:val="14"/>
                <w:szCs w:val="14"/>
                <w:b w:val="1"/>
                <w:bCs w:val="1"/>
                <w:color w:val="auto"/>
              </w:rPr>
              <w:t>Capital in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172"/>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center"/>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Excess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Distributable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right="232"/>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1080" w:type="dxa"/>
            <w:vAlign w:val="bottom"/>
            <w:tcBorders>
              <w:bottom w:val="single" w:sz="8" w:color="auto"/>
            </w:tcBorders>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of Par 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(loss) earnings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January 1, 2023</w:t>
            </w:r>
          </w:p>
        </w:tc>
        <w:tc>
          <w:tcPr>
            <w:tcW w:w="1080" w:type="dxa"/>
            <w:vAlign w:val="bottom"/>
            <w:shd w:val="clear" w:color="auto" w:fill="CFF0FC"/>
          </w:tcPr>
          <w:p>
            <w:pPr>
              <w:jc w:val="right"/>
              <w:ind w:right="93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96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736,784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(504,757 )</w:t>
            </w:r>
          </w:p>
        </w:tc>
        <w:tc>
          <w:tcPr>
            <w:tcW w:w="3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232,123</w:t>
            </w:r>
          </w:p>
        </w:tc>
        <w:tc>
          <w:tcPr>
            <w:tcW w:w="0" w:type="dxa"/>
            <w:vAlign w:val="bottom"/>
          </w:tcPr>
          <w:p>
            <w:pPr>
              <w:spacing w:after="0"/>
              <w:rPr>
                <w:sz w:val="1"/>
                <w:szCs w:val="1"/>
                <w:color w:val="auto"/>
              </w:rPr>
            </w:pPr>
          </w:p>
        </w:tc>
      </w:tr>
      <w:tr>
        <w:trPr>
          <w:trHeight w:val="175"/>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investment income</w:t>
            </w:r>
          </w:p>
        </w:tc>
        <w:tc>
          <w:tcPr>
            <w:tcW w:w="1080" w:type="dxa"/>
            <w:vAlign w:val="bottom"/>
          </w:tcPr>
          <w:p>
            <w:pPr>
              <w:spacing w:after="0"/>
              <w:rPr>
                <w:sz w:val="15"/>
                <w:szCs w:val="15"/>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8,529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8,529</w:t>
            </w:r>
          </w:p>
        </w:tc>
        <w:tc>
          <w:tcPr>
            <w:tcW w:w="0" w:type="dxa"/>
            <w:vAlign w:val="bottom"/>
          </w:tcPr>
          <w:p>
            <w:pPr>
              <w:spacing w:after="0"/>
              <w:rPr>
                <w:sz w:val="1"/>
                <w:szCs w:val="1"/>
                <w:color w:val="auto"/>
              </w:rPr>
            </w:pPr>
          </w:p>
        </w:tc>
      </w:tr>
      <w:tr>
        <w:trPr>
          <w:trHeight w:val="17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on investments</w:t>
            </w: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(5,960 )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(5,960 )</w:t>
            </w:r>
          </w:p>
        </w:tc>
        <w:tc>
          <w:tcPr>
            <w:tcW w:w="0" w:type="dxa"/>
            <w:vAlign w:val="bottom"/>
          </w:tcPr>
          <w:p>
            <w:pPr>
              <w:spacing w:after="0"/>
              <w:rPr>
                <w:sz w:val="1"/>
                <w:szCs w:val="1"/>
                <w:color w:val="auto"/>
              </w:rPr>
            </w:pPr>
          </w:p>
        </w:tc>
      </w:tr>
      <w:tr>
        <w:trPr>
          <w:trHeight w:val="175"/>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(losses) from investment transactions and extinguishment of debt</w:t>
            </w:r>
          </w:p>
        </w:tc>
        <w:tc>
          <w:tcPr>
            <w:tcW w:w="1080" w:type="dxa"/>
            <w:vAlign w:val="bottom"/>
          </w:tcPr>
          <w:p>
            <w:pPr>
              <w:spacing w:after="0"/>
              <w:rPr>
                <w:sz w:val="15"/>
                <w:szCs w:val="15"/>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(3,085 )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(3,085 )</w:t>
            </w:r>
          </w:p>
        </w:tc>
        <w:tc>
          <w:tcPr>
            <w:tcW w:w="0" w:type="dxa"/>
            <w:vAlign w:val="bottom"/>
          </w:tcPr>
          <w:p>
            <w:pPr>
              <w:spacing w:after="0"/>
              <w:rPr>
                <w:sz w:val="1"/>
                <w:szCs w:val="1"/>
                <w:color w:val="auto"/>
              </w:rPr>
            </w:pPr>
          </w:p>
        </w:tc>
      </w:tr>
      <w:tr>
        <w:trPr>
          <w:trHeight w:val="17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(provision) benefit on realized and unrealized gains (losses) on investments</w:t>
            </w: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571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571</w:t>
            </w:r>
          </w:p>
        </w:tc>
        <w:tc>
          <w:tcPr>
            <w:tcW w:w="0" w:type="dxa"/>
            <w:vAlign w:val="bottom"/>
          </w:tcPr>
          <w:p>
            <w:pPr>
              <w:spacing w:after="0"/>
              <w:rPr>
                <w:sz w:val="1"/>
                <w:szCs w:val="1"/>
                <w:color w:val="auto"/>
              </w:rPr>
            </w:pPr>
          </w:p>
        </w:tc>
      </w:tr>
      <w:tr>
        <w:trPr>
          <w:trHeight w:val="175"/>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080" w:type="dxa"/>
            <w:vAlign w:val="bottom"/>
          </w:tcPr>
          <w:p>
            <w:pPr>
              <w:spacing w:after="0"/>
              <w:rPr>
                <w:sz w:val="15"/>
                <w:szCs w:val="15"/>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(6,495 )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(6,495 )</w:t>
            </w:r>
          </w:p>
        </w:tc>
        <w:tc>
          <w:tcPr>
            <w:tcW w:w="0" w:type="dxa"/>
            <w:vAlign w:val="bottom"/>
          </w:tcPr>
          <w:p>
            <w:pPr>
              <w:spacing w:after="0"/>
              <w:rPr>
                <w:sz w:val="1"/>
                <w:szCs w:val="1"/>
                <w:color w:val="auto"/>
              </w:rPr>
            </w:pPr>
          </w:p>
        </w:tc>
      </w:tr>
      <w:tr>
        <w:trPr>
          <w:trHeight w:val="17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Reinvested Dividends</w:t>
            </w: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215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75"/>
        </w:trPr>
        <w:tc>
          <w:tcPr>
            <w:tcW w:w="50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Stock-repurchase</w:t>
            </w: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(792 )</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(792 )</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March 31, 2023</w:t>
            </w:r>
          </w:p>
        </w:tc>
        <w:tc>
          <w:tcPr>
            <w:tcW w:w="1080" w:type="dxa"/>
            <w:vAlign w:val="bottom"/>
            <w:tcBorders>
              <w:bottom w:val="single" w:sz="8" w:color="auto"/>
            </w:tcBorders>
            <w:shd w:val="clear" w:color="auto" w:fill="CFF0FC"/>
          </w:tcPr>
          <w:p>
            <w:pPr>
              <w:jc w:val="right"/>
              <w:ind w:right="93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736,207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(511,197 )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225,106</w:t>
            </w:r>
          </w:p>
        </w:tc>
        <w:tc>
          <w:tcPr>
            <w:tcW w:w="0" w:type="dxa"/>
            <w:vAlign w:val="bottom"/>
          </w:tcPr>
          <w:p>
            <w:pPr>
              <w:spacing w:after="0"/>
              <w:rPr>
                <w:sz w:val="1"/>
                <w:szCs w:val="1"/>
                <w:color w:val="auto"/>
              </w:rPr>
            </w:pPr>
          </w:p>
        </w:tc>
      </w:tr>
      <w:tr>
        <w:trPr>
          <w:trHeight w:val="156"/>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investment income</w:t>
            </w:r>
          </w:p>
        </w:tc>
        <w:tc>
          <w:tcPr>
            <w:tcW w:w="1080" w:type="dxa"/>
            <w:vAlign w:val="bottom"/>
          </w:tcPr>
          <w:p>
            <w:pPr>
              <w:jc w:val="right"/>
              <w:ind w:right="93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7,915</w:t>
            </w:r>
          </w:p>
        </w:tc>
        <w:tc>
          <w:tcPr>
            <w:tcW w:w="30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7,915</w:t>
            </w:r>
          </w:p>
        </w:tc>
        <w:tc>
          <w:tcPr>
            <w:tcW w:w="0" w:type="dxa"/>
            <w:vAlign w:val="bottom"/>
          </w:tcPr>
          <w:p>
            <w:pPr>
              <w:spacing w:after="0"/>
              <w:rPr>
                <w:sz w:val="1"/>
                <w:szCs w:val="1"/>
                <w:color w:val="auto"/>
              </w:rPr>
            </w:pPr>
          </w:p>
        </w:tc>
      </w:tr>
      <w:tr>
        <w:trPr>
          <w:trHeight w:val="17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on investments</w:t>
            </w: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(4,176 )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(4,176 )</w:t>
            </w:r>
          </w:p>
        </w:tc>
        <w:tc>
          <w:tcPr>
            <w:tcW w:w="0" w:type="dxa"/>
            <w:vAlign w:val="bottom"/>
          </w:tcPr>
          <w:p>
            <w:pPr>
              <w:spacing w:after="0"/>
              <w:rPr>
                <w:sz w:val="1"/>
                <w:szCs w:val="1"/>
                <w:color w:val="auto"/>
              </w:rPr>
            </w:pPr>
          </w:p>
        </w:tc>
      </w:tr>
      <w:tr>
        <w:trPr>
          <w:trHeight w:val="175"/>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(losses) from investment transactions and extinguishment of debt</w:t>
            </w:r>
          </w:p>
        </w:tc>
        <w:tc>
          <w:tcPr>
            <w:tcW w:w="1080" w:type="dxa"/>
            <w:vAlign w:val="bottom"/>
          </w:tcPr>
          <w:p>
            <w:pPr>
              <w:spacing w:after="0"/>
              <w:rPr>
                <w:sz w:val="15"/>
                <w:szCs w:val="15"/>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(6,689 )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(6,689 )</w:t>
            </w:r>
          </w:p>
        </w:tc>
        <w:tc>
          <w:tcPr>
            <w:tcW w:w="0" w:type="dxa"/>
            <w:vAlign w:val="bottom"/>
          </w:tcPr>
          <w:p>
            <w:pPr>
              <w:spacing w:after="0"/>
              <w:rPr>
                <w:sz w:val="1"/>
                <w:szCs w:val="1"/>
                <w:color w:val="auto"/>
              </w:rPr>
            </w:pPr>
          </w:p>
        </w:tc>
      </w:tr>
      <w:tr>
        <w:trPr>
          <w:trHeight w:val="17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(provision) benefit on realized and unrealized gains (losses) on investments</w:t>
            </w: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(164 )</w:t>
            </w:r>
          </w:p>
        </w:tc>
        <w:tc>
          <w:tcPr>
            <w:tcW w:w="0" w:type="dxa"/>
            <w:vAlign w:val="bottom"/>
          </w:tcPr>
          <w:p>
            <w:pPr>
              <w:spacing w:after="0"/>
              <w:rPr>
                <w:sz w:val="1"/>
                <w:szCs w:val="1"/>
                <w:color w:val="auto"/>
              </w:rPr>
            </w:pPr>
          </w:p>
        </w:tc>
      </w:tr>
      <w:tr>
        <w:trPr>
          <w:trHeight w:val="175"/>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080" w:type="dxa"/>
            <w:vAlign w:val="bottom"/>
          </w:tcPr>
          <w:p>
            <w:pPr>
              <w:spacing w:after="0"/>
              <w:rPr>
                <w:sz w:val="15"/>
                <w:szCs w:val="15"/>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(6,579 )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(6,579 )</w:t>
            </w:r>
          </w:p>
        </w:tc>
        <w:tc>
          <w:tcPr>
            <w:tcW w:w="0" w:type="dxa"/>
            <w:vAlign w:val="bottom"/>
          </w:tcPr>
          <w:p>
            <w:pPr>
              <w:spacing w:after="0"/>
              <w:rPr>
                <w:sz w:val="1"/>
                <w:szCs w:val="1"/>
                <w:color w:val="auto"/>
              </w:rPr>
            </w:pPr>
          </w:p>
        </w:tc>
      </w:tr>
      <w:tr>
        <w:trPr>
          <w:trHeight w:val="17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Reinvested Dividends</w:t>
            </w: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153</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175"/>
        </w:trPr>
        <w:tc>
          <w:tcPr>
            <w:tcW w:w="50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Stock-repurchase</w:t>
            </w: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(552 )</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(553 )</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June 30, 2023</w:t>
            </w:r>
          </w:p>
        </w:tc>
        <w:tc>
          <w:tcPr>
            <w:tcW w:w="1080" w:type="dxa"/>
            <w:vAlign w:val="bottom"/>
            <w:tcBorders>
              <w:bottom w:val="single" w:sz="8" w:color="auto"/>
            </w:tcBorders>
            <w:shd w:val="clear" w:color="auto" w:fill="CFF0FC"/>
          </w:tcPr>
          <w:p>
            <w:pPr>
              <w:jc w:val="right"/>
              <w:ind w:right="93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735,808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(520,890 )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215,013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-3496945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-3479800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-3616960</wp:posOffset>
            </wp:positionV>
            <wp:extent cx="768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-3496945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-3479800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-3616960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-3496945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-3479800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-3616960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-2571115</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-2553970</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-2691130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-2571115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-2553970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-2691130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-2571115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-2553970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-2691130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-950595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-934085</wp:posOffset>
            </wp:positionV>
            <wp:extent cx="768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-1071245</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-950595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-934085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-1071245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-950595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-934085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-1071245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768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-145415</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-145415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-145415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ind w:right="20" w:firstLine="374"/>
        <w:spacing w:after="0" w:line="228" w:lineRule="auto"/>
        <w:rPr>
          <w:sz w:val="20"/>
          <w:szCs w:val="20"/>
          <w:color w:val="auto"/>
        </w:rPr>
      </w:pPr>
      <w:r>
        <w:rPr>
          <w:rFonts w:ascii="Times New Roman" w:cs="Times New Roman" w:eastAsia="Times New Roman" w:hAnsi="Times New Roman"/>
          <w:sz w:val="14"/>
          <w:szCs w:val="14"/>
          <w:color w:val="auto"/>
        </w:rPr>
        <w:t>On March 6, 2023, the Board of Directors of the Company approved a $10 million stock repurchase program (the “Stock Repurchase Program”) for an approximately one-year period effective March 6, 2023 and terminating on March 31, 2024. Under this repurchase program, shares may be repurchased from time to time in open market transactions, in privately negotiated transactions or otherwise subject to any agreement to which we are party including any restrictions in the indenture for our 4.875% Notes due 2026. The timing and actual number of shares repurchased will depend on a variety of factors, including legal requirements, price, and economic and market conditions. This Stock Repurchase Program may be suspended or discontinued at any time. On March 11, 2024, the Board of Directors of the Company authorized a renewed stock repurchase program of up to $10 million (the “Renewed Stock Repurchase Program”) for an approximately one-year period, effective March 11, 2024 and terminating on March 31, 2025. The terms and conditions of the Renewed Stock Repurchase Program are substantially similar to the prior Stock Repurchase Program. The Renewed Stock Repurchase Program may be suspended or discontinued at any time. Subject to these restrictions, we will selectively pursue opportunities to repurchase shares which are accretive to net asset value per share.</w:t>
      </w:r>
    </w:p>
    <w:p>
      <w:pPr>
        <w:spacing w:after="0" w:line="73" w:lineRule="exact"/>
        <w:rPr>
          <w:sz w:val="20"/>
          <w:szCs w:val="20"/>
          <w:color w:val="auto"/>
        </w:rPr>
      </w:pPr>
    </w:p>
    <w:p>
      <w:pPr>
        <w:ind w:right="220" w:firstLine="374"/>
        <w:spacing w:after="0" w:line="241" w:lineRule="auto"/>
        <w:rPr>
          <w:sz w:val="20"/>
          <w:szCs w:val="20"/>
          <w:color w:val="auto"/>
        </w:rPr>
      </w:pPr>
      <w:r>
        <w:rPr>
          <w:rFonts w:ascii="Times New Roman" w:cs="Times New Roman" w:eastAsia="Times New Roman" w:hAnsi="Times New Roman"/>
          <w:sz w:val="14"/>
          <w:szCs w:val="14"/>
          <w:color w:val="auto"/>
        </w:rPr>
        <w:t>During the three months ended June 30, 2024 and 2023, the Company issued 4,021 and 7,961 shares, respectively, of common stock under its dividend reinvestment plan. During the six months ended June 30, 2024 and 2023, the Company issued 8,100 and 18,394 shares, respectively, of common stock under its dividend reinvestment plan. The total number of shares of the Company’s common stock outstanding as of June 30, 2024 and December 31, 2023, was 9,260,495 and 9,383,132, respectively.</w:t>
      </w:r>
    </w:p>
    <w:p>
      <w:pPr>
        <w:spacing w:after="0" w:line="69" w:lineRule="exact"/>
        <w:rPr>
          <w:sz w:val="20"/>
          <w:szCs w:val="20"/>
          <w:color w:val="auto"/>
        </w:rPr>
      </w:pPr>
    </w:p>
    <w:p>
      <w:pPr>
        <w:ind w:right="100" w:firstLine="374"/>
        <w:spacing w:after="0" w:line="236" w:lineRule="auto"/>
        <w:rPr>
          <w:sz w:val="20"/>
          <w:szCs w:val="20"/>
          <w:color w:val="auto"/>
        </w:rPr>
      </w:pPr>
      <w:r>
        <w:rPr>
          <w:rFonts w:ascii="Times New Roman" w:cs="Times New Roman" w:eastAsia="Times New Roman" w:hAnsi="Times New Roman"/>
          <w:sz w:val="14"/>
          <w:szCs w:val="14"/>
          <w:color w:val="auto"/>
        </w:rPr>
        <w:t>During the three months ended June 30, 2024, the Company repurchased 79,722 shares under the Renewed Stock Repurchase program at an aggregate cost of approximately $1.6 million. During the six months ended June 30, 2024, the Company repurchased 130,737 shares under the Renewed Stock Repurchase program at an aggregate cost of approximately $2.6 million. During the three months ended June 30, 2023, the Company repurchased 27,081 shares under the Stock Repurchase Program at an aggregate cost of approximately $0.6 million. During the six months ended June 30, 2023, the Company repurchased 62,694 shares under the Stock Repurchase Program at an aggregate cost of approximately $1.3 million.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7" w:lineRule="exact"/>
        <w:rPr>
          <w:sz w:val="20"/>
          <w:szCs w:val="20"/>
          <w:color w:val="auto"/>
        </w:rPr>
      </w:pPr>
    </w:p>
    <w:p>
      <w:pPr>
        <w:ind w:left="380" w:right="4360" w:hanging="372"/>
        <w:spacing w:after="0" w:line="383" w:lineRule="auto"/>
        <w:tabs>
          <w:tab w:leader="none" w:pos="294"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ACQUISITIONS OF GARRISON CAPITAL INC. AND HARVEST CAPITAL CREDIT CORPORATION </w:t>
      </w:r>
      <w:r>
        <w:rPr>
          <w:rFonts w:ascii="Times New Roman" w:cs="Times New Roman" w:eastAsia="Times New Roman" w:hAnsi="Times New Roman"/>
          <w:sz w:val="14"/>
          <w:szCs w:val="14"/>
          <w:i w:val="1"/>
          <w:iCs w:val="1"/>
          <w:color w:val="auto"/>
        </w:rPr>
        <w:t>GARS acquisition</w:t>
      </w:r>
    </w:p>
    <w:p>
      <w:pPr>
        <w:spacing w:after="0" w:line="1" w:lineRule="exact"/>
        <w:rPr>
          <w:sz w:val="20"/>
          <w:szCs w:val="20"/>
          <w:color w:val="auto"/>
        </w:rPr>
      </w:pPr>
    </w:p>
    <w:p>
      <w:pPr>
        <w:ind w:right="40" w:firstLine="374"/>
        <w:spacing w:after="0" w:line="229" w:lineRule="auto"/>
        <w:rPr>
          <w:sz w:val="20"/>
          <w:szCs w:val="20"/>
          <w:color w:val="auto"/>
        </w:rPr>
      </w:pPr>
      <w:r>
        <w:rPr>
          <w:rFonts w:ascii="Times New Roman" w:cs="Times New Roman" w:eastAsia="Times New Roman" w:hAnsi="Times New Roman"/>
          <w:sz w:val="14"/>
          <w:szCs w:val="14"/>
          <w:color w:val="auto"/>
        </w:rPr>
        <w:t>On October 28, 2020, the Company completed the GARS Acquisition, pursuant to the terms and conditions of the GARS Merger Agreement. To effect the acquisition, a wholly owned merger subsidiary of the Company merged with and into GARS, with GARS surviving the merger as the Company’s wholly owned subsidiary. Immediately thereafter and as a single integrated transaction, GARS consummated a second merger, whereby GARS merged with and into the Company, with the Company surviving the merger. Under the terms of the GARS Merger Agreement, each share of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 Shares of common stock issued and market price have not been adjusted to reflect the Reverse Stock Split.</w:t>
      </w:r>
    </w:p>
    <w:p>
      <w:pPr>
        <w:spacing w:after="0" w:line="72" w:lineRule="exact"/>
        <w:rPr>
          <w:sz w:val="20"/>
          <w:szCs w:val="20"/>
          <w:color w:val="auto"/>
        </w:rPr>
      </w:pPr>
    </w:p>
    <w:p>
      <w:pPr>
        <w:ind w:right="100" w:firstLine="374"/>
        <w:spacing w:after="0" w:line="228" w:lineRule="auto"/>
        <w:rPr>
          <w:sz w:val="20"/>
          <w:szCs w:val="20"/>
          <w:color w:val="auto"/>
        </w:rPr>
      </w:pPr>
      <w:r>
        <w:rPr>
          <w:rFonts w:ascii="Times New Roman" w:cs="Times New Roman" w:eastAsia="Times New Roman" w:hAnsi="Times New Roman"/>
          <w:sz w:val="14"/>
          <w:szCs w:val="14"/>
          <w:color w:val="auto"/>
        </w:rPr>
        <w:t>The merger was accounted for in accordance with the asset acquisition method of accounting as detailed in ASC Topic 805-50. The fair value of the consideration paid, and transaction costs incurred to complete the merger by the Company, including $5.0 million of cash payment (deemed capital contribution) paid at closing directly to shareholders of GARS from the Adviser, was allocated to the GARS investments acquired, based on their relative fair values as of the date of acquisition. The fair value of the purchase consideration paid by the Company below the fair value of net assets acquired is considered the purchase discount. Immediately following the acquisition of GARS, the Company recorded GARS net assets at their respective fair values and, as a result, the purchase discount was allocated to the cost basis of the GARS investments acquired and was immediately recognized as unrealized gain on the Company's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GARS investments acquired through their maturity. Upon the sale of any of the GARS acquired investments, the Company will recognize a realized gain or a reduction in realized losses with a corresponding reversal of the unrealized losses.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18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204"/>
        </w:trPr>
        <w:tc>
          <w:tcPr>
            <w:tcW w:w="8400" w:type="dxa"/>
            <w:vAlign w:val="bottom"/>
          </w:tcPr>
          <w:p>
            <w:pPr>
              <w:ind w:left="20"/>
              <w:spacing w:after="0" w:line="204" w:lineRule="exact"/>
              <w:rPr>
                <w:sz w:val="20"/>
                <w:szCs w:val="20"/>
                <w:color w:val="auto"/>
              </w:rPr>
            </w:pPr>
            <w:r>
              <w:rPr>
                <w:rFonts w:ascii="Times New Roman" w:cs="Times New Roman" w:eastAsia="Times New Roman" w:hAnsi="Times New Roman"/>
                <w:sz w:val="14"/>
                <w:szCs w:val="14"/>
                <w:color w:val="auto"/>
              </w:rPr>
              <w:t xml:space="preserve">Common stock issued by the Company </w:t>
            </w:r>
            <w:r>
              <w:rPr>
                <w:rFonts w:ascii="Times New Roman" w:cs="Times New Roman" w:eastAsia="Times New Roman" w:hAnsi="Times New Roman"/>
                <w:sz w:val="19"/>
                <w:szCs w:val="19"/>
                <w:color w:val="auto"/>
                <w:vertAlign w:val="superscript"/>
              </w:rPr>
              <w:t>(1)</w:t>
            </w:r>
          </w:p>
        </w:tc>
        <w:tc>
          <w:tcPr>
            <w:tcW w:w="118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38,765</w:t>
            </w:r>
          </w:p>
        </w:tc>
      </w:tr>
      <w:tr>
        <w:trPr>
          <w:trHeight w:val="175"/>
        </w:trPr>
        <w:tc>
          <w:tcPr>
            <w:tcW w:w="8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consideration to GARS shareholders</w:t>
            </w:r>
          </w:p>
        </w:tc>
        <w:tc>
          <w:tcPr>
            <w:tcW w:w="118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24,100</w:t>
            </w:r>
          </w:p>
        </w:tc>
      </w:tr>
      <w:tr>
        <w:trPr>
          <w:trHeight w:val="17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 costs (excluding offering costs $432)</w:t>
            </w:r>
          </w:p>
        </w:tc>
        <w:tc>
          <w:tcPr>
            <w:tcW w:w="1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1,168</w:t>
            </w:r>
          </w:p>
        </w:tc>
      </w:tr>
      <w:tr>
        <w:trPr>
          <w:trHeight w:val="169"/>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purchase consideration</w:t>
            </w:r>
          </w:p>
        </w:tc>
        <w:tc>
          <w:tcPr>
            <w:tcW w:w="1180" w:type="dxa"/>
            <w:vAlign w:val="bottom"/>
            <w:tcBorders>
              <w:bottom w:val="single" w:sz="8" w:color="auto"/>
            </w:tcBorders>
            <w:shd w:val="clear" w:color="auto" w:fill="CFF0FC"/>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64,033</w:t>
            </w:r>
          </w:p>
        </w:tc>
      </w:tr>
      <w:tr>
        <w:trPr>
          <w:trHeight w:val="169"/>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 acquired:</w:t>
            </w: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6"/>
        </w:trPr>
        <w:tc>
          <w:tcPr>
            <w:tcW w:w="8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Investments, at fair value (amortized cost of $277,380)</w:t>
            </w:r>
          </w:p>
        </w:tc>
        <w:tc>
          <w:tcPr>
            <w:tcW w:w="1180" w:type="dxa"/>
            <w:vAlign w:val="bottom"/>
            <w:shd w:val="clear" w:color="auto" w:fill="CFF0FC"/>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317,803</w:t>
            </w:r>
          </w:p>
        </w:tc>
      </w:tr>
      <w:tr>
        <w:trPr>
          <w:trHeight w:val="17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180" w:type="dxa"/>
            <w:vAlign w:val="bottom"/>
          </w:tcPr>
          <w:p>
            <w:pPr>
              <w:spacing w:after="0"/>
              <w:rPr>
                <w:sz w:val="15"/>
                <w:szCs w:val="15"/>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35,361</w:t>
            </w:r>
          </w:p>
        </w:tc>
      </w:tr>
      <w:tr>
        <w:trPr>
          <w:trHeight w:val="175"/>
        </w:trPr>
        <w:tc>
          <w:tcPr>
            <w:tcW w:w="8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18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1,871</w:t>
            </w:r>
          </w:p>
        </w:tc>
      </w:tr>
      <w:tr>
        <w:trPr>
          <w:trHeight w:val="17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2,088</w:t>
            </w:r>
          </w:p>
        </w:tc>
      </w:tr>
      <w:tr>
        <w:trPr>
          <w:trHeight w:val="169"/>
        </w:trPr>
        <w:tc>
          <w:tcPr>
            <w:tcW w:w="8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assets acquired</w:t>
            </w:r>
          </w:p>
        </w:tc>
        <w:tc>
          <w:tcPr>
            <w:tcW w:w="1180" w:type="dxa"/>
            <w:vAlign w:val="bottom"/>
            <w:shd w:val="clear" w:color="auto" w:fill="CFF0FC"/>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357,123</w:t>
            </w:r>
          </w:p>
        </w:tc>
      </w:tr>
      <w:tr>
        <w:trPr>
          <w:trHeight w:val="17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assumed:</w:t>
            </w:r>
          </w:p>
        </w:tc>
        <w:tc>
          <w:tcPr>
            <w:tcW w:w="11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5"/>
        </w:trPr>
        <w:tc>
          <w:tcPr>
            <w:tcW w:w="8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1180" w:type="dxa"/>
            <w:vAlign w:val="bottom"/>
            <w:shd w:val="clear" w:color="auto" w:fill="CFF0FC"/>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251,213</w:t>
            </w:r>
          </w:p>
        </w:tc>
      </w:tr>
      <w:tr>
        <w:trPr>
          <w:trHeight w:val="17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1,455</w:t>
            </w:r>
          </w:p>
        </w:tc>
      </w:tr>
      <w:tr>
        <w:trPr>
          <w:trHeight w:val="169"/>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1180" w:type="dxa"/>
            <w:vAlign w:val="bottom"/>
            <w:tcBorders>
              <w:bottom w:val="single" w:sz="8" w:color="auto"/>
            </w:tcBorders>
            <w:shd w:val="clear" w:color="auto" w:fill="CFF0FC"/>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252,668</w:t>
            </w:r>
          </w:p>
        </w:tc>
      </w:tr>
      <w:tr>
        <w:trPr>
          <w:trHeight w:val="169"/>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118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104,455</w:t>
            </w:r>
          </w:p>
        </w:tc>
      </w:tr>
      <w:tr>
        <w:trPr>
          <w:trHeight w:val="209"/>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purchase discount</w:t>
            </w:r>
          </w:p>
        </w:tc>
        <w:tc>
          <w:tcPr>
            <w:tcW w:w="1180" w:type="dxa"/>
            <w:vAlign w:val="bottom"/>
            <w:tcBorders>
              <w:bottom w:val="single" w:sz="8" w:color="auto"/>
            </w:tcBorders>
            <w:shd w:val="clear" w:color="auto" w:fill="CFF0FC"/>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(40,422 )</w:t>
            </w:r>
          </w:p>
        </w:tc>
      </w:tr>
    </w:tbl>
    <w:p>
      <w:pPr>
        <w:spacing w:after="0" w:line="90"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the market price at closing of $1.26 as of October 28, 2020 and the 30,765,640 shares of common stock issued by the Company in conjunction with the merger.</w:t>
      </w:r>
    </w:p>
    <w:p>
      <w:pPr>
        <w:spacing w:after="0" w:line="87" w:lineRule="exact"/>
        <w:rPr>
          <w:rFonts w:ascii="Times New Roman" w:cs="Times New Roman" w:eastAsia="Times New Roman" w:hAnsi="Times New Roman"/>
          <w:sz w:val="13"/>
          <w:szCs w:val="13"/>
          <w:color w:val="auto"/>
        </w:rPr>
      </w:pPr>
    </w:p>
    <w:p>
      <w:pPr>
        <w:ind w:left="3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i w:val="1"/>
          <w:iCs w:val="1"/>
          <w:color w:val="auto"/>
        </w:rPr>
        <w:t>HCAP Acquisition and Assumption and Redemption of HCAP Notes</w:t>
      </w:r>
    </w:p>
    <w:p>
      <w:pPr>
        <w:spacing w:after="0" w:line="98" w:lineRule="exact"/>
        <w:rPr>
          <w:sz w:val="20"/>
          <w:szCs w:val="20"/>
          <w:color w:val="auto"/>
        </w:rPr>
      </w:pPr>
    </w:p>
    <w:p>
      <w:pPr>
        <w:ind w:right="160" w:firstLine="374"/>
        <w:spacing w:after="0" w:line="236" w:lineRule="auto"/>
        <w:rPr>
          <w:sz w:val="20"/>
          <w:szCs w:val="20"/>
          <w:color w:val="auto"/>
        </w:rPr>
      </w:pPr>
      <w:r>
        <w:rPr>
          <w:rFonts w:ascii="Times New Roman" w:cs="Times New Roman" w:eastAsia="Times New Roman" w:hAnsi="Times New Roman"/>
          <w:sz w:val="14"/>
          <w:szCs w:val="14"/>
          <w:color w:val="auto"/>
        </w:rPr>
        <w:t>On June 9, 2021 the Company completed the HCAP Acquisition, pursuant to the terms and conditions of the HCAP Merger Agreement. To effect the acquisition, the Acquisition Sub merged with and into HCAP, with HCAP surviving the merger as the Company’s wholly owned subsidiary. Immediately thereafter and as a single integrated transaction, HCAP consummated a second merger, whereby HCAP merged with and into the Company, with the Company surviving the merger. As a result of, and as of the effective time of, the second merger, HCAP’s separate corporate existence ceased.</w:t>
      </w:r>
    </w:p>
    <w:p>
      <w:pPr>
        <w:spacing w:after="0" w:line="69" w:lineRule="exact"/>
        <w:rPr>
          <w:sz w:val="20"/>
          <w:szCs w:val="20"/>
          <w:color w:val="auto"/>
        </w:rPr>
      </w:pPr>
    </w:p>
    <w:p>
      <w:pPr>
        <w:ind w:right="140" w:firstLine="374"/>
        <w:spacing w:after="0" w:line="236" w:lineRule="auto"/>
        <w:rPr>
          <w:sz w:val="20"/>
          <w:szCs w:val="20"/>
          <w:color w:val="auto"/>
        </w:rPr>
      </w:pPr>
      <w:r>
        <w:rPr>
          <w:rFonts w:ascii="Times New Roman" w:cs="Times New Roman" w:eastAsia="Times New Roman" w:hAnsi="Times New Roman"/>
          <w:sz w:val="14"/>
          <w:szCs w:val="14"/>
          <w:color w:val="auto"/>
        </w:rPr>
        <w:t>Under the terms of the HCAP Merger Agreement, HCAP stockholders as of immediately prior to the effective time of the first merger (other than shares held by a subsidiary of HCAP or held, directly or indirectly, by the Company or Acquisition Sub, and all treasury shares (collectively, “Cancelled Shares”)) received a combination of (i) $18,537,512.65 in cash payable by Company, (ii) 15,252,453 validly issued, fully paid and non-assessable shares of the Company’s common stock, par value $0.01 per share, and (iii) an additional cash payment from the Adviser of $2.15 million in the aggregate. Shares of common stock issued and market price have not been adjusted to reflect the Reverse Stock Split.</w:t>
      </w:r>
    </w:p>
    <w:p>
      <w:pPr>
        <w:spacing w:after="0" w:line="69" w:lineRule="exact"/>
        <w:rPr>
          <w:sz w:val="20"/>
          <w:szCs w:val="20"/>
          <w:color w:val="auto"/>
        </w:rPr>
      </w:pPr>
    </w:p>
    <w:p>
      <w:pPr>
        <w:ind w:right="100" w:firstLine="374"/>
        <w:spacing w:after="0" w:line="231" w:lineRule="auto"/>
        <w:rPr>
          <w:sz w:val="20"/>
          <w:szCs w:val="20"/>
          <w:color w:val="auto"/>
        </w:rPr>
      </w:pPr>
      <w:r>
        <w:rPr>
          <w:rFonts w:ascii="Times New Roman" w:cs="Times New Roman" w:eastAsia="Times New Roman" w:hAnsi="Times New Roman"/>
          <w:sz w:val="14"/>
          <w:szCs w:val="14"/>
          <w:color w:val="auto"/>
        </w:rPr>
        <w:t>With respect to the merger consideration from the Company, HCAP stockholders as of immediately prior to the effective time of the first merger (other than Cancelled Shares) were entitled, with respect to all or any portion of the shares of HCAP common stock they held as of the effective time of the first merger, to elect to receive the merger consideration in the form of cash (an “Election”) or in the form of the Company's common stock, subject to certain conditions and limitations in the merger agreement. Any HCAP stockholder who did not validly make an Election was deemed to have elected to receive shares of the Company’s common stock with respect to the merger consideration as payment for their shares of HCAP common stock. Each share of HCAP common stock (other than Cancelled Shares) with respect to which an Election was made was treated as an “Electing Share” and each share of HCAP Common Stock (other than Cancelled Shares) with respect to which an Election was not made or that was transferred after the election deadline on June 2, 2021 was treated as a “Non-Electing Share.”</w:t>
      </w:r>
    </w:p>
    <w:p>
      <w:pPr>
        <w:spacing w:after="0" w:line="69" w:lineRule="exact"/>
        <w:rPr>
          <w:sz w:val="20"/>
          <w:szCs w:val="20"/>
          <w:color w:val="auto"/>
        </w:rPr>
      </w:pPr>
    </w:p>
    <w:p>
      <w:pPr>
        <w:ind w:right="80" w:firstLine="374"/>
        <w:spacing w:after="0" w:line="233" w:lineRule="auto"/>
        <w:rPr>
          <w:sz w:val="20"/>
          <w:szCs w:val="20"/>
          <w:color w:val="auto"/>
        </w:rPr>
      </w:pPr>
      <w:r>
        <w:rPr>
          <w:rFonts w:ascii="Times New Roman" w:cs="Times New Roman" w:eastAsia="Times New Roman" w:hAnsi="Times New Roman"/>
          <w:sz w:val="14"/>
          <w:szCs w:val="14"/>
          <w:color w:val="auto"/>
        </w:rPr>
        <w:t>Pursuant to the conditions of and adjustment mechanisms in the HCAP Merger Agreement, 475,806 Electing Shares were converted to Non-Electing Shares for purposes of calculating the total mix of consideration to be paid to each Electing Share in order to ensure that the value of the aggregate cash consideration paid to holders of the Electing Shares equaled the aggregate cash consideration that HCAP received from the Company under the terms of the HCAP Merger Agreement. Accordingly, as a result of the Elections received from HCAP stockholders and any resulting adjustment under the terms of the HCAP Merger Agreement, each Electing Share received, in aggregate, approximately $7.43 in cash and 0.74 shares of the Company's common stock, while each Non-Electing Share received, in aggregate, approximately 3.86 shares of the Company's common stock.</w:t>
      </w:r>
    </w:p>
    <w:p>
      <w:pPr>
        <w:spacing w:after="0" w:line="69" w:lineRule="exact"/>
        <w:rPr>
          <w:sz w:val="20"/>
          <w:szCs w:val="20"/>
          <w:color w:val="auto"/>
        </w:rPr>
      </w:pPr>
    </w:p>
    <w:p>
      <w:pPr>
        <w:ind w:right="120" w:firstLine="374"/>
        <w:spacing w:after="0" w:line="236" w:lineRule="auto"/>
        <w:rPr>
          <w:sz w:val="20"/>
          <w:szCs w:val="20"/>
          <w:color w:val="auto"/>
        </w:rPr>
      </w:pPr>
      <w:r>
        <w:rPr>
          <w:rFonts w:ascii="Times New Roman" w:cs="Times New Roman" w:eastAsia="Times New Roman" w:hAnsi="Times New Roman"/>
          <w:sz w:val="14"/>
          <w:szCs w:val="14"/>
          <w:color w:val="auto"/>
        </w:rPr>
        <w:t>The HCAP Acquisition was accounted for in accordance with the asset acquisition method of accounting as detailed in ASC Topic 805-50. The fair value of the consideration paid, and transaction costs incurred to complete the merger by the Company, including $2.15 million of cash payment (deemed capital contribution) paid at closing directly to shareholders of HCAP from the Adviser, was allocated to the HCAP investments acquired, based on their relative fair values as of the date of acquisition. The fair value of the purchase consideration paid by the Company below the fair value of net assets acquired is considered the purchase discount. Immediately following the acquisition</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4"/>
          <w:szCs w:val="14"/>
          <w:b w:val="1"/>
          <w:bCs w:val="1"/>
          <w:color w:val="auto"/>
        </w:rPr>
        <w:t>PORTMAN RIDGE FINANCE CORPORATION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4"/>
          <w:szCs w:val="14"/>
          <w:color w:val="auto"/>
        </w:rPr>
        <w:t>of HCAP, the Company recorded HCAP net assets at their respective fair values and, as a result, the purchase discount was allocated to the cost basis of the HCAP investments acquired and was immediately recognized as unrealized gain on the Company's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HCAP investments acquired through their maturity. Upon the sale of any of the HCAP acquired investments, the Company will recognize a realized gain or a reduction in realized losses with a corresponding reversal of the unrealized losses.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80"/>
        </w:trPr>
        <w:tc>
          <w:tcPr>
            <w:tcW w:w="8400" w:type="dxa"/>
            <w:vAlign w:val="bottom"/>
            <w:gridSpan w:val="2"/>
            <w:shd w:val="clear" w:color="auto" w:fill="CFF0FC"/>
          </w:tcPr>
          <w:p>
            <w:pPr>
              <w:ind w:left="20"/>
              <w:spacing w:after="0" w:line="180" w:lineRule="exact"/>
              <w:rPr>
                <w:sz w:val="20"/>
                <w:szCs w:val="20"/>
                <w:color w:val="auto"/>
              </w:rPr>
            </w:pPr>
            <w:r>
              <w:rPr>
                <w:rFonts w:ascii="Times New Roman" w:cs="Times New Roman" w:eastAsia="Times New Roman" w:hAnsi="Times New Roman"/>
                <w:sz w:val="14"/>
                <w:szCs w:val="14"/>
                <w:color w:val="auto"/>
              </w:rPr>
              <w:t xml:space="preserve">Common stock issued by the Company </w:t>
            </w:r>
            <w:r>
              <w:rPr>
                <w:rFonts w:ascii="Times New Roman" w:cs="Times New Roman" w:eastAsia="Times New Roman" w:hAnsi="Times New Roman"/>
                <w:sz w:val="19"/>
                <w:szCs w:val="19"/>
                <w:color w:val="auto"/>
                <w:vertAlign w:val="superscript"/>
              </w:rPr>
              <w:t>(1)</w:t>
            </w:r>
          </w:p>
        </w:tc>
        <w:tc>
          <w:tcPr>
            <w:tcW w:w="1200" w:type="dxa"/>
            <w:vAlign w:val="bottom"/>
            <w:shd w:val="clear" w:color="auto" w:fill="CFF0FC"/>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37,063</w:t>
            </w:r>
          </w:p>
        </w:tc>
      </w:tr>
      <w:tr>
        <w:trPr>
          <w:trHeight w:val="175"/>
        </w:trPr>
        <w:tc>
          <w:tcPr>
            <w:tcW w:w="84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Cash consideration to HCAP shareholders </w:t>
            </w:r>
            <w:r>
              <w:rPr>
                <w:rFonts w:ascii="Times New Roman" w:cs="Times New Roman" w:eastAsia="Times New Roman" w:hAnsi="Times New Roman"/>
                <w:sz w:val="19"/>
                <w:szCs w:val="19"/>
                <w:color w:val="auto"/>
                <w:vertAlign w:val="superscript"/>
              </w:rPr>
              <w:t>(2)</w:t>
            </w:r>
          </w:p>
        </w:tc>
        <w:tc>
          <w:tcPr>
            <w:tcW w:w="1200" w:type="dxa"/>
            <w:vAlign w:val="bottom"/>
          </w:tcPr>
          <w:p>
            <w:pPr>
              <w:spacing w:after="0"/>
              <w:rPr>
                <w:sz w:val="15"/>
                <w:szCs w:val="15"/>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20,688</w:t>
            </w:r>
          </w:p>
        </w:tc>
      </w:tr>
      <w:tr>
        <w:trPr>
          <w:trHeight w:val="176"/>
        </w:trPr>
        <w:tc>
          <w:tcPr>
            <w:tcW w:w="8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Transaction costs (excluding offering costs $519)</w:t>
            </w:r>
          </w:p>
        </w:tc>
        <w:tc>
          <w:tcPr>
            <w:tcW w:w="1200" w:type="dxa"/>
            <w:vAlign w:val="bottom"/>
            <w:tcBorders>
              <w:bottom w:val="single" w:sz="8" w:color="auto"/>
            </w:tcBorders>
            <w:shd w:val="clear" w:color="auto" w:fill="CFF0FC"/>
          </w:tcPr>
          <w:p>
            <w:pPr>
              <w:spacing w:after="0"/>
              <w:rPr>
                <w:sz w:val="15"/>
                <w:szCs w:val="15"/>
                <w:color w:val="auto"/>
              </w:rPr>
            </w:pPr>
          </w:p>
        </w:tc>
        <w:tc>
          <w:tcPr>
            <w:tcW w:w="1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881</w:t>
            </w:r>
          </w:p>
        </w:tc>
      </w:tr>
      <w:tr>
        <w:trPr>
          <w:trHeight w:val="169"/>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purchase consideration</w:t>
            </w:r>
          </w:p>
        </w:tc>
        <w:tc>
          <w:tcPr>
            <w:tcW w:w="1200" w:type="dxa"/>
            <w:vAlign w:val="bottom"/>
            <w:tcBorders>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58,632</w:t>
            </w:r>
          </w:p>
        </w:tc>
      </w:tr>
      <w:tr>
        <w:trPr>
          <w:trHeight w:val="169"/>
        </w:trPr>
        <w:tc>
          <w:tcPr>
            <w:tcW w:w="8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Assets acquired:</w:t>
            </w:r>
          </w:p>
        </w:tc>
        <w:tc>
          <w:tcPr>
            <w:tcW w:w="120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r>
      <w:tr>
        <w:trPr>
          <w:trHeight w:val="175"/>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Investments, at fair value (amortized cost of $53,812)</w:t>
            </w:r>
          </w:p>
        </w:tc>
        <w:tc>
          <w:tcPr>
            <w:tcW w:w="120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57,621</w:t>
            </w:r>
          </w:p>
        </w:tc>
      </w:tr>
      <w:tr>
        <w:trPr>
          <w:trHeight w:val="176"/>
        </w:trPr>
        <w:tc>
          <w:tcPr>
            <w:tcW w:w="8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20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32,119</w:t>
            </w:r>
          </w:p>
        </w:tc>
      </w:tr>
      <w:tr>
        <w:trPr>
          <w:trHeight w:val="175"/>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200" w:type="dxa"/>
            <w:vAlign w:val="bottom"/>
          </w:tcPr>
          <w:p>
            <w:pPr>
              <w:spacing w:after="0"/>
              <w:rPr>
                <w:sz w:val="15"/>
                <w:szCs w:val="15"/>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431</w:t>
            </w:r>
          </w:p>
        </w:tc>
      </w:tr>
      <w:tr>
        <w:trPr>
          <w:trHeight w:val="176"/>
        </w:trPr>
        <w:tc>
          <w:tcPr>
            <w:tcW w:w="8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200" w:type="dxa"/>
            <w:vAlign w:val="bottom"/>
            <w:tcBorders>
              <w:bottom w:val="single" w:sz="8" w:color="auto"/>
            </w:tcBorders>
            <w:shd w:val="clear" w:color="auto" w:fill="CFF0FC"/>
          </w:tcPr>
          <w:p>
            <w:pPr>
              <w:spacing w:after="0"/>
              <w:rPr>
                <w:sz w:val="15"/>
                <w:szCs w:val="15"/>
                <w:color w:val="auto"/>
              </w:rPr>
            </w:pPr>
          </w:p>
        </w:tc>
        <w:tc>
          <w:tcPr>
            <w:tcW w:w="1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2,665</w:t>
            </w:r>
          </w:p>
        </w:tc>
      </w:tr>
      <w:tr>
        <w:trPr>
          <w:trHeight w:val="169"/>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assets acquired</w:t>
            </w:r>
          </w:p>
        </w:tc>
        <w:tc>
          <w:tcPr>
            <w:tcW w:w="120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92,836</w:t>
            </w:r>
          </w:p>
        </w:tc>
      </w:tr>
      <w:tr>
        <w:trPr>
          <w:trHeight w:val="175"/>
        </w:trPr>
        <w:tc>
          <w:tcPr>
            <w:tcW w:w="8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Liabilities assumed:</w:t>
            </w:r>
          </w:p>
        </w:tc>
        <w:tc>
          <w:tcPr>
            <w:tcW w:w="120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r>
      <w:tr>
        <w:trPr>
          <w:trHeight w:val="17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120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28,750</w:t>
            </w:r>
          </w:p>
        </w:tc>
      </w:tr>
      <w:tr>
        <w:trPr>
          <w:trHeight w:val="175"/>
        </w:trPr>
        <w:tc>
          <w:tcPr>
            <w:tcW w:w="8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200" w:type="dxa"/>
            <w:vAlign w:val="bottom"/>
            <w:tcBorders>
              <w:bottom w:val="single" w:sz="8" w:color="auto"/>
            </w:tcBorders>
            <w:shd w:val="clear" w:color="auto" w:fill="CFF0FC"/>
          </w:tcPr>
          <w:p>
            <w:pPr>
              <w:spacing w:after="0"/>
              <w:rPr>
                <w:sz w:val="15"/>
                <w:szCs w:val="15"/>
                <w:color w:val="auto"/>
              </w:rPr>
            </w:pPr>
          </w:p>
        </w:tc>
        <w:tc>
          <w:tcPr>
            <w:tcW w:w="1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1,645</w:t>
            </w:r>
          </w:p>
        </w:tc>
      </w:tr>
      <w:tr>
        <w:trPr>
          <w:trHeight w:val="169"/>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1200" w:type="dxa"/>
            <w:vAlign w:val="bottom"/>
            <w:tcBorders>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30,395</w:t>
            </w:r>
          </w:p>
        </w:tc>
      </w:tr>
      <w:tr>
        <w:trPr>
          <w:trHeight w:val="169"/>
        </w:trPr>
        <w:tc>
          <w:tcPr>
            <w:tcW w:w="8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1200" w:type="dxa"/>
            <w:vAlign w:val="bottom"/>
            <w:tcBorders>
              <w:bottom w:val="single" w:sz="8" w:color="auto"/>
            </w:tcBorders>
            <w:shd w:val="clear" w:color="auto" w:fill="CFF0FC"/>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62,441</w:t>
            </w:r>
          </w:p>
        </w:tc>
      </w:tr>
      <w:tr>
        <w:trPr>
          <w:trHeight w:val="169"/>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purchase discount</w:t>
            </w:r>
          </w:p>
        </w:tc>
        <w:tc>
          <w:tcPr>
            <w:tcW w:w="1200" w:type="dxa"/>
            <w:vAlign w:val="bottom"/>
            <w:tcBorders>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(3,809 )</w:t>
            </w:r>
          </w:p>
        </w:tc>
      </w:tr>
      <w:tr>
        <w:trPr>
          <w:trHeight w:val="20"/>
        </w:trPr>
        <w:tc>
          <w:tcPr>
            <w:tcW w:w="30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54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40" w:type="dxa"/>
            <w:vAlign w:val="bottom"/>
          </w:tcPr>
          <w:p>
            <w:pPr>
              <w:spacing w:after="0"/>
              <w:rPr>
                <w:sz w:val="10"/>
                <w:szCs w:val="10"/>
                <w:color w:val="auto"/>
              </w:rPr>
            </w:pPr>
          </w:p>
        </w:tc>
      </w:tr>
    </w:tbl>
    <w:p>
      <w:pPr>
        <w:spacing w:after="0" w:line="90"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the market price at closing of $2.43 as of June 9, 2021 and the 15,252,453 shares of common stock issued by the Company in conjunction with the merger.</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Approximately $18.5 million cash consideration paid by the Company plus $2.15 million cash payment paid at closing directly to shareholders of HCAP from the Adviser.</w:t>
      </w:r>
    </w:p>
    <w:p>
      <w:pPr>
        <w:spacing w:after="0" w:line="224"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4"/>
          <w:szCs w:val="14"/>
          <w:color w:val="auto"/>
        </w:rPr>
        <w:t>On June 9, 2021, the Company entered into the HCAP Third Supplemental Indenture, effective as of the closing of the HCAP Acquisition. The HCAP Third Supplemental Indenture relates to the Company’s assumption of $28.75 million in aggregate principal amount of the HCAP Notes.</w:t>
      </w:r>
    </w:p>
    <w:p>
      <w:pPr>
        <w:spacing w:after="0" w:line="55" w:lineRule="exact"/>
        <w:rPr>
          <w:sz w:val="20"/>
          <w:szCs w:val="20"/>
          <w:color w:val="auto"/>
        </w:rPr>
      </w:pPr>
    </w:p>
    <w:p>
      <w:pPr>
        <w:ind w:right="200" w:firstLine="374"/>
        <w:spacing w:after="0" w:line="236" w:lineRule="auto"/>
        <w:rPr>
          <w:sz w:val="20"/>
          <w:szCs w:val="20"/>
          <w:color w:val="auto"/>
        </w:rPr>
      </w:pPr>
      <w:r>
        <w:rPr>
          <w:rFonts w:ascii="Times New Roman" w:cs="Times New Roman" w:eastAsia="Times New Roman" w:hAnsi="Times New Roman"/>
          <w:sz w:val="14"/>
          <w:szCs w:val="14"/>
          <w:color w:val="auto"/>
        </w:rPr>
        <w:t>Pursuant to the HCAP Third Supplemental Indenture, the Company expressly assumed the due and punctual payment of the principal of (and premium, if any) and interest, if any, on the HCAP Notes and the performance of HCAP’s covenants under the base indenture, dated as of January 27, 2015, by and between HCAP and the Trustee, as supplemented by the second supplemental indenture, dated as of August 24, 2017, by and between HCAP and the Trustee. No change of control offer was required to be made in respect of the HCAP Notes in connection with the consummation of the HCAP Acquisition.</w:t>
      </w:r>
    </w:p>
    <w:p>
      <w:pPr>
        <w:spacing w:after="0" w:line="69" w:lineRule="exact"/>
        <w:rPr>
          <w:sz w:val="20"/>
          <w:szCs w:val="20"/>
          <w:color w:val="auto"/>
        </w:rPr>
      </w:pPr>
    </w:p>
    <w:p>
      <w:pPr>
        <w:ind w:right="260" w:firstLine="374"/>
        <w:spacing w:after="0" w:line="261" w:lineRule="auto"/>
        <w:rPr>
          <w:sz w:val="20"/>
          <w:szCs w:val="20"/>
          <w:color w:val="auto"/>
        </w:rPr>
      </w:pPr>
      <w:r>
        <w:rPr>
          <w:rFonts w:ascii="Times New Roman" w:cs="Times New Roman" w:eastAsia="Times New Roman" w:hAnsi="Times New Roman"/>
          <w:sz w:val="14"/>
          <w:szCs w:val="14"/>
          <w:color w:val="auto"/>
        </w:rPr>
        <w:t>The HCAP Notes could be redeemed by the Company at any time at par value plus accrued and unpaid interest. On July 23, 2021, the Company redeemed the entire notional amount of $28.75 million of the HCAP Notes.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SUBSEQUENT EVENTS</w:t>
      </w:r>
    </w:p>
    <w:p>
      <w:pPr>
        <w:spacing w:after="0" w:line="246" w:lineRule="exact"/>
        <w:rPr>
          <w:sz w:val="20"/>
          <w:szCs w:val="20"/>
          <w:color w:val="auto"/>
        </w:rPr>
      </w:pPr>
    </w:p>
    <w:p>
      <w:pPr>
        <w:ind w:right="40" w:firstLine="374"/>
        <w:spacing w:after="0" w:line="231" w:lineRule="auto"/>
        <w:rPr>
          <w:sz w:val="20"/>
          <w:szCs w:val="20"/>
          <w:color w:val="auto"/>
        </w:rPr>
      </w:pPr>
      <w:r>
        <w:rPr>
          <w:rFonts w:ascii="Times New Roman" w:cs="Times New Roman" w:eastAsia="Times New Roman" w:hAnsi="Times New Roman"/>
          <w:sz w:val="14"/>
          <w:szCs w:val="14"/>
          <w:color w:val="auto"/>
        </w:rPr>
        <w:t>On July 23, 2024, GLPRF LLC amended the Revolving Credit Facility with JPM as administrative agent. The amended agreement, among other things, (i) provided for a committed increase to the aggregate principal amount of the Revolving Credit Facility in an amount not to exceed $85,000,000, subject to the satisfaction of certain conditions, (ii) provided for a committed seven-day bridge advance in an aggregate principal amount of $18,250,000, subject to the satisfaction of certain conditions, (iii) reduced the applicable margin on the Revolving Credit Facility to 2.50% per annum, (iv) extended the period in which the Company may request advances under the Revolving Credit Facility to August 29, 2026, (v) extended the stated maturity of the Revolving Credit Facility to August 29, 2027, (vi) extended the non-call period under the Revolving Credit Facility to April 29, 2025, and (vii) provided for certain fees to be paid to the administrative agent and the lenders in connection therewith.</w:t>
      </w:r>
    </w:p>
    <w:p>
      <w:pPr>
        <w:spacing w:after="0" w:line="69"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4"/>
          <w:szCs w:val="14"/>
          <w:color w:val="auto"/>
        </w:rPr>
        <w:t>On August 8, 2024, the Company declared a cash distribution of $0.69 per share of common stock. The distribution is payable on August 30, 2024 to stockholders of record at the close of business on August 22, 2024.</w:t>
      </w:r>
    </w:p>
    <w:p>
      <w:pPr>
        <w:spacing w:after="0" w:line="55" w:lineRule="exact"/>
        <w:rPr>
          <w:sz w:val="20"/>
          <w:szCs w:val="20"/>
          <w:color w:val="auto"/>
        </w:rPr>
      </w:pPr>
    </w:p>
    <w:p>
      <w:pPr>
        <w:ind w:right="120" w:firstLine="374"/>
        <w:spacing w:after="0" w:line="241" w:lineRule="auto"/>
        <w:rPr>
          <w:sz w:val="20"/>
          <w:szCs w:val="20"/>
          <w:color w:val="auto"/>
        </w:rPr>
      </w:pPr>
      <w:r>
        <w:rPr>
          <w:rFonts w:ascii="Times New Roman" w:cs="Times New Roman" w:eastAsia="Times New Roman" w:hAnsi="Times New Roman"/>
          <w:sz w:val="14"/>
          <w:szCs w:val="14"/>
          <w:color w:val="auto"/>
        </w:rPr>
        <w:t>The Company has evaluated events and transactions occurring subsequent to June 30, 2024, through the date of issuance, for items that should potentially be recognized or disclosed in these financial statements. Other than as described above, management has determined that there are no other material subsequent events that would require adjustment to, or disclosure in,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6" w:name="page47"/>
    <w:bookmarkEnd w:id="46"/>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w:t>
      </w:r>
    </w:p>
    <w:p>
      <w:pPr>
        <w:spacing w:after="0" w:line="98" w:lineRule="exact"/>
        <w:rPr>
          <w:sz w:val="20"/>
          <w:szCs w:val="20"/>
          <w:color w:val="auto"/>
        </w:rPr>
      </w:pPr>
    </w:p>
    <w:p>
      <w:pPr>
        <w:ind w:right="140" w:firstLine="374"/>
        <w:spacing w:after="0" w:line="236" w:lineRule="auto"/>
        <w:rPr>
          <w:sz w:val="20"/>
          <w:szCs w:val="20"/>
          <w:color w:val="auto"/>
        </w:rPr>
      </w:pPr>
      <w:r>
        <w:rPr>
          <w:rFonts w:ascii="Times New Roman" w:cs="Times New Roman" w:eastAsia="Times New Roman" w:hAnsi="Times New Roman"/>
          <w:sz w:val="14"/>
          <w:szCs w:val="14"/>
          <w:color w:val="auto"/>
        </w:rPr>
        <w:t>The following discussion and analysis should be read in conjunction with our consolidated financial statements and related notes included in this Quarterly Report on Form 10-Q. This discussion contains forward-looking statements and involves numerous risks and uncertainties, including but not limited to those described in Part I, Item 1A of our annual report on Form 10-K for the year ended December 31, 2023 and Part II, Item 1A of this Form 10-Q of this Quarterly Report. Our actual results could differ materially from those anticipated by such forward-looking statements due to factors discussed under the “Risk Factors” section included in our SEC filings and “Note About Forward-Looking Statements” appearing elsewhere in this Form 10-Q.</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8" w:lineRule="exact"/>
        <w:rPr>
          <w:sz w:val="20"/>
          <w:szCs w:val="20"/>
          <w:color w:val="auto"/>
        </w:rPr>
      </w:pPr>
    </w:p>
    <w:p>
      <w:pPr>
        <w:ind w:right="200" w:firstLine="374"/>
        <w:spacing w:after="0" w:line="236" w:lineRule="auto"/>
        <w:rPr>
          <w:sz w:val="20"/>
          <w:szCs w:val="20"/>
          <w:color w:val="auto"/>
        </w:rPr>
      </w:pPr>
      <w:r>
        <w:rPr>
          <w:rFonts w:ascii="Times New Roman" w:cs="Times New Roman" w:eastAsia="Times New Roman" w:hAnsi="Times New Roman"/>
          <w:sz w:val="14"/>
          <w:szCs w:val="14"/>
          <w:color w:val="auto"/>
        </w:rPr>
        <w:t>We are an externally managed, non-diversified closed-end investment company that has elected to be regulated as a business development company (“BDC”) under the Investment Company Act of 1940 (the “1940 Act”). Sierra Crest Investment Management LLC (the “Adviser”) is an affiliate of BC Partners LLP (“BC Partners”).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69" w:lineRule="exact"/>
        <w:rPr>
          <w:sz w:val="20"/>
          <w:szCs w:val="20"/>
          <w:color w:val="auto"/>
        </w:rPr>
      </w:pPr>
    </w:p>
    <w:p>
      <w:pPr>
        <w:ind w:right="20" w:firstLine="374"/>
        <w:spacing w:after="0" w:line="236" w:lineRule="auto"/>
        <w:rPr>
          <w:sz w:val="20"/>
          <w:szCs w:val="20"/>
          <w:color w:val="auto"/>
        </w:rPr>
      </w:pPr>
      <w:r>
        <w:rPr>
          <w:rFonts w:ascii="Times New Roman" w:cs="Times New Roman" w:eastAsia="Times New Roman" w:hAnsi="Times New Roman"/>
          <w:sz w:val="14"/>
          <w:szCs w:val="14"/>
          <w:color w:val="auto"/>
        </w:rPr>
        <w:t>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w:t>
      </w:r>
    </w:p>
    <w:p>
      <w:pPr>
        <w:spacing w:after="0" w:line="69" w:lineRule="exact"/>
        <w:rPr>
          <w:sz w:val="20"/>
          <w:szCs w:val="20"/>
          <w:color w:val="auto"/>
        </w:rPr>
      </w:pPr>
    </w:p>
    <w:p>
      <w:pPr>
        <w:ind w:right="20" w:firstLine="374"/>
        <w:spacing w:after="0" w:line="231" w:lineRule="auto"/>
        <w:rPr>
          <w:sz w:val="20"/>
          <w:szCs w:val="20"/>
          <w:color w:val="auto"/>
        </w:rPr>
      </w:pPr>
      <w:r>
        <w:rPr>
          <w:rFonts w:ascii="Times New Roman" w:cs="Times New Roman" w:eastAsia="Times New Roman" w:hAnsi="Times New Roman"/>
          <w:sz w:val="14"/>
          <w:szCs w:val="14"/>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While there is no specific collateral associated with senior unsecured debt, such positions are senior in payment priority over subordinated debt investments. The investments in our Debt Securities Portfolio are all or predominantly below investment grade, and have speculative characteristics with respect to the issuer’s capacity to pay interest and repay principal.</w:t>
      </w:r>
    </w:p>
    <w:p>
      <w:pPr>
        <w:spacing w:after="0" w:line="69"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4"/>
          <w:szCs w:val="14"/>
          <w:color w:val="auto"/>
        </w:rPr>
        <w:t>From time-to-time we have also made investments in CLO Fund Securities managed by other asset managers. Our collateralized loan obligation funds (“CLO Funds”) typically invest in broadly syndicated loans, high-yield bonds and other credit instruments.</w:t>
      </w:r>
    </w:p>
    <w:p>
      <w:pPr>
        <w:spacing w:after="0" w:line="55" w:lineRule="exact"/>
        <w:rPr>
          <w:sz w:val="20"/>
          <w:szCs w:val="20"/>
          <w:color w:val="auto"/>
        </w:rPr>
      </w:pPr>
    </w:p>
    <w:p>
      <w:pPr>
        <w:ind w:right="60" w:firstLine="374"/>
        <w:spacing w:after="0" w:line="236" w:lineRule="auto"/>
        <w:rPr>
          <w:sz w:val="20"/>
          <w:szCs w:val="20"/>
          <w:color w:val="auto"/>
        </w:rPr>
      </w:pPr>
      <w:r>
        <w:rPr>
          <w:rFonts w:ascii="Times New Roman" w:cs="Times New Roman" w:eastAsia="Times New Roman" w:hAnsi="Times New Roman"/>
          <w:sz w:val="14"/>
          <w:szCs w:val="14"/>
          <w:color w:val="auto"/>
        </w:rPr>
        <w:t>Our portfolio may include “covenant-lite” loans which generally refer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financial maintenance covenants.</w:t>
      </w:r>
    </w:p>
    <w:p>
      <w:pPr>
        <w:spacing w:after="0" w:line="69" w:lineRule="exact"/>
        <w:rPr>
          <w:sz w:val="20"/>
          <w:szCs w:val="20"/>
          <w:color w:val="auto"/>
        </w:rPr>
      </w:pPr>
    </w:p>
    <w:p>
      <w:pPr>
        <w:jc w:val="both"/>
        <w:ind w:right="40" w:firstLine="374"/>
        <w:spacing w:after="0" w:line="236" w:lineRule="auto"/>
        <w:rPr>
          <w:sz w:val="20"/>
          <w:szCs w:val="20"/>
          <w:color w:val="auto"/>
        </w:rPr>
      </w:pPr>
      <w:r>
        <w:rPr>
          <w:rFonts w:ascii="Times New Roman" w:cs="Times New Roman" w:eastAsia="Times New Roman" w:hAnsi="Times New Roman"/>
          <w:sz w:val="14"/>
          <w:szCs w:val="14"/>
          <w:color w:val="auto"/>
        </w:rPr>
        <w:t>We have elected to be treated for U.S. federal income tax purposes as a RIC under Subchapter M of the Internal Revenue Code of 1986, as amended (the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69" w:lineRule="exact"/>
        <w:rPr>
          <w:sz w:val="20"/>
          <w:szCs w:val="20"/>
          <w:color w:val="auto"/>
        </w:rPr>
      </w:pPr>
    </w:p>
    <w:p>
      <w:pPr>
        <w:ind w:right="20" w:firstLine="374"/>
        <w:spacing w:after="0" w:line="236" w:lineRule="auto"/>
        <w:rPr>
          <w:sz w:val="20"/>
          <w:szCs w:val="20"/>
          <w:color w:val="auto"/>
        </w:rPr>
      </w:pPr>
      <w:r>
        <w:rPr>
          <w:rFonts w:ascii="Times New Roman" w:cs="Times New Roman" w:eastAsia="Times New Roman" w:hAnsi="Times New Roman"/>
          <w:sz w:val="14"/>
          <w:szCs w:val="14"/>
          <w:color w:val="auto"/>
        </w:rPr>
        <w:t>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with unaffiliated funds and affiliated funds, divestures, spin-offs, joint ventures and other similar transactions from time to time. An example of an opportunity we are currently in the initial stages of evaluating is a potential merger with one or more of our affiliated 1940 Act funds, which may result in the use of an exchange ratio other than NAV-for-NAV (including but not limited to relative market price) in connection therewith.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Externalization</w:t>
      </w:r>
    </w:p>
    <w:p>
      <w:pPr>
        <w:spacing w:after="0" w:line="100" w:lineRule="exact"/>
        <w:rPr>
          <w:sz w:val="20"/>
          <w:szCs w:val="20"/>
          <w:color w:val="auto"/>
        </w:rPr>
      </w:pPr>
    </w:p>
    <w:p>
      <w:pPr>
        <w:jc w:val="both"/>
        <w:ind w:right="360" w:firstLine="374"/>
        <w:spacing w:after="0" w:line="241" w:lineRule="auto"/>
        <w:rPr>
          <w:sz w:val="20"/>
          <w:szCs w:val="20"/>
          <w:color w:val="auto"/>
        </w:rPr>
      </w:pPr>
      <w:r>
        <w:rPr>
          <w:rFonts w:ascii="Times New Roman" w:cs="Times New Roman" w:eastAsia="Times New Roman" w:hAnsi="Times New Roman"/>
          <w:sz w:val="14"/>
          <w:szCs w:val="14"/>
          <w:color w:val="auto"/>
        </w:rPr>
        <w:t>On April 1, 2019 (the “Closing”), we became externally managed (the “Externalization”) by the Adviser, pursuant to a stock purchase and transaction agreement (the “Externalization Agreement”) with BC Partners Advisors L.P. (“BCP”), an affiliate of BC Partners. In connection with the Externalization, our stockholders approved an investment advisory agreement (the “Advisory Agreement”) with the Adviser. See “-Advisory Agreement” below.</w:t>
      </w:r>
    </w:p>
    <w:p>
      <w:pPr>
        <w:spacing w:after="0" w:line="69" w:lineRule="exact"/>
        <w:rPr>
          <w:sz w:val="20"/>
          <w:szCs w:val="20"/>
          <w:color w:val="auto"/>
        </w:rPr>
      </w:pPr>
    </w:p>
    <w:p>
      <w:pPr>
        <w:ind w:firstLine="374"/>
        <w:spacing w:after="0" w:line="227" w:lineRule="auto"/>
        <w:rPr>
          <w:sz w:val="20"/>
          <w:szCs w:val="20"/>
          <w:color w:val="auto"/>
        </w:rPr>
      </w:pPr>
      <w:r>
        <w:rPr>
          <w:rFonts w:ascii="Times New Roman" w:cs="Times New Roman" w:eastAsia="Times New Roman" w:hAnsi="Times New Roman"/>
          <w:sz w:val="14"/>
          <w:szCs w:val="14"/>
          <w:color w:val="auto"/>
        </w:rPr>
        <w:t>Pursuant to the Externalization Agreement with BCP, the Adviser became our investment adviser in exchange for a cash payment from BCP, or its affiliate, of $25 million, or $0.669672 per share of our common stock, directly to our stockholders. In addition, the Adviser (or its affiliate) will use up to $10 million of the incentive fee actually paid to the Adviser prior to the second anniversary of the Closing to buy newly issued shares of our common stock at the most recently determined net asset value per share of our common stock at the time of such purchase. In November 2020, the Adviser purchased approximately $570 thousand newly issued shares of our common stock in connection therewith, and in May 2021, the Adviser purchased approximately $4.0 million of newly issued shares of our common stock in connection therewith. In both cases, the shares were issued at the most recently determined net asset value per share of our common stock. The obligations of the Advisor to use incentive fees to purchase shares expired on April 1, 2021. For the period of one year from the first day of the first quarter following the quarter in which the Closing occurred, the Adviser will permanently forego up to the full amount of the incentive fees earned by the Adviser without recourse against or reimbursement by us, to the extent necessary in order to achieve aggregate net investment income per share of common stock for such one-year period to be at least equal to $0.40 per share, subject to certain adjustments. BCP and the Adviser’s total financial commitment to the transactions contemplated by the Externalization Agreement was $35.0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GARS Transaction</w:t>
      </w:r>
    </w:p>
    <w:p>
      <w:pPr>
        <w:spacing w:after="0" w:line="100" w:lineRule="exact"/>
        <w:rPr>
          <w:sz w:val="20"/>
          <w:szCs w:val="20"/>
          <w:color w:val="auto"/>
        </w:rPr>
      </w:pPr>
    </w:p>
    <w:p>
      <w:pPr>
        <w:ind w:right="20" w:firstLine="374"/>
        <w:spacing w:after="0" w:line="241" w:lineRule="auto"/>
        <w:rPr>
          <w:sz w:val="20"/>
          <w:szCs w:val="20"/>
          <w:color w:val="auto"/>
        </w:rPr>
      </w:pPr>
      <w:r>
        <w:rPr>
          <w:rFonts w:ascii="Times New Roman" w:cs="Times New Roman" w:eastAsia="Times New Roman" w:hAnsi="Times New Roman"/>
          <w:sz w:val="14"/>
          <w:szCs w:val="14"/>
          <w:color w:val="auto"/>
        </w:rPr>
        <w:t>On October 28, 2020, we completed our acquisition of Garrison Capital Inc., a publicly traded BDC (“GARS”, and such transaction, the “GARS Acquisition”). To effect the acquisition, our wholly owned merger subsidiary merged with and into GARS, with GARS surviving the merger as our wholly owned subsidiary. Immediately thereafter and as a single integrated transaction, GARS consummated a second merger, whereby GARS merged with and into us, with the Company surviving the merger.</w:t>
      </w:r>
    </w:p>
    <w:p>
      <w:pPr>
        <w:spacing w:after="0" w:line="69" w:lineRule="exact"/>
        <w:rPr>
          <w:sz w:val="20"/>
          <w:szCs w:val="20"/>
          <w:color w:val="auto"/>
        </w:rPr>
      </w:pPr>
    </w:p>
    <w:p>
      <w:pPr>
        <w:ind w:right="40" w:firstLine="374"/>
        <w:spacing w:after="0" w:line="236" w:lineRule="auto"/>
        <w:rPr>
          <w:sz w:val="20"/>
          <w:szCs w:val="20"/>
          <w:color w:val="auto"/>
        </w:rPr>
      </w:pPr>
      <w:r>
        <w:rPr>
          <w:rFonts w:ascii="Times New Roman" w:cs="Times New Roman" w:eastAsia="Times New Roman" w:hAnsi="Times New Roman"/>
          <w:sz w:val="14"/>
          <w:szCs w:val="14"/>
          <w:color w:val="auto"/>
        </w:rPr>
        <w:t>In accordance with the terms of the merger agreement for the GARS Acquisition, dated June 24, 2020 (the “GARS Merger Agreement”), each share of common stock, par value $0.001 per share, of GARS (the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7" w:name="page48"/>
    <w:bookmarkEnd w:id="47"/>
    <w:p>
      <w:pPr>
        <w:ind w:right="60"/>
        <w:spacing w:after="0" w:line="261" w:lineRule="auto"/>
        <w:rPr>
          <w:sz w:val="20"/>
          <w:szCs w:val="20"/>
          <w:color w:val="auto"/>
        </w:rPr>
      </w:pPr>
      <w:r>
        <w:rPr>
          <w:rFonts w:ascii="Times New Roman" w:cs="Times New Roman" w:eastAsia="Times New Roman" w:hAnsi="Times New Roman"/>
          <w:sz w:val="14"/>
          <w:szCs w:val="14"/>
          <w:color w:val="auto"/>
        </w:rPr>
        <w:t>approximately $0.31. In connection with the closing of the GARS Acquisition, the Board approved an increase in the size of the Board from seven members to nine members, and appointed each of Matthew Westwood and Joseph Morea to serve on the Board.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HCAP Acquisition and Assumption and Redemption of HCAP Notes</w:t>
      </w:r>
    </w:p>
    <w:p>
      <w:pPr>
        <w:spacing w:after="0" w:line="100" w:lineRule="exact"/>
        <w:rPr>
          <w:sz w:val="20"/>
          <w:szCs w:val="20"/>
          <w:color w:val="auto"/>
        </w:rPr>
      </w:pPr>
    </w:p>
    <w:p>
      <w:pPr>
        <w:ind w:right="180" w:firstLine="374"/>
        <w:spacing w:after="0" w:line="236" w:lineRule="auto"/>
        <w:rPr>
          <w:sz w:val="20"/>
          <w:szCs w:val="20"/>
          <w:color w:val="auto"/>
        </w:rPr>
      </w:pPr>
      <w:r>
        <w:rPr>
          <w:rFonts w:ascii="Times New Roman" w:cs="Times New Roman" w:eastAsia="Times New Roman" w:hAnsi="Times New Roman"/>
          <w:sz w:val="14"/>
          <w:szCs w:val="14"/>
          <w:color w:val="auto"/>
        </w:rPr>
        <w:t>On June 9, 2021 we completed our acquisition of Harvest Capital Credit Corporation, a publicly traded BDC (“HCAP”, and such transaction, the “HCAP Acquisition”). To effect the acquisition, our wholly owned merger subsidiary (“Acquisition Sub”) merged with and into HCAP, with HCAP surviving the merger as the Company’s wholly owned subsidiary. Immediately thereafter and as a single integrated transaction, HCAP consummated a second merger, whereby HCAP merged with and into the Company, with the Company surviving the merger. As a result of, and as of the effective time of, the second merger, HCAP’s separate corporate existence ceased.</w:t>
      </w:r>
    </w:p>
    <w:p>
      <w:pPr>
        <w:spacing w:after="0" w:line="69" w:lineRule="exact"/>
        <w:rPr>
          <w:sz w:val="20"/>
          <w:szCs w:val="20"/>
          <w:color w:val="auto"/>
        </w:rPr>
      </w:pPr>
    </w:p>
    <w:p>
      <w:pPr>
        <w:ind w:right="200" w:firstLine="374"/>
        <w:spacing w:after="0" w:line="236" w:lineRule="auto"/>
        <w:rPr>
          <w:sz w:val="20"/>
          <w:szCs w:val="20"/>
          <w:color w:val="auto"/>
        </w:rPr>
      </w:pPr>
      <w:r>
        <w:rPr>
          <w:rFonts w:ascii="Times New Roman" w:cs="Times New Roman" w:eastAsia="Times New Roman" w:hAnsi="Times New Roman"/>
          <w:sz w:val="14"/>
          <w:szCs w:val="14"/>
          <w:color w:val="auto"/>
        </w:rPr>
        <w:t>Under the terms of the merger agreement for the HCAP Acquisition, dated December 23, 2020 (the “HCAP Merger Agreement”), HCAP stockholders as of immediately prior to the effective time of the first merger (other than shares held by a subsidiary of HCAP or held, directly or indirectly, by the Company or Acquisition Sub, and all treasury shares (collectively, “Cancelled Shares”)) received a combination of (i) $18.54 million in cash paid by the Company, (ii) 15,252,453 validly issued, fully paid and non-assessable shares of the Company’s common stock, par value $0.01 per share, and (iii) an additional cash payment from the Adviser of $2.15 million in the aggregate.</w:t>
      </w:r>
    </w:p>
    <w:p>
      <w:pPr>
        <w:spacing w:after="0" w:line="69" w:lineRule="exact"/>
        <w:rPr>
          <w:sz w:val="20"/>
          <w:szCs w:val="20"/>
          <w:color w:val="auto"/>
        </w:rPr>
      </w:pPr>
    </w:p>
    <w:p>
      <w:pPr>
        <w:ind w:right="60" w:firstLine="374"/>
        <w:spacing w:after="0" w:line="231" w:lineRule="auto"/>
        <w:rPr>
          <w:sz w:val="20"/>
          <w:szCs w:val="20"/>
          <w:color w:val="auto"/>
        </w:rPr>
      </w:pPr>
      <w:r>
        <w:rPr>
          <w:rFonts w:ascii="Times New Roman" w:cs="Times New Roman" w:eastAsia="Times New Roman" w:hAnsi="Times New Roman"/>
          <w:sz w:val="14"/>
          <w:szCs w:val="14"/>
          <w:color w:val="auto"/>
        </w:rPr>
        <w:t>With respect to the merger consideration from the Company, HCAP stockholders as of immediately prior to the effective time of the first merger (other than Cancelled Shares) were entitled, with respect to all or any portion of the shares of HCAP common stock they held as of the effective time of the first merger, to elect to receive the merger consideration in the form of cash (an “Election”) or in the form of our common stock, subject to certain conditions and limitations in the merger agreement. Any HCAP stockholder who did not validly make an Election was deemed to have elected to receive shares of the Company’s common stock with respect to the merger consideration as payment for their shares of HCAP common stock. Each share of HCAP common stock (other than Cancelled Shares) with respect to which an Election was made was treated as an “Electing Share” and each share of HCAP Common Stock (other than Cancelled Shares) with respect to which an Election was not made or that was transferred after the election deadline on June 2, 2021 was treated as a “Non-Electing Share.”</w:t>
      </w:r>
    </w:p>
    <w:p>
      <w:pPr>
        <w:spacing w:after="0" w:line="69" w:lineRule="exact"/>
        <w:rPr>
          <w:sz w:val="20"/>
          <w:szCs w:val="20"/>
          <w:color w:val="auto"/>
        </w:rPr>
      </w:pPr>
    </w:p>
    <w:p>
      <w:pPr>
        <w:ind w:right="80" w:firstLine="374"/>
        <w:spacing w:after="0" w:line="233" w:lineRule="auto"/>
        <w:rPr>
          <w:sz w:val="20"/>
          <w:szCs w:val="20"/>
          <w:color w:val="auto"/>
        </w:rPr>
      </w:pPr>
      <w:r>
        <w:rPr>
          <w:rFonts w:ascii="Times New Roman" w:cs="Times New Roman" w:eastAsia="Times New Roman" w:hAnsi="Times New Roman"/>
          <w:sz w:val="14"/>
          <w:szCs w:val="14"/>
          <w:color w:val="auto"/>
        </w:rPr>
        <w:t>Pursuant to the conditions of and adjustment mechanisms in the HCAP Merger Agreement, 475,806 Electing Shares were converted to Non-Electing Shares for purposes of calculating the total mix of consideration to be paid to each Electing Share in order to ensure that the value of the aggregate cash consideration paid to holders of the Electing Shares equaled the aggregate cash consideration that HCAP received from the Company under the terms of the HCAP Merger Agreement. Accordingly, as a result of the Elections received from HCAP stockholders and any resulting adjustment under the terms of the HCAP Merger Agreement, each Electing Share received, in aggregate, approximately $7.43 in cash and 0.74 shares of the Company's common stock, while each Non-Electing Share received, in aggregate, approximately 3.86 shares of the Company's common stock.</w:t>
      </w:r>
    </w:p>
    <w:p>
      <w:pPr>
        <w:spacing w:after="0" w:line="69" w:lineRule="exact"/>
        <w:rPr>
          <w:sz w:val="20"/>
          <w:szCs w:val="20"/>
          <w:color w:val="auto"/>
        </w:rPr>
      </w:pPr>
    </w:p>
    <w:p>
      <w:pPr>
        <w:ind w:right="40" w:firstLine="374"/>
        <w:spacing w:after="0" w:line="241" w:lineRule="auto"/>
        <w:rPr>
          <w:sz w:val="20"/>
          <w:szCs w:val="20"/>
          <w:color w:val="auto"/>
        </w:rPr>
      </w:pPr>
      <w:r>
        <w:rPr>
          <w:rFonts w:ascii="Times New Roman" w:cs="Times New Roman" w:eastAsia="Times New Roman" w:hAnsi="Times New Roman"/>
          <w:sz w:val="14"/>
          <w:szCs w:val="14"/>
          <w:color w:val="auto"/>
        </w:rPr>
        <w:t>On June 9, 2021, the Company entered into a third supplemental indenture (the “HCAP Third Supplemental Indenture”) by and between the Company and U.S. Bank National Association, as trustee (the “Trustee”), effective as of the closing of the HCAP Acquisition. The HCAP Third Supplemental Indenture relates to the Company’s assumption of $28.75 million in aggregate principal amount of HCAP’s 6.125% Notes due September 15, 2022 (the “HCAP Notes”).</w:t>
      </w:r>
    </w:p>
    <w:p>
      <w:pPr>
        <w:spacing w:after="0" w:line="69" w:lineRule="exact"/>
        <w:rPr>
          <w:sz w:val="20"/>
          <w:szCs w:val="20"/>
          <w:color w:val="auto"/>
        </w:rPr>
      </w:pPr>
    </w:p>
    <w:p>
      <w:pPr>
        <w:ind w:right="200" w:firstLine="374"/>
        <w:spacing w:after="0" w:line="236" w:lineRule="auto"/>
        <w:rPr>
          <w:sz w:val="20"/>
          <w:szCs w:val="20"/>
          <w:color w:val="auto"/>
        </w:rPr>
      </w:pPr>
      <w:r>
        <w:rPr>
          <w:rFonts w:ascii="Times New Roman" w:cs="Times New Roman" w:eastAsia="Times New Roman" w:hAnsi="Times New Roman"/>
          <w:sz w:val="14"/>
          <w:szCs w:val="14"/>
          <w:color w:val="auto"/>
        </w:rPr>
        <w:t>Pursuant to the HCAP Third Supplemental Indenture, the Company expressly assumed the due and punctual payment of the principal of (and premium, if any) and interest, if any, on the HCAP Notes and the performance of HCAP’s covenants under the base indenture, dated as of January 27, 2015, by and between HCAP and the Trustee, as supplemented by the second supplemental indenture, dated as of August 24, 2017, by and between HCAP and the Trustee. No change of control offer was required to be made in respect of the HCAP Notes in connection with the consummation of the HCAP Acquisition.</w:t>
      </w:r>
    </w:p>
    <w:p>
      <w:pPr>
        <w:spacing w:after="0" w:line="69" w:lineRule="exact"/>
        <w:rPr>
          <w:sz w:val="20"/>
          <w:szCs w:val="20"/>
          <w:color w:val="auto"/>
        </w:rPr>
      </w:pPr>
    </w:p>
    <w:p>
      <w:pPr>
        <w:ind w:right="260" w:firstLine="374"/>
        <w:spacing w:after="0" w:line="261" w:lineRule="auto"/>
        <w:rPr>
          <w:sz w:val="20"/>
          <w:szCs w:val="20"/>
          <w:color w:val="auto"/>
        </w:rPr>
      </w:pPr>
      <w:r>
        <w:rPr>
          <w:rFonts w:ascii="Times New Roman" w:cs="Times New Roman" w:eastAsia="Times New Roman" w:hAnsi="Times New Roman"/>
          <w:sz w:val="14"/>
          <w:szCs w:val="14"/>
          <w:color w:val="auto"/>
        </w:rPr>
        <w:t>The HCAP Notes could be redeemed by the Company at any time at par value plus accrued and unpaid interest. On July 23, 2021, the Company redeemed the entire notional amount of $28.75 million of the HCAP Notes.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PORTFOLIO AND INVESTMENT ACTIVITY</w:t>
      </w:r>
    </w:p>
    <w:p>
      <w:pPr>
        <w:spacing w:after="0" w:line="98" w:lineRule="exact"/>
        <w:rPr>
          <w:sz w:val="20"/>
          <w:szCs w:val="20"/>
          <w:color w:val="auto"/>
        </w:rPr>
      </w:pPr>
    </w:p>
    <w:p>
      <w:pPr>
        <w:ind w:right="580" w:firstLine="374"/>
        <w:spacing w:after="0" w:line="261" w:lineRule="auto"/>
        <w:rPr>
          <w:sz w:val="20"/>
          <w:szCs w:val="20"/>
          <w:color w:val="auto"/>
        </w:rPr>
      </w:pPr>
      <w:r>
        <w:rPr>
          <w:rFonts w:ascii="Times New Roman" w:cs="Times New Roman" w:eastAsia="Times New Roman" w:hAnsi="Times New Roman"/>
          <w:sz w:val="14"/>
          <w:szCs w:val="14"/>
          <w:color w:val="auto"/>
        </w:rPr>
        <w:t>Our primary investments are lending to and investing in middle-market businesses through investments in senior secured loans, junior secured loans, subordinated/mezzanine debt investments, and other equity investments, which may include warrants, investments in joint ventures, and investments in CLO Fund Securities.</w:t>
      </w:r>
    </w:p>
    <w:p>
      <w:pPr>
        <w:spacing w:after="0" w:line="55" w:lineRule="exact"/>
        <w:rPr>
          <w:sz w:val="20"/>
          <w:szCs w:val="20"/>
          <w:color w:val="auto"/>
        </w:rPr>
      </w:pPr>
    </w:p>
    <w:p>
      <w:pPr>
        <w:jc w:val="both"/>
        <w:ind w:right="280" w:firstLine="374"/>
        <w:spacing w:after="0" w:line="261" w:lineRule="auto"/>
        <w:rPr>
          <w:sz w:val="20"/>
          <w:szCs w:val="20"/>
          <w:color w:val="auto"/>
        </w:rPr>
      </w:pPr>
      <w:r>
        <w:rPr>
          <w:rFonts w:ascii="Times New Roman" w:cs="Times New Roman" w:eastAsia="Times New Roman" w:hAnsi="Times New Roman"/>
          <w:sz w:val="14"/>
          <w:szCs w:val="14"/>
          <w:color w:val="auto"/>
        </w:rPr>
        <w:t>Total portfolio investment activity (excluding activity in short-term investments) for the six months ended June 30, 2024 (unaudited) and for the year ended December 31, 2023,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Collateralized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Second Lien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Subordinated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337"/>
              <w:spacing w:after="0" w:line="135" w:lineRule="exact"/>
              <w:rPr>
                <w:sz w:val="20"/>
                <w:szCs w:val="20"/>
                <w:color w:val="auto"/>
              </w:rPr>
            </w:pPr>
            <w:r>
              <w:rPr>
                <w:rFonts w:ascii="Times New Roman" w:cs="Times New Roman" w:eastAsia="Times New Roman" w:hAnsi="Times New Roman"/>
                <w:sz w:val="13"/>
                <w:szCs w:val="13"/>
                <w:b w:val="1"/>
                <w:bCs w:val="1"/>
                <w:color w:val="auto"/>
              </w:rPr>
              <w:t>Loan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397"/>
              <w:spacing w:after="0" w:line="135" w:lineRule="exact"/>
              <w:rPr>
                <w:sz w:val="20"/>
                <w:szCs w:val="20"/>
                <w:color w:val="auto"/>
              </w:rPr>
            </w:pPr>
            <w:r>
              <w:rPr>
                <w:rFonts w:ascii="Times New Roman" w:cs="Times New Roman" w:eastAsia="Times New Roman" w:hAnsi="Times New Roman"/>
                <w:sz w:val="13"/>
                <w:szCs w:val="13"/>
                <w:b w:val="1"/>
                <w:bCs w:val="1"/>
                <w:color w:val="auto"/>
              </w:rPr>
              <w:t>Joint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7"/>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8"/>
              </w:rPr>
              <w:t>First Lien Debt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6"/>
              </w:rPr>
              <w:t>Obligations</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Ventures</w:t>
            </w:r>
          </w:p>
        </w:tc>
        <w:tc>
          <w:tcPr>
            <w:tcW w:w="100" w:type="dxa"/>
            <w:vAlign w:val="bottom"/>
          </w:tcPr>
          <w:p>
            <w:pPr>
              <w:spacing w:after="0"/>
              <w:rPr>
                <w:sz w:val="14"/>
                <w:szCs w:val="14"/>
                <w:color w:val="auto"/>
              </w:rPr>
            </w:pP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Derivatives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3"/>
              </w:rPr>
              <w:t>Portfolio</w:t>
            </w:r>
          </w:p>
        </w:tc>
        <w:tc>
          <w:tcPr>
            <w:tcW w:w="0" w:type="dxa"/>
            <w:vAlign w:val="bottom"/>
          </w:tcPr>
          <w:p>
            <w:pPr>
              <w:spacing w:after="0"/>
              <w:rPr>
                <w:sz w:val="1"/>
                <w:szCs w:val="1"/>
                <w:color w:val="auto"/>
              </w:rPr>
            </w:pPr>
          </w:p>
        </w:tc>
      </w:tr>
      <w:tr>
        <w:trPr>
          <w:trHeight w:val="157"/>
        </w:trPr>
        <w:tc>
          <w:tcPr>
            <w:tcW w:w="2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Fair Value at December 31, 2022</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401,113</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74,009</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21,905</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20,453</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58,955</w:t>
            </w:r>
          </w:p>
        </w:tc>
        <w:tc>
          <w:tcPr>
            <w:tcW w:w="4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576,478</w:t>
            </w:r>
          </w:p>
        </w:tc>
        <w:tc>
          <w:tcPr>
            <w:tcW w:w="0" w:type="dxa"/>
            <w:vAlign w:val="bottom"/>
          </w:tcPr>
          <w:p>
            <w:pPr>
              <w:spacing w:after="0"/>
              <w:rPr>
                <w:sz w:val="1"/>
                <w:szCs w:val="1"/>
                <w:color w:val="auto"/>
              </w:rPr>
            </w:pPr>
          </w:p>
        </w:tc>
      </w:tr>
      <w:tr>
        <w:trPr>
          <w:trHeight w:val="162"/>
        </w:trPr>
        <w:tc>
          <w:tcPr>
            <w:tcW w:w="2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Purchases / originations / draws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50,109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952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7,867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7,564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66,492</w:t>
            </w: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Pay-downs / pay-offs / sales</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(117,244 )</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(32,968 )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5,567</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(8,770 )</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(2,097 )</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(4,999 )</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(160,511 )</w:t>
            </w:r>
          </w:p>
        </w:tc>
        <w:tc>
          <w:tcPr>
            <w:tcW w:w="0" w:type="dxa"/>
            <w:vAlign w:val="bottom"/>
          </w:tcPr>
          <w:p>
            <w:pPr>
              <w:spacing w:after="0"/>
              <w:rPr>
                <w:sz w:val="1"/>
                <w:szCs w:val="1"/>
                <w:color w:val="auto"/>
              </w:rPr>
            </w:pPr>
          </w:p>
        </w:tc>
      </w:tr>
      <w:tr>
        <w:trPr>
          <w:trHeight w:val="162"/>
        </w:trPr>
        <w:tc>
          <w:tcPr>
            <w:tcW w:w="2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accretion of interest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6,332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1,998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8,980</w:t>
            </w: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w w:val="97"/>
              </w:rPr>
              <w:t>Net realized gain (loss) on investments</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(3,633 )</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(1,151 )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3,334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(25,446 )</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(26,896 )</w:t>
            </w:r>
          </w:p>
        </w:tc>
        <w:tc>
          <w:tcPr>
            <w:tcW w:w="0" w:type="dxa"/>
            <w:vAlign w:val="bottom"/>
          </w:tcPr>
          <w:p>
            <w:pPr>
              <w:spacing w:after="0"/>
              <w:rPr>
                <w:sz w:val="1"/>
                <w:szCs w:val="1"/>
                <w:color w:val="auto"/>
              </w:rPr>
            </w:pPr>
          </w:p>
        </w:tc>
      </w:tr>
      <w:tr>
        <w:trPr>
          <w:trHeight w:val="130"/>
        </w:trPr>
        <w:tc>
          <w:tcPr>
            <w:tcW w:w="2200" w:type="dxa"/>
            <w:vAlign w:val="bottom"/>
          </w:tcPr>
          <w:p>
            <w:pPr>
              <w:ind w:left="200"/>
              <w:spacing w:after="0" w:line="131" w:lineRule="exact"/>
              <w:rPr>
                <w:sz w:val="20"/>
                <w:szCs w:val="20"/>
                <w:color w:val="auto"/>
              </w:rPr>
            </w:pPr>
            <w:r>
              <w:rPr>
                <w:rFonts w:ascii="Times New Roman" w:cs="Times New Roman" w:eastAsia="Times New Roman" w:hAnsi="Times New Roman"/>
                <w:sz w:val="13"/>
                <w:szCs w:val="13"/>
                <w:color w:val="auto"/>
              </w:rPr>
              <w:t>Net change in unrealized appreciation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(76 )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(239 )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(4,387 )</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(3,803 )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14,060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(2,233 )</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3,322</w:t>
            </w:r>
          </w:p>
        </w:tc>
        <w:tc>
          <w:tcPr>
            <w:tcW w:w="0" w:type="dxa"/>
            <w:vAlign w:val="bottom"/>
          </w:tcPr>
          <w:p>
            <w:pPr>
              <w:spacing w:after="0"/>
              <w:rPr>
                <w:sz w:val="1"/>
                <w:szCs w:val="1"/>
                <w:color w:val="auto"/>
              </w:rPr>
            </w:pPr>
          </w:p>
        </w:tc>
      </w:tr>
      <w:tr>
        <w:trPr>
          <w:trHeight w:val="153"/>
        </w:trPr>
        <w:tc>
          <w:tcPr>
            <w:tcW w:w="2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on investments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Fair Value at December 31, 2023</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336,601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41,253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1,223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20,533</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8,968</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59,287</w:t>
            </w:r>
          </w:p>
        </w:tc>
        <w:tc>
          <w:tcPr>
            <w:tcW w:w="4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467,865</w:t>
            </w:r>
          </w:p>
        </w:tc>
        <w:tc>
          <w:tcPr>
            <w:tcW w:w="0" w:type="dxa"/>
            <w:vAlign w:val="bottom"/>
          </w:tcPr>
          <w:p>
            <w:pPr>
              <w:spacing w:after="0"/>
              <w:rPr>
                <w:sz w:val="1"/>
                <w:szCs w:val="1"/>
                <w:color w:val="auto"/>
              </w:rPr>
            </w:pPr>
          </w:p>
        </w:tc>
      </w:tr>
      <w:tr>
        <w:trPr>
          <w:trHeight w:val="162"/>
        </w:trPr>
        <w:tc>
          <w:tcPr>
            <w:tcW w:w="2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Purchases / originations / draws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47,763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943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4,796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768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55,300</w:t>
            </w: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Pay-downs / pay-offs / sales</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(56,484 )</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(3,176 )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(459 )</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(71 )</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(938 )</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(6,408 )</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(67,536 )</w:t>
            </w:r>
          </w:p>
        </w:tc>
        <w:tc>
          <w:tcPr>
            <w:tcW w:w="0" w:type="dxa"/>
            <w:vAlign w:val="bottom"/>
          </w:tcPr>
          <w:p>
            <w:pPr>
              <w:spacing w:after="0"/>
              <w:rPr>
                <w:sz w:val="1"/>
                <w:szCs w:val="1"/>
                <w:color w:val="auto"/>
              </w:rPr>
            </w:pPr>
          </w:p>
        </w:tc>
      </w:tr>
      <w:tr>
        <w:trPr>
          <w:trHeight w:val="162"/>
        </w:trPr>
        <w:tc>
          <w:tcPr>
            <w:tcW w:w="2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accretion of interest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1,494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1,081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2,657</w:t>
            </w: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w w:val="97"/>
              </w:rPr>
              <w:t>Net realized gain (loss) on investments</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(1,368 )</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(419 )</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(5,411 )</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(823 )</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(8,021 )</w:t>
            </w:r>
          </w:p>
        </w:tc>
        <w:tc>
          <w:tcPr>
            <w:tcW w:w="0" w:type="dxa"/>
            <w:vAlign w:val="bottom"/>
          </w:tcPr>
          <w:p>
            <w:pPr>
              <w:spacing w:after="0"/>
              <w:rPr>
                <w:sz w:val="1"/>
                <w:szCs w:val="1"/>
                <w:color w:val="auto"/>
              </w:rPr>
            </w:pPr>
          </w:p>
        </w:tc>
      </w:tr>
      <w:tr>
        <w:trPr>
          <w:trHeight w:val="130"/>
        </w:trPr>
        <w:tc>
          <w:tcPr>
            <w:tcW w:w="2200" w:type="dxa"/>
            <w:vAlign w:val="bottom"/>
          </w:tcPr>
          <w:p>
            <w:pPr>
              <w:ind w:left="200"/>
              <w:spacing w:after="0" w:line="131" w:lineRule="exact"/>
              <w:rPr>
                <w:sz w:val="20"/>
                <w:szCs w:val="20"/>
                <w:color w:val="auto"/>
              </w:rPr>
            </w:pPr>
            <w:r>
              <w:rPr>
                <w:rFonts w:ascii="Times New Roman" w:cs="Times New Roman" w:eastAsia="Times New Roman" w:hAnsi="Times New Roman"/>
                <w:sz w:val="13"/>
                <w:szCs w:val="13"/>
                <w:color w:val="auto"/>
              </w:rPr>
              <w:t>Net change in unrealized appreciation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(7,191 )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(2,803 )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405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3,983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(934 )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645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(5,895 )</w:t>
            </w:r>
          </w:p>
        </w:tc>
        <w:tc>
          <w:tcPr>
            <w:tcW w:w="0" w:type="dxa"/>
            <w:vAlign w:val="bottom"/>
          </w:tcPr>
          <w:p>
            <w:pPr>
              <w:spacing w:after="0"/>
              <w:rPr>
                <w:sz w:val="1"/>
                <w:szCs w:val="1"/>
                <w:color w:val="auto"/>
              </w:rPr>
            </w:pPr>
          </w:p>
        </w:tc>
      </w:tr>
      <w:tr>
        <w:trPr>
          <w:trHeight w:val="153"/>
        </w:trPr>
        <w:tc>
          <w:tcPr>
            <w:tcW w:w="2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on investments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Fair Value at June 30, 2024</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320,815</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36,386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1,693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23,830</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7,354</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54,292</w:t>
            </w:r>
          </w:p>
        </w:tc>
        <w:tc>
          <w:tcPr>
            <w:tcW w:w="4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444,370</w:t>
            </w:r>
          </w:p>
        </w:tc>
        <w:tc>
          <w:tcPr>
            <w:tcW w:w="0" w:type="dxa"/>
            <w:vAlign w:val="bottom"/>
          </w:tcPr>
          <w:p>
            <w:pPr>
              <w:spacing w:after="0"/>
              <w:rPr>
                <w:sz w:val="1"/>
                <w:szCs w:val="1"/>
                <w:color w:val="auto"/>
              </w:rPr>
            </w:pPr>
          </w:p>
        </w:tc>
      </w:tr>
    </w:tbl>
    <w:p>
      <w:pPr>
        <w:spacing w:after="0" w:line="342" w:lineRule="exact"/>
        <w:rPr>
          <w:sz w:val="20"/>
          <w:szCs w:val="20"/>
          <w:color w:val="auto"/>
        </w:rPr>
      </w:pPr>
    </w:p>
    <w:p>
      <w:pPr>
        <w:jc w:val="both"/>
        <w:ind w:right="300" w:firstLine="374"/>
        <w:spacing w:after="0" w:line="241" w:lineRule="auto"/>
        <w:rPr>
          <w:sz w:val="20"/>
          <w:szCs w:val="20"/>
          <w:color w:val="auto"/>
        </w:rPr>
      </w:pPr>
      <w:r>
        <w:rPr>
          <w:rFonts w:ascii="Times New Roman" w:cs="Times New Roman" w:eastAsia="Times New Roman" w:hAnsi="Times New Roman"/>
          <w:sz w:val="14"/>
          <w:szCs w:val="14"/>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ind w:left="380"/>
        <w:spacing w:after="0"/>
        <w:rPr>
          <w:sz w:val="20"/>
          <w:szCs w:val="20"/>
          <w:color w:val="auto"/>
        </w:rPr>
      </w:pPr>
      <w:r>
        <w:rPr>
          <w:rFonts w:ascii="Times New Roman" w:cs="Times New Roman" w:eastAsia="Times New Roman" w:hAnsi="Times New Roman"/>
          <w:sz w:val="14"/>
          <w:szCs w:val="14"/>
          <w:color w:val="auto"/>
        </w:rPr>
        <w:t>The following table shows the Company’s portfolio by security type as of June 30, 2024, and December 31, 2023:</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Cost/Amortized</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2"/>
                <w:szCs w:val="12"/>
                <w:color w:val="auto"/>
              </w:rPr>
            </w:pPr>
          </w:p>
        </w:tc>
        <w:tc>
          <w:tcPr>
            <w:tcW w:w="14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Cost/Amortized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187"/>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343,264</w:t>
            </w:r>
          </w:p>
        </w:tc>
        <w:tc>
          <w:tcPr>
            <w:tcW w:w="132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320,815</w:t>
            </w:r>
          </w:p>
        </w:tc>
        <w:tc>
          <w:tcPr>
            <w:tcW w:w="11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72.1 %</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351,858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336,599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71.9 %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220" w:type="dxa"/>
            <w:vAlign w:val="bottom"/>
          </w:tcPr>
          <w:p>
            <w:pPr>
              <w:spacing w:after="0"/>
              <w:rPr>
                <w:sz w:val="15"/>
                <w:szCs w:val="15"/>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48,750</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36,386</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8.2 %</w:t>
            </w:r>
          </w:p>
        </w:tc>
        <w:tc>
          <w:tcPr>
            <w:tcW w:w="18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50,814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41,254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2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8,055</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1,693</w:t>
            </w:r>
          </w:p>
        </w:tc>
        <w:tc>
          <w:tcPr>
            <w:tcW w:w="11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0.4 %</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7,990</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220" w:type="dxa"/>
            <w:vAlign w:val="bottom"/>
          </w:tcPr>
          <w:p>
            <w:pPr>
              <w:spacing w:after="0"/>
              <w:rPr>
                <w:sz w:val="15"/>
                <w:szCs w:val="15"/>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8,423</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7,354</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1.7 %</w:t>
            </w:r>
          </w:p>
        </w:tc>
        <w:tc>
          <w:tcPr>
            <w:tcW w:w="18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8,968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2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65,775</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54,292</w:t>
            </w:r>
          </w:p>
        </w:tc>
        <w:tc>
          <w:tcPr>
            <w:tcW w:w="11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12.2 %</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71,415</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59,287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20" w:type="dxa"/>
            <w:vAlign w:val="bottom"/>
          </w:tcPr>
          <w:p>
            <w:pPr>
              <w:spacing w:after="0"/>
              <w:rPr>
                <w:sz w:val="15"/>
                <w:szCs w:val="15"/>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30,594</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23,830</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5.4 %</w:t>
            </w:r>
          </w:p>
        </w:tc>
        <w:tc>
          <w:tcPr>
            <w:tcW w:w="18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31,280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Asset Manager Affiliates</w:t>
            </w:r>
            <w:r>
              <w:rPr>
                <w:rFonts w:ascii="Times New Roman" w:cs="Times New Roman" w:eastAsia="Times New Roman" w:hAnsi="Times New Roman"/>
                <w:sz w:val="19"/>
                <w:szCs w:val="19"/>
                <w:color w:val="auto"/>
                <w:vertAlign w:val="superscript"/>
              </w:rPr>
              <w:t>(1)</w:t>
            </w:r>
          </w:p>
        </w:tc>
        <w:tc>
          <w:tcPr>
            <w:tcW w:w="2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17,791</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17,791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522,683</w:t>
            </w:r>
          </w:p>
        </w:tc>
        <w:tc>
          <w:tcPr>
            <w:tcW w:w="132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444,370</w:t>
            </w:r>
          </w:p>
        </w:tc>
        <w:tc>
          <w:tcPr>
            <w:tcW w:w="11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540,282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467,865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260" w:type="dxa"/>
            <w:vAlign w:val="bottom"/>
            <w:tcBorders>
              <w:top w:val="single" w:sz="8" w:color="CFF0FC"/>
              <w:bottom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-119380</wp:posOffset>
            </wp:positionV>
            <wp:extent cx="774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-102235</wp:posOffset>
            </wp:positionV>
            <wp:extent cx="774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-119380</wp:posOffset>
            </wp:positionV>
            <wp:extent cx="774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-102235</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-119380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-102235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-119380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-102235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-119380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-102235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equity investment in the Asset Manager Affiliates.</w:t>
      </w:r>
    </w:p>
    <w:p>
      <w:pPr>
        <w:spacing w:after="0" w:line="2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industry concentrations, based on the fair value of the Company’s investment portfolio as of June 30, 2024, and December 31, 2023,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Cost/Amortized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1"/>
                <w:szCs w:val="11"/>
                <w:color w:val="auto"/>
              </w:rPr>
            </w:pPr>
          </w:p>
        </w:tc>
        <w:tc>
          <w:tcPr>
            <w:tcW w:w="122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Cost/Amortized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7"/>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Total Portfolio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Aerospace and Defense</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11,137</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11,255</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2.5 %</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11,130</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11,256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Alternative Carriers</w:t>
            </w:r>
          </w:p>
        </w:tc>
        <w:tc>
          <w:tcPr>
            <w:tcW w:w="1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0.0 %</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Application Software</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1,165</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1,153</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0.3 %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Asset Management Company</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17,791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0.0 %</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17,791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Banking, Finance, Insurance &amp; Real Estate</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48,313</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49,325</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11.1 %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51,486</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53,918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Beverage, Food and Tobacco</w:t>
            </w:r>
          </w:p>
        </w:tc>
        <w:tc>
          <w:tcPr>
            <w:tcW w:w="1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12,547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11,775</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2.6 %</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11,444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Equipment</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10,806</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1,435</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0.3 %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10,684</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1,203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1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9,704</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2.2 %</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9,836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CLO Fund Securities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8,423</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7,354</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9,103</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8,968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Construction &amp; Building</w:t>
            </w:r>
          </w:p>
        </w:tc>
        <w:tc>
          <w:tcPr>
            <w:tcW w:w="1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7,701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7,344</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1.7 %</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 goods: Durable</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24,447</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22,093</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5.0 %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16,431</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13,898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Containers, Packaging and Glass</w:t>
            </w:r>
          </w:p>
        </w:tc>
        <w:tc>
          <w:tcPr>
            <w:tcW w:w="1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2,679</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0.6 %</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2,665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2,733</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2,756</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0.6 %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Energy: Electricity</w:t>
            </w:r>
          </w:p>
        </w:tc>
        <w:tc>
          <w:tcPr>
            <w:tcW w:w="1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671</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0.2 %</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Energy: Oil &amp; Gas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0.0 %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6,721</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w:t>
            </w:r>
          </w:p>
        </w:tc>
        <w:tc>
          <w:tcPr>
            <w:tcW w:w="1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19,059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19,135</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4.3 %</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18,884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18,972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Healthcare &amp; Pharmaceuticals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56,541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55,044</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12.4 %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59,189</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57,224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Healthcare, Education and Childcare</w:t>
            </w:r>
          </w:p>
        </w:tc>
        <w:tc>
          <w:tcPr>
            <w:tcW w:w="1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6,143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6,133</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1.4 %</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6,163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High Tech Industries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69,749</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52,766</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11.9 %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84,676</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73,430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Hotel, Gaming &amp; Leisure</w:t>
            </w:r>
          </w:p>
        </w:tc>
        <w:tc>
          <w:tcPr>
            <w:tcW w:w="1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2,543</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0.6 %</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3,948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Interactive Media &amp; Services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2,596</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2,606</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0.6 %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2,663</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2,662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 Consulting &amp; Other Services</w:t>
            </w:r>
          </w:p>
        </w:tc>
        <w:tc>
          <w:tcPr>
            <w:tcW w:w="1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2,213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2,320</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0.5 %</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2,259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Joint Venture</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65,775</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54,292</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12.2 %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71,415</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59,287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Machinery (Non-Agrclt/Constr/Electr)</w:t>
            </w:r>
          </w:p>
        </w:tc>
        <w:tc>
          <w:tcPr>
            <w:tcW w:w="1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11,609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12,257</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2.7 %</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10,097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Media: Broadcasting &amp; Subscription</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17,528</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13,294</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3.0 %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16,665</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14,618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Media: Diversified &amp; Production</w:t>
            </w:r>
          </w:p>
        </w:tc>
        <w:tc>
          <w:tcPr>
            <w:tcW w:w="1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375</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0.1 %</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Metals &amp; Mining</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9,951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5,992</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7,742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8,399</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1.9 %</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8,732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Services: Business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63,842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60,817</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13.7 %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58,997</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57,168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Services: Consumer</w:t>
            </w:r>
          </w:p>
        </w:tc>
        <w:tc>
          <w:tcPr>
            <w:tcW w:w="1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2,639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2,639</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0.6 %</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Telecommunications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5,303</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4,629</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0.9 %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5,268</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4,389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Transportation: Cargo</w:t>
            </w:r>
          </w:p>
        </w:tc>
        <w:tc>
          <w:tcPr>
            <w:tcW w:w="1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7,153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6,075</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1.4 %</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10,303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Transportation: Consumer</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7,438</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7,510</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1.7 %</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7,465</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7,409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522,683</w:t>
            </w:r>
          </w:p>
        </w:tc>
        <w:tc>
          <w:tcPr>
            <w:tcW w:w="12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444,370</w:t>
            </w: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540,282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467,865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-256540</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-256540</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-256540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-256540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-256540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used.</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equity investment in the Asset Manager Affiliates.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89"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Debt Securities Portfolio</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At June 30, 2024 and December 31, 2023, the weighted average contractual interest rate on our interest earning Debt Securities Portfolio was approximately 12.4% and 12.5%, respectively.</w:t>
      </w:r>
    </w:p>
    <w:p>
      <w:pPr>
        <w:spacing w:after="0" w:line="96" w:lineRule="exact"/>
        <w:rPr>
          <w:sz w:val="20"/>
          <w:szCs w:val="20"/>
          <w:color w:val="auto"/>
        </w:rPr>
      </w:pPr>
    </w:p>
    <w:p>
      <w:pPr>
        <w:ind w:right="120" w:firstLine="374"/>
        <w:spacing w:after="0" w:line="241" w:lineRule="auto"/>
        <w:rPr>
          <w:sz w:val="20"/>
          <w:szCs w:val="20"/>
          <w:color w:val="auto"/>
        </w:rPr>
      </w:pPr>
      <w:r>
        <w:rPr>
          <w:rFonts w:ascii="Times New Roman" w:cs="Times New Roman" w:eastAsia="Times New Roman" w:hAnsi="Times New Roman"/>
          <w:sz w:val="14"/>
          <w:szCs w:val="14"/>
          <w:color w:val="auto"/>
        </w:rPr>
        <w:t>The debt investment portfolio (excluding our investments in the CLO Funds and Joint Ventures) at June 30, 2024 was spread across 28 different industries and 75 different portfolio companies with a fair value of approximately $358.9 million and average par balance per entity of approximately $2.6 million. As of June 30, 2024, nine of our investments were on non-accrual status. As of December 31, 2023, seven of our investments were on non-accrual status.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 Manager Affiliates</w:t>
      </w:r>
    </w:p>
    <w:p>
      <w:pPr>
        <w:spacing w:after="0" w:line="98"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4"/>
          <w:szCs w:val="14"/>
          <w:color w:val="auto"/>
        </w:rPr>
        <w:t>As of June 30, 2024, our remaining asset management affiliates (the “Asset Manager Affiliates”) have limited operations and are expected to be liquidated. As of June 30, 2024, the Asset Manager Affiliates manage CLO Funds that invest in broadly syndicated loans, high yield bonds and other credit instruments.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CLO Fund Securities</w:t>
      </w:r>
    </w:p>
    <w:p>
      <w:pPr>
        <w:spacing w:after="0" w:line="98" w:lineRule="exact"/>
        <w:rPr>
          <w:sz w:val="20"/>
          <w:szCs w:val="20"/>
          <w:color w:val="auto"/>
        </w:rPr>
      </w:pPr>
    </w:p>
    <w:p>
      <w:pPr>
        <w:jc w:val="both"/>
        <w:ind w:right="80" w:firstLine="374"/>
        <w:spacing w:after="0" w:line="241" w:lineRule="auto"/>
        <w:rPr>
          <w:sz w:val="20"/>
          <w:szCs w:val="20"/>
          <w:color w:val="auto"/>
        </w:rPr>
      </w:pPr>
      <w:r>
        <w:rPr>
          <w:rFonts w:ascii="Times New Roman" w:cs="Times New Roman" w:eastAsia="Times New Roman" w:hAnsi="Times New Roman"/>
          <w:sz w:val="14"/>
          <w:szCs w:val="14"/>
          <w:color w:val="auto"/>
        </w:rPr>
        <w:t>We have made minority investments in the subordinated securities or preferred shares of CLO Funds managed by the Disposed Manager Affiliates and may selectively invest in securities issued by CLO Funds managed by other asset management companies. As of June 30, 2024 and December 31, 2023, the fair value of the CLO Fund Securities was $7.4 million and $9.0 million, respectively.</w:t>
      </w:r>
    </w:p>
    <w:p>
      <w:pPr>
        <w:spacing w:after="0" w:line="69"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4"/>
          <w:szCs w:val="14"/>
          <w:color w:val="auto"/>
        </w:rPr>
        <w:t>The CLO Funds invest primarily in broadly syndicated non-investment grade loans, high-yield bonds and other credit instruments of corporate issuers. The underlying assets in each of the CLO Fund Securities in which we have an investment are generally diversified secured or unsecured corporate debt.</w:t>
      </w:r>
    </w:p>
    <w:p>
      <w:pPr>
        <w:spacing w:after="0" w:line="55" w:lineRule="exact"/>
        <w:rPr>
          <w:sz w:val="20"/>
          <w:szCs w:val="20"/>
          <w:color w:val="auto"/>
        </w:rPr>
      </w:pPr>
    </w:p>
    <w:p>
      <w:pPr>
        <w:jc w:val="both"/>
        <w:ind w:right="100" w:firstLine="374"/>
        <w:spacing w:after="0" w:line="236" w:lineRule="auto"/>
        <w:rPr>
          <w:sz w:val="20"/>
          <w:szCs w:val="20"/>
          <w:color w:val="auto"/>
        </w:rPr>
      </w:pPr>
      <w:r>
        <w:rPr>
          <w:rFonts w:ascii="Times New Roman" w:cs="Times New Roman" w:eastAsia="Times New Roman" w:hAnsi="Times New Roman"/>
          <w:sz w:val="14"/>
          <w:szCs w:val="14"/>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For a more detailed discussion of the risks related to our investments in CLO Funds, please see “Risk Factors — Risks Related to Our Investments — Our investments may be risky, and you could lose all or part of your investment” included in our annual report on Form 10-K for the year ended December 31, 2023.</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CLO Fund Securities as of June 30, 2024 and December 31, 2023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20" w:type="dxa"/>
            <w:vAlign w:val="bottom"/>
          </w:tcPr>
          <w:p>
            <w:pPr>
              <w:spacing w:after="0"/>
              <w:rPr>
                <w:sz w:val="15"/>
                <w:szCs w:val="15"/>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1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28"/>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253"/>
              <w:spacing w:after="0" w:line="129"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213"/>
              <w:spacing w:after="0" w:line="129"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CLO Fund Securities</w:t>
            </w:r>
          </w:p>
        </w:tc>
        <w:tc>
          <w:tcPr>
            <w:tcW w:w="120" w:type="dxa"/>
            <w:vAlign w:val="bottom"/>
          </w:tcPr>
          <w:p>
            <w:pPr>
              <w:spacing w:after="0"/>
              <w:rPr>
                <w:sz w:val="16"/>
                <w:szCs w:val="16"/>
                <w:color w:val="auto"/>
              </w:rPr>
            </w:pPr>
          </w:p>
        </w:tc>
        <w:tc>
          <w:tcPr>
            <w:tcW w:w="18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ind w:right="73"/>
              <w:spacing w:after="0" w:line="189" w:lineRule="exact"/>
              <w:rPr>
                <w:sz w:val="20"/>
                <w:szCs w:val="20"/>
                <w:color w:val="auto"/>
              </w:rPr>
            </w:pPr>
            <w:r>
              <w:rPr>
                <w:rFonts w:ascii="Times New Roman" w:cs="Times New Roman" w:eastAsia="Times New Roman" w:hAnsi="Times New Roman"/>
                <w:sz w:val="13"/>
                <w:szCs w:val="13"/>
                <w:b w:val="1"/>
                <w:bCs w:val="1"/>
                <w:color w:val="auto"/>
                <w:w w:val="98"/>
              </w:rPr>
              <w:t>Ownership</w:t>
            </w:r>
            <w:r>
              <w:rPr>
                <w:rFonts w:ascii="Times New Roman" w:cs="Times New Roman" w:eastAsia="Times New Roman" w:hAnsi="Times New Roman"/>
                <w:sz w:val="18"/>
                <w:szCs w:val="18"/>
                <w:b w:val="1"/>
                <w:bCs w:val="1"/>
                <w:color w:val="auto"/>
                <w:w w:val="98"/>
                <w:vertAlign w:val="superscript"/>
              </w:rPr>
              <w:t>(1)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120" w:type="dxa"/>
            <w:vAlign w:val="bottom"/>
            <w:tcBorders>
              <w:bottom w:val="single" w:sz="8" w:color="auto"/>
            </w:tcBorders>
          </w:tcPr>
          <w:p>
            <w:pPr>
              <w:jc w:val="right"/>
              <w:ind w:right="173"/>
              <w:spacing w:after="0" w:line="189" w:lineRule="exact"/>
              <w:rPr>
                <w:sz w:val="20"/>
                <w:szCs w:val="20"/>
                <w:color w:val="auto"/>
              </w:rPr>
            </w:pPr>
            <w:r>
              <w:rPr>
                <w:rFonts w:ascii="Times New Roman" w:cs="Times New Roman" w:eastAsia="Times New Roman" w:hAnsi="Times New Roman"/>
                <w:sz w:val="13"/>
                <w:szCs w:val="13"/>
                <w:b w:val="1"/>
                <w:bCs w:val="1"/>
                <w:color w:val="auto"/>
              </w:rPr>
              <w:t>Ownership</w:t>
            </w:r>
            <w:r>
              <w:rPr>
                <w:rFonts w:ascii="Times New Roman" w:cs="Times New Roman" w:eastAsia="Times New Roman" w:hAnsi="Times New Roman"/>
                <w:sz w:val="18"/>
                <w:szCs w:val="18"/>
                <w:b w:val="1"/>
                <w:bCs w:val="1"/>
                <w:color w:val="auto"/>
                <w:vertAlign w:val="superscript"/>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Catamaran CLO 2014-1 Ltd.</w:t>
            </w:r>
          </w:p>
        </w:tc>
        <w:tc>
          <w:tcPr>
            <w:tcW w:w="120" w:type="dxa"/>
            <w:vAlign w:val="bottom"/>
            <w:shd w:val="clear" w:color="auto" w:fill="CFF0FC"/>
          </w:tcPr>
          <w:p>
            <w:pPr>
              <w:spacing w:after="0"/>
              <w:rPr>
                <w:sz w:val="14"/>
                <w:szCs w:val="14"/>
                <w:color w:val="auto"/>
              </w:rPr>
            </w:pPr>
          </w:p>
        </w:tc>
        <w:tc>
          <w:tcPr>
            <w:tcW w:w="19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Collateralized Loan Obligations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459</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459</w:t>
            </w:r>
          </w:p>
        </w:tc>
        <w:tc>
          <w:tcPr>
            <w:tcW w:w="14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22.2 %  $</w:t>
            </w: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1,024</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904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Catamaran CLO 2018-1 Ltd.</w:t>
            </w:r>
          </w:p>
        </w:tc>
        <w:tc>
          <w:tcPr>
            <w:tcW w:w="120" w:type="dxa"/>
            <w:vAlign w:val="bottom"/>
          </w:tcPr>
          <w:p>
            <w:pPr>
              <w:spacing w:after="0"/>
              <w:rPr>
                <w:sz w:val="15"/>
                <w:szCs w:val="15"/>
                <w:color w:val="auto"/>
              </w:rPr>
            </w:pP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Collateralized Loan Obligations</w:t>
            </w:r>
          </w:p>
        </w:tc>
        <w:tc>
          <w:tcPr>
            <w:tcW w:w="140" w:type="dxa"/>
            <w:vAlign w:val="bottom"/>
          </w:tcPr>
          <w:p>
            <w:pPr>
              <w:spacing w:after="0"/>
              <w:rPr>
                <w:sz w:val="15"/>
                <w:szCs w:val="15"/>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3,629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2,956</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24.8 %</w:t>
            </w:r>
          </w:p>
        </w:tc>
        <w:tc>
          <w:tcPr>
            <w:tcW w:w="120" w:type="dxa"/>
            <w:vAlign w:val="bottom"/>
          </w:tcPr>
          <w:p>
            <w:pPr>
              <w:spacing w:after="0"/>
              <w:rPr>
                <w:sz w:val="15"/>
                <w:szCs w:val="15"/>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3,923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3,923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24.8 %</w:t>
            </w:r>
          </w:p>
        </w:tc>
        <w:tc>
          <w:tcPr>
            <w:tcW w:w="0" w:type="dxa"/>
            <w:vAlign w:val="bottom"/>
          </w:tcPr>
          <w:p>
            <w:pPr>
              <w:spacing w:after="0"/>
              <w:rPr>
                <w:sz w:val="1"/>
                <w:szCs w:val="1"/>
                <w:color w:val="auto"/>
              </w:rPr>
            </w:pPr>
          </w:p>
        </w:tc>
      </w:tr>
      <w:tr>
        <w:trPr>
          <w:trHeight w:val="176"/>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Dryden 30 Senior Loan Fund</w:t>
            </w:r>
          </w:p>
        </w:tc>
        <w:tc>
          <w:tcPr>
            <w:tcW w:w="120" w:type="dxa"/>
            <w:vAlign w:val="bottom"/>
            <w:shd w:val="clear" w:color="auto" w:fill="CFF0FC"/>
          </w:tcPr>
          <w:p>
            <w:pPr>
              <w:spacing w:after="0"/>
              <w:rPr>
                <w:sz w:val="15"/>
                <w:szCs w:val="15"/>
                <w:color w:val="auto"/>
              </w:rPr>
            </w:pPr>
          </w:p>
        </w:tc>
        <w:tc>
          <w:tcPr>
            <w:tcW w:w="19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Collateralized Loan Obligations</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207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216</w:t>
            </w:r>
          </w:p>
        </w:tc>
        <w:tc>
          <w:tcPr>
            <w:tcW w:w="13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6.8 %</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424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409</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JMP Credit Advisors CLO IV Ltd.</w:t>
            </w:r>
          </w:p>
        </w:tc>
        <w:tc>
          <w:tcPr>
            <w:tcW w:w="120" w:type="dxa"/>
            <w:vAlign w:val="bottom"/>
          </w:tcPr>
          <w:p>
            <w:pPr>
              <w:spacing w:after="0"/>
              <w:rPr>
                <w:sz w:val="15"/>
                <w:szCs w:val="15"/>
                <w:color w:val="auto"/>
              </w:rPr>
            </w:pP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Collateralized Loan Obligations</w:t>
            </w:r>
          </w:p>
        </w:tc>
        <w:tc>
          <w:tcPr>
            <w:tcW w:w="140" w:type="dxa"/>
            <w:vAlign w:val="bottom"/>
          </w:tcPr>
          <w:p>
            <w:pPr>
              <w:spacing w:after="0"/>
              <w:rPr>
                <w:sz w:val="15"/>
                <w:szCs w:val="15"/>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735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615</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57.2 %</w:t>
            </w:r>
          </w:p>
        </w:tc>
        <w:tc>
          <w:tcPr>
            <w:tcW w:w="120" w:type="dxa"/>
            <w:vAlign w:val="bottom"/>
          </w:tcPr>
          <w:p>
            <w:pPr>
              <w:spacing w:after="0"/>
              <w:rPr>
                <w:sz w:val="15"/>
                <w:szCs w:val="15"/>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683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57.2 %</w:t>
            </w:r>
          </w:p>
        </w:tc>
        <w:tc>
          <w:tcPr>
            <w:tcW w:w="0" w:type="dxa"/>
            <w:vAlign w:val="bottom"/>
          </w:tcPr>
          <w:p>
            <w:pPr>
              <w:spacing w:after="0"/>
              <w:rPr>
                <w:sz w:val="1"/>
                <w:szCs w:val="1"/>
                <w:color w:val="auto"/>
              </w:rPr>
            </w:pPr>
          </w:p>
        </w:tc>
      </w:tr>
      <w:tr>
        <w:trPr>
          <w:trHeight w:val="176"/>
        </w:trPr>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JMP Credit Advisors CLO V Ltd.</w:t>
            </w:r>
          </w:p>
        </w:tc>
        <w:tc>
          <w:tcPr>
            <w:tcW w:w="120" w:type="dxa"/>
            <w:vAlign w:val="bottom"/>
            <w:tcBorders>
              <w:bottom w:val="single" w:sz="8" w:color="CFF0FC"/>
            </w:tcBorders>
            <w:shd w:val="clear" w:color="auto" w:fill="CFF0FC"/>
          </w:tcPr>
          <w:p>
            <w:pPr>
              <w:spacing w:after="0"/>
              <w:rPr>
                <w:sz w:val="15"/>
                <w:szCs w:val="15"/>
                <w:color w:val="auto"/>
              </w:rPr>
            </w:pPr>
          </w:p>
        </w:tc>
        <w:tc>
          <w:tcPr>
            <w:tcW w:w="19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Collateralized Loan Obligations</w:t>
            </w:r>
          </w:p>
        </w:tc>
        <w:tc>
          <w:tcPr>
            <w:tcW w:w="1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3,393</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3,108</w:t>
            </w:r>
          </w:p>
        </w:tc>
        <w:tc>
          <w:tcPr>
            <w:tcW w:w="130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57.2 %</w:t>
            </w:r>
          </w:p>
        </w:tc>
        <w:tc>
          <w:tcPr>
            <w:tcW w:w="12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3,049</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3,049</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8,423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7,354</w:t>
            </w:r>
          </w:p>
        </w:tc>
        <w:tc>
          <w:tcPr>
            <w:tcW w:w="14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9,103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8,968</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-239395</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-239395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-239395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-239395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percentage of class held at June 30, 2024 and December 31, 2023,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in Joint Ventures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KCAP Freedom 3 LLC</w:t>
      </w:r>
    </w:p>
    <w:p>
      <w:pPr>
        <w:spacing w:after="0" w:line="98" w:lineRule="exact"/>
        <w:rPr>
          <w:sz w:val="20"/>
          <w:szCs w:val="20"/>
          <w:color w:val="auto"/>
        </w:rPr>
      </w:pPr>
    </w:p>
    <w:p>
      <w:pPr>
        <w:ind w:right="40" w:firstLine="374"/>
        <w:spacing w:after="0" w:line="241" w:lineRule="auto"/>
        <w:rPr>
          <w:sz w:val="20"/>
          <w:szCs w:val="20"/>
          <w:color w:val="auto"/>
        </w:rPr>
      </w:pPr>
      <w:r>
        <w:rPr>
          <w:rFonts w:ascii="Times New Roman" w:cs="Times New Roman" w:eastAsia="Times New Roman" w:hAnsi="Times New Roman"/>
          <w:sz w:val="14"/>
          <w:szCs w:val="14"/>
          <w:color w:val="auto"/>
        </w:rPr>
        <w:t>During the third quarter of 2017, we and Freedom 3 Opportunities LLC (“Freedom 3 Opportunities”), an affiliate of Freedom 3 Capital LLC, entered into an agreement to create KCAP Freedom 3 LLC (the “F3C Joint Venture”). The fund capitalized by the F3C Joint Venture invests primarily in middle-market loans and the F3C Joint Venture partners may source middle-market loans from time-to-time for the fund.</w:t>
      </w:r>
    </w:p>
    <w:p>
      <w:pPr>
        <w:spacing w:after="0" w:line="69" w:lineRule="exact"/>
        <w:rPr>
          <w:sz w:val="20"/>
          <w:szCs w:val="20"/>
          <w:color w:val="auto"/>
        </w:rPr>
      </w:pPr>
    </w:p>
    <w:p>
      <w:pPr>
        <w:jc w:val="both"/>
        <w:ind w:right="80" w:firstLine="374"/>
        <w:spacing w:after="0" w:line="236" w:lineRule="auto"/>
        <w:rPr>
          <w:sz w:val="20"/>
          <w:szCs w:val="20"/>
          <w:color w:val="auto"/>
        </w:rPr>
      </w:pPr>
      <w:r>
        <w:rPr>
          <w:rFonts w:ascii="Times New Roman" w:cs="Times New Roman" w:eastAsia="Times New Roman" w:hAnsi="Times New Roman"/>
          <w:sz w:val="14"/>
          <w:szCs w:val="14"/>
          <w:color w:val="auto"/>
        </w:rPr>
        <w:t>We own a 62.8% economic interest in the F3C Joint Venture. The F3C Joint Venture is structured as an unconsolidated Delaware limited liability company. All portfolio and other material decisions regarding the F3C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F3C Joint Venture’s investment committee, which is comprised of one member appointed by us and one member appointed by Freedom 3 Opportunities.</w:t>
      </w:r>
    </w:p>
    <w:p>
      <w:pPr>
        <w:spacing w:after="0" w:line="69" w:lineRule="exact"/>
        <w:rPr>
          <w:sz w:val="20"/>
          <w:szCs w:val="20"/>
          <w:color w:val="auto"/>
        </w:rPr>
      </w:pPr>
    </w:p>
    <w:p>
      <w:pPr>
        <w:jc w:val="both"/>
        <w:ind w:right="120" w:firstLine="374"/>
        <w:spacing w:after="0" w:line="236" w:lineRule="auto"/>
        <w:rPr>
          <w:sz w:val="20"/>
          <w:szCs w:val="20"/>
          <w:color w:val="auto"/>
        </w:rPr>
      </w:pPr>
      <w:r>
        <w:rPr>
          <w:rFonts w:ascii="Times New Roman" w:cs="Times New Roman" w:eastAsia="Times New Roman" w:hAnsi="Times New Roman"/>
          <w:sz w:val="14"/>
          <w:szCs w:val="14"/>
          <w:color w:val="auto"/>
        </w:rPr>
        <w:t>We have determined that the F3C Joint Venture is an investment company under Accounting Standards Codification (“ASC”), Financial Services — Investment Companies (“ASC 946”), however, in accordance with such guidance, we will generally not consolidate our investment in a company other than a wholly owned investment company subsidiary or a controlled operating company whose business consists of providing services to us. We do not consolidate its interest in the F3C Joint Venture because we do not control the F3C Joint Venture due to allocation of the voting rights among the F3C Joint Venture partners.</w:t>
      </w:r>
    </w:p>
    <w:p>
      <w:pPr>
        <w:spacing w:after="0" w:line="69"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4"/>
          <w:szCs w:val="14"/>
          <w:color w:val="auto"/>
        </w:rPr>
        <w:t>The fair value of the Company’s investment in the F3C Joint Venture at June 30, 2024 was $13.5 million. The fair value of the Company’s investment in the F3C Joint Venture at December 31, 2023 was $14.3 million.</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9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Series A – Great Lakes Funding II LLC</w:t>
      </w:r>
    </w:p>
    <w:p>
      <w:pPr>
        <w:spacing w:after="0" w:line="98" w:lineRule="exact"/>
        <w:rPr>
          <w:sz w:val="20"/>
          <w:szCs w:val="20"/>
          <w:color w:val="auto"/>
        </w:rPr>
      </w:pPr>
    </w:p>
    <w:p>
      <w:pPr>
        <w:ind w:right="40" w:firstLine="374"/>
        <w:spacing w:after="0" w:line="231" w:lineRule="auto"/>
        <w:rPr>
          <w:sz w:val="20"/>
          <w:szCs w:val="20"/>
          <w:color w:val="auto"/>
        </w:rPr>
      </w:pPr>
      <w:r>
        <w:rPr>
          <w:rFonts w:ascii="Times New Roman" w:cs="Times New Roman" w:eastAsia="Times New Roman" w:hAnsi="Times New Roman"/>
          <w:sz w:val="14"/>
          <w:szCs w:val="14"/>
          <w:color w:val="auto"/>
        </w:rPr>
        <w:t>In August 2022, we invested in Series A – Great Lakes Funding II LLC (the “Great Lakes II Joint Venture,” collectively with the F3C Joint Venture the “Joint Ventures”), a joint venture with an investment strategy to underwrite and hold senior, secured unitranche loans made to middle-market companies. We treat our investment in the Great Lakes II Joint Venture as a joint venture since an affiliate of the Adviser controls a 50% voting interest in the Great Lakes II Joint Venture. In connection with the launch of the Great Lakes II Joint Venture, we entered into a series of transactions pursuant to which our prior investment in BCP Great Lakes Holdings LP, a vehicle formed as a co-investment vehicle to facilitate the participation of certain co-investors to invest, directly or indirectly, in BCP Great Lakes Funding, LLC (the “Prior Great Lakes Joint Venture”), and the corresponding assets held by the Prior Great Lakes Joint Venture in respect of our investment in BCP Great Lakes Holdings LP, were transferred to the Great Lakes II Joint Venture in complete redemption of our investment in BCP Great Lakes Holdings LP.</w:t>
      </w:r>
    </w:p>
    <w:p>
      <w:pPr>
        <w:spacing w:after="0" w:line="69" w:lineRule="exact"/>
        <w:rPr>
          <w:sz w:val="20"/>
          <w:szCs w:val="20"/>
          <w:color w:val="auto"/>
        </w:rPr>
      </w:pPr>
    </w:p>
    <w:p>
      <w:pPr>
        <w:ind w:right="20" w:firstLine="374"/>
        <w:spacing w:after="0" w:line="236" w:lineRule="auto"/>
        <w:rPr>
          <w:sz w:val="20"/>
          <w:szCs w:val="20"/>
          <w:color w:val="auto"/>
        </w:rPr>
      </w:pPr>
      <w:r>
        <w:rPr>
          <w:rFonts w:ascii="Times New Roman" w:cs="Times New Roman" w:eastAsia="Times New Roman" w:hAnsi="Times New Roman"/>
          <w:sz w:val="14"/>
          <w:szCs w:val="14"/>
          <w:color w:val="auto"/>
        </w:rPr>
        <w:t>The Great Lakes II Joint Venture is a Delaware series limited liability company, and pursuant to the terms of the Great Lakes Funding II LLC Limited Liability Company Agreement (the “Great Lakes II LLC Agreement”), prior to the end of the investment period with respect to each series established under the Great Lakes II LLC Agreement, each member of the predecessor series would be offered the opportunity to roll its interests into any subsequent series of the Great Lakes II Joint Venture. We do not pay any advisory fees in connection with our investment in the Great Lakes II Joint Venture. Certain other funds managed by the Adviser or its affiliates have also invested in the Great Lakes II Joint Venture.</w:t>
      </w:r>
    </w:p>
    <w:p>
      <w:pPr>
        <w:spacing w:after="0" w:line="69" w:lineRule="exact"/>
        <w:rPr>
          <w:sz w:val="20"/>
          <w:szCs w:val="20"/>
          <w:color w:val="auto"/>
        </w:rPr>
      </w:pPr>
    </w:p>
    <w:p>
      <w:pPr>
        <w:ind w:right="80" w:firstLine="374"/>
        <w:spacing w:after="0" w:line="236" w:lineRule="auto"/>
        <w:rPr>
          <w:sz w:val="20"/>
          <w:szCs w:val="20"/>
          <w:color w:val="auto"/>
        </w:rPr>
      </w:pPr>
      <w:r>
        <w:rPr>
          <w:rFonts w:ascii="Times New Roman" w:cs="Times New Roman" w:eastAsia="Times New Roman" w:hAnsi="Times New Roman"/>
          <w:sz w:val="14"/>
          <w:szCs w:val="14"/>
          <w:color w:val="auto"/>
        </w:rPr>
        <w:t>The fair value of our investment in the Great Lakes II Joint Venture as of June 30, 2024 and December 31, 2023, was $40.7 million and $45.0 million, respectively. Fair value has been determined utilizing the practical expedient pursuant to ASC 820-10. Pursuant to the terms of the Great Lakes II LLC Agreement, we generally may not effect any direct or indirect sale, transfer, assignment, hypothecation, pledge or other disposition of or encumbrance upon our interests in the Great Lakes II Joint Venture, except that we may sell or otherwise transfer our interests with the consent of the managing members of the Great Lakes II Joint Venture or to an affiliate or a successor to substantially all of our assets.</w:t>
      </w:r>
    </w:p>
    <w:p>
      <w:pPr>
        <w:spacing w:after="0" w:line="6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4"/>
          <w:szCs w:val="14"/>
          <w:color w:val="auto"/>
        </w:rPr>
        <w:t>As of June 30, 2024, we had a $10.1 million unfunded commitment to the Great Lakes II Joint Venture. As of December 31, 2023, we had a $5.5 million unfunded commitment to the Great Lakes II Joint Venture.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8" w:lineRule="exact"/>
        <w:rPr>
          <w:sz w:val="20"/>
          <w:szCs w:val="20"/>
          <w:color w:val="auto"/>
        </w:rPr>
      </w:pPr>
    </w:p>
    <w:p>
      <w:pPr>
        <w:ind w:right="160" w:firstLine="374"/>
        <w:spacing w:after="0" w:line="236" w:lineRule="auto"/>
        <w:rPr>
          <w:sz w:val="20"/>
          <w:szCs w:val="20"/>
          <w:color w:val="auto"/>
        </w:rPr>
      </w:pPr>
      <w:r>
        <w:rPr>
          <w:rFonts w:ascii="Times New Roman" w:cs="Times New Roman" w:eastAsia="Times New Roman" w:hAnsi="Times New Roman"/>
          <w:sz w:val="14"/>
          <w:szCs w:val="14"/>
          <w:color w:val="auto"/>
        </w:rPr>
        <w:t>The principal measure of our financial performance is the net increase (decrease) in net assets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Set forth below is a discussion of our results of operations for the three and six months ended June 30, 2024 and 2023.</w:t>
      </w:r>
    </w:p>
    <w:p>
      <w:pPr>
        <w:sectPr>
          <w:pgSz w:w="11900" w:h="16838" w:orient="portrait"/>
          <w:cols w:equalWidth="0" w:num="1">
            <w:col w:w="11240"/>
          </w:cols>
          <w:pgMar w:left="320" w:top="1195" w:right="339" w:bottom="1440" w:gutter="0" w:footer="0" w:header="0"/>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income:</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Non-controlled/non-affiliated investments</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p>
      <w:pPr>
        <w:spacing w:after="0" w:line="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Total interest income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Payment-in-kind income: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11"/>
        </w:trPr>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11,913</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14,786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24,534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29,632</w:t>
            </w:r>
          </w:p>
        </w:tc>
      </w:tr>
      <w:tr>
        <w:trPr>
          <w:trHeight w:val="185"/>
        </w:trPr>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312</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626</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1,475</w:t>
            </w:r>
          </w:p>
        </w:tc>
      </w:tr>
      <w:tr>
        <w:trPr>
          <w:trHeight w:val="182"/>
        </w:trPr>
        <w:tc>
          <w:tcPr>
            <w:tcW w:w="240" w:type="dxa"/>
            <w:vAlign w:val="bottom"/>
          </w:tcPr>
          <w:p>
            <w:pPr>
              <w:spacing w:after="0"/>
              <w:rPr>
                <w:sz w:val="15"/>
                <w:szCs w:val="15"/>
                <w:color w:val="auto"/>
              </w:rPr>
            </w:pP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12,225</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15,412</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24,941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-461645</wp:posOffset>
            </wp:positionV>
            <wp:extent cx="7132320" cy="1117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-238760</wp:posOffset>
            </wp:positionV>
            <wp:extent cx="7132320" cy="1111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-7620</wp:posOffset>
            </wp:positionV>
            <wp:extent cx="7132320" cy="1111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3980" w:space="720"/>
            <w:col w:w="6540"/>
          </w:cols>
          <w:pgMar w:left="320" w:top="1195" w:right="3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4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Non-controlled/non-affiliated investments</w:t>
            </w:r>
          </w:p>
        </w:tc>
        <w:tc>
          <w:tcPr>
            <w:tcW w:w="5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2,018</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859</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3,912</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2,386</w:t>
            </w:r>
          </w:p>
        </w:tc>
      </w:tr>
      <w:tr>
        <w:trPr>
          <w:trHeight w:val="175"/>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5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183</w:t>
            </w:r>
          </w:p>
        </w:tc>
        <w:tc>
          <w:tcPr>
            <w:tcW w:w="140" w:type="dxa"/>
            <w:vAlign w:val="bottom"/>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180</w:t>
            </w:r>
          </w:p>
        </w:tc>
      </w:tr>
      <w:tr>
        <w:trPr>
          <w:trHeight w:val="169"/>
        </w:trPr>
        <w:tc>
          <w:tcPr>
            <w:tcW w:w="4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payment-in-kind income</w:t>
            </w:r>
          </w:p>
        </w:tc>
        <w:tc>
          <w:tcPr>
            <w:tcW w:w="5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2,201</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966</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4,207</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2,566</w:t>
            </w:r>
          </w:p>
        </w:tc>
      </w:tr>
      <w:tr>
        <w:trPr>
          <w:trHeight w:val="175"/>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75"/>
        </w:trPr>
        <w:tc>
          <w:tcPr>
            <w:tcW w:w="4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56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1,800</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1,864</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3,453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3,248</w:t>
            </w:r>
          </w:p>
        </w:tc>
      </w:tr>
      <w:tr>
        <w:trPr>
          <w:trHeight w:val="175"/>
        </w:trPr>
        <w:tc>
          <w:tcPr>
            <w:tcW w:w="4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w:t>
            </w:r>
          </w:p>
        </w:tc>
        <w:tc>
          <w:tcPr>
            <w:tcW w:w="5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465</w:t>
            </w:r>
          </w:p>
        </w:tc>
        <w:tc>
          <w:tcPr>
            <w:tcW w:w="1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1,540</w:t>
            </w:r>
          </w:p>
        </w:tc>
      </w:tr>
      <w:tr>
        <w:trPr>
          <w:trHeight w:val="169"/>
        </w:trPr>
        <w:tc>
          <w:tcPr>
            <w:tcW w:w="4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dividend income</w:t>
            </w:r>
          </w:p>
        </w:tc>
        <w:tc>
          <w:tcPr>
            <w:tcW w:w="5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1,800</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2,329</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3,453</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4,788</w:t>
            </w:r>
          </w:p>
        </w:tc>
      </w:tr>
      <w:tr>
        <w:trPr>
          <w:trHeight w:val="175"/>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Fees and other income:</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75"/>
        </w:trPr>
        <w:tc>
          <w:tcPr>
            <w:tcW w:w="4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Non-controlled/non-affiliated investments</w:t>
            </w:r>
          </w:p>
        </w:tc>
        <w:tc>
          <w:tcPr>
            <w:tcW w:w="56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111</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905</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1,478</w:t>
            </w:r>
          </w:p>
        </w:tc>
      </w:tr>
      <w:tr>
        <w:trPr>
          <w:trHeight w:val="176"/>
        </w:trPr>
        <w:tc>
          <w:tcPr>
            <w:tcW w:w="4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5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r>
      <w:tr>
        <w:trPr>
          <w:trHeight w:val="169"/>
        </w:trPr>
        <w:tc>
          <w:tcPr>
            <w:tcW w:w="4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fees and other income</w:t>
            </w: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111</w:t>
            </w: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919</w:t>
            </w: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1,492</w:t>
            </w:r>
          </w:p>
        </w:tc>
      </w:tr>
      <w:tr>
        <w:trPr>
          <w:trHeight w:val="169"/>
        </w:trPr>
        <w:tc>
          <w:tcPr>
            <w:tcW w:w="47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investment income</w:t>
            </w:r>
          </w:p>
        </w:tc>
        <w:tc>
          <w:tcPr>
            <w:tcW w:w="560" w:type="dxa"/>
            <w:vAlign w:val="bottom"/>
            <w:tcBorders>
              <w:bottom w:val="single" w:sz="8" w:color="auto"/>
            </w:tcBorders>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16,337</w:t>
            </w:r>
          </w:p>
        </w:tc>
        <w:tc>
          <w:tcPr>
            <w:tcW w:w="14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19,626</w:t>
            </w:r>
          </w:p>
        </w:tc>
        <w:tc>
          <w:tcPr>
            <w:tcW w:w="1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32,863</w:t>
            </w:r>
          </w:p>
        </w:tc>
        <w:tc>
          <w:tcPr>
            <w:tcW w:w="1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39,953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-702310</wp:posOffset>
            </wp:positionV>
            <wp:extent cx="9461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-702310</wp:posOffset>
            </wp:positionV>
            <wp:extent cx="857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-702310</wp:posOffset>
            </wp:positionV>
            <wp:extent cx="857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-247650</wp:posOffset>
            </wp:positionV>
            <wp:extent cx="946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-247650</wp:posOffset>
            </wp:positionV>
            <wp:extent cx="857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-247650</wp:posOffset>
            </wp:positionV>
            <wp:extent cx="857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9461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857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857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5" w:lineRule="exact"/>
        <w:rPr>
          <w:sz w:val="20"/>
          <w:szCs w:val="20"/>
          <w:color w:val="auto"/>
        </w:rPr>
      </w:pPr>
    </w:p>
    <w:p>
      <w:pPr>
        <w:ind w:right="100" w:firstLine="374"/>
        <w:spacing w:after="0" w:line="241" w:lineRule="auto"/>
        <w:rPr>
          <w:sz w:val="20"/>
          <w:szCs w:val="20"/>
          <w:color w:val="auto"/>
        </w:rPr>
      </w:pPr>
      <w:r>
        <w:rPr>
          <w:rFonts w:ascii="Times New Roman" w:cs="Times New Roman" w:eastAsia="Times New Roman" w:hAnsi="Times New Roman"/>
          <w:sz w:val="14"/>
          <w:szCs w:val="14"/>
          <w:color w:val="auto"/>
        </w:rPr>
        <w:t>Revenues consist primarily of investment income from interest and dividends on our investment portfolio and various ancillary fees related to our investment holdings. Investment income for the three months ended June 30, 2024 and 2023 was approximately $16.3 million and $19.6 million, respectively. Investment income for the six months ended June 30, 2024 and 2023 was approximately $32.9 million and $40.0 million, respectively.</w:t>
      </w:r>
    </w:p>
    <w:p>
      <w:pPr>
        <w:spacing w:after="0" w:line="67" w:lineRule="exact"/>
        <w:rPr>
          <w:sz w:val="20"/>
          <w:szCs w:val="20"/>
          <w:color w:val="auto"/>
        </w:rPr>
      </w:pPr>
    </w:p>
    <w:p>
      <w:pPr>
        <w:ind w:right="120" w:firstLine="374"/>
        <w:spacing w:after="0" w:line="243" w:lineRule="auto"/>
        <w:rPr>
          <w:sz w:val="20"/>
          <w:szCs w:val="20"/>
          <w:color w:val="auto"/>
        </w:rPr>
      </w:pPr>
      <w:r>
        <w:rPr>
          <w:rFonts w:ascii="Times New Roman" w:cs="Times New Roman" w:eastAsia="Times New Roman" w:hAnsi="Times New Roman"/>
          <w:sz w:val="14"/>
          <w:szCs w:val="14"/>
          <w:i w:val="1"/>
          <w:iCs w:val="1"/>
          <w:color w:val="auto"/>
        </w:rPr>
        <w:t>Interest from Investments in Debt Securities</w:t>
      </w:r>
      <w:r>
        <w:rPr>
          <w:rFonts w:ascii="Times New Roman" w:cs="Times New Roman" w:eastAsia="Times New Roman" w:hAnsi="Times New Roman"/>
          <w:sz w:val="14"/>
          <w:szCs w:val="14"/>
          <w:color w:val="auto"/>
        </w:rPr>
        <w:t>. We generate interest income from our investments in debt securities that consist primarily of senior and junior secured loans. Our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67" w:lineRule="exact"/>
        <w:rPr>
          <w:sz w:val="20"/>
          <w:szCs w:val="20"/>
          <w:color w:val="auto"/>
        </w:rPr>
      </w:pPr>
    </w:p>
    <w:p>
      <w:pPr>
        <w:ind w:right="100" w:firstLine="374"/>
        <w:spacing w:after="0" w:line="236" w:lineRule="auto"/>
        <w:rPr>
          <w:sz w:val="20"/>
          <w:szCs w:val="20"/>
          <w:color w:val="auto"/>
        </w:rPr>
      </w:pPr>
      <w:r>
        <w:rPr>
          <w:rFonts w:ascii="Times New Roman" w:cs="Times New Roman" w:eastAsia="Times New Roman" w:hAnsi="Times New Roman"/>
          <w:sz w:val="14"/>
          <w:szCs w:val="14"/>
          <w:color w:val="auto"/>
        </w:rPr>
        <w:t>The majority of investment income is attributable to interest income, inclusive of payment-in-kind income, on our Debt Securities Portfolio. For the three months ended June 30, 2024 and 2023, approximately $13.9 million and $15.5 million, respectively, of investment income was attributable to interest income, inclusive of payment-in-kind income, on our Debt Securities Portfolio. For the six months ended June 30, 2024 and 2023, approximately $28.1 million and $32.3 million, respectively, of investment income was attributable to interest income, inclusive of payment-in-kind income, on our Debt Securities Portfolio.</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At June 30, 2024 and December 31, 2023, the weighted average contractual interest rate on our interest earning Debt Securities Portfolio was approximately 12.4% and 12.5%, respectively.</w:t>
      </w:r>
    </w:p>
    <w:p>
      <w:pPr>
        <w:spacing w:after="0" w:line="96" w:lineRule="exact"/>
        <w:rPr>
          <w:sz w:val="20"/>
          <w:szCs w:val="20"/>
          <w:color w:val="auto"/>
        </w:rPr>
      </w:pPr>
    </w:p>
    <w:p>
      <w:pPr>
        <w:jc w:val="both"/>
        <w:ind w:right="220" w:firstLine="374"/>
        <w:spacing w:after="0" w:line="241" w:lineRule="auto"/>
        <w:rPr>
          <w:sz w:val="20"/>
          <w:szCs w:val="20"/>
          <w:color w:val="auto"/>
        </w:rPr>
      </w:pPr>
      <w:r>
        <w:rPr>
          <w:rFonts w:ascii="Times New Roman" w:cs="Times New Roman" w:eastAsia="Times New Roman" w:hAnsi="Times New Roman"/>
          <w:sz w:val="14"/>
          <w:szCs w:val="14"/>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51" w:name="page52"/>
    <w:bookmarkEnd w:id="51"/>
    <w:p>
      <w:pPr>
        <w:ind w:firstLine="374"/>
        <w:spacing w:after="0" w:line="241" w:lineRule="auto"/>
        <w:rPr>
          <w:sz w:val="20"/>
          <w:szCs w:val="20"/>
          <w:color w:val="auto"/>
        </w:rPr>
      </w:pPr>
      <w:r>
        <w:rPr>
          <w:rFonts w:ascii="Times New Roman" w:cs="Times New Roman" w:eastAsia="Times New Roman" w:hAnsi="Times New Roman"/>
          <w:sz w:val="14"/>
          <w:szCs w:val="14"/>
          <w:color w:val="auto"/>
        </w:rPr>
        <w:t>Investment income is comprised of coupon interest, accretion of discount and accelerated accretion resulting from paydowns and other revenue earned from operations. Recent acquisitions of GARS (October 2020) and HCAP (June 2021) have had a significant positive impact on earnings as a result of amortization of purchase discount established at the time of the merger. The table below illustrates that impact: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3"/>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69"/>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33"/>
        </w:trPr>
        <w:tc>
          <w:tcPr>
            <w:tcW w:w="41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Interest income, excluding CLO income and purchase discount</w:t>
            </w:r>
          </w:p>
        </w:tc>
        <w:tc>
          <w:tcPr>
            <w:tcW w:w="2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11,589</w:t>
            </w:r>
          </w:p>
        </w:tc>
        <w:tc>
          <w:tcPr>
            <w:tcW w:w="36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14,156</w:t>
            </w:r>
          </w:p>
        </w:tc>
        <w:tc>
          <w:tcPr>
            <w:tcW w:w="560" w:type="dxa"/>
            <w:vAlign w:val="bottom"/>
            <w:gridSpan w:val="2"/>
            <w:vMerge w:val="restart"/>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23,675</w:t>
            </w:r>
          </w:p>
        </w:tc>
        <w:tc>
          <w:tcPr>
            <w:tcW w:w="480" w:type="dxa"/>
            <w:vAlign w:val="bottom"/>
            <w:vMerge w:val="restart"/>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28,261</w:t>
            </w:r>
          </w:p>
        </w:tc>
        <w:tc>
          <w:tcPr>
            <w:tcW w:w="0" w:type="dxa"/>
            <w:vAlign w:val="bottom"/>
          </w:tcPr>
          <w:p>
            <w:pPr>
              <w:spacing w:after="0"/>
              <w:rPr>
                <w:sz w:val="1"/>
                <w:szCs w:val="1"/>
                <w:color w:val="auto"/>
              </w:rPr>
            </w:pPr>
          </w:p>
        </w:tc>
      </w:tr>
      <w:tr>
        <w:trPr>
          <w:trHeight w:val="185"/>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accretion</w:t>
            </w:r>
          </w:p>
        </w:tc>
        <w:tc>
          <w:tcPr>
            <w:tcW w:w="220" w:type="dxa"/>
            <w:vAlign w:val="bottom"/>
            <w:vMerge w:val="continue"/>
            <w:shd w:val="clear" w:color="auto" w:fill="CFF0FC"/>
          </w:tcPr>
          <w:p>
            <w:pPr>
              <w:spacing w:after="0"/>
              <w:rPr>
                <w:sz w:val="16"/>
                <w:szCs w:val="16"/>
                <w:color w:val="auto"/>
              </w:rPr>
            </w:pPr>
          </w:p>
        </w:tc>
        <w:tc>
          <w:tcPr>
            <w:tcW w:w="1320" w:type="dxa"/>
            <w:vAlign w:val="bottom"/>
            <w:vMerge w:val="continue"/>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1240" w:type="dxa"/>
            <w:vAlign w:val="bottom"/>
            <w:vMerge w:val="continue"/>
            <w:shd w:val="clear" w:color="auto" w:fill="CFF0FC"/>
          </w:tcPr>
          <w:p>
            <w:pPr>
              <w:spacing w:after="0"/>
              <w:rPr>
                <w:sz w:val="16"/>
                <w:szCs w:val="16"/>
                <w:color w:val="auto"/>
              </w:rPr>
            </w:pPr>
          </w:p>
        </w:tc>
        <w:tc>
          <w:tcPr>
            <w:tcW w:w="560" w:type="dxa"/>
            <w:vAlign w:val="bottom"/>
            <w:gridSpan w:val="2"/>
            <w:vMerge w:val="continue"/>
            <w:shd w:val="clear" w:color="auto" w:fill="CFF0FC"/>
          </w:tcPr>
          <w:p>
            <w:pPr>
              <w:spacing w:after="0"/>
              <w:rPr>
                <w:sz w:val="16"/>
                <w:szCs w:val="16"/>
                <w:color w:val="auto"/>
              </w:rPr>
            </w:pPr>
          </w:p>
        </w:tc>
        <w:tc>
          <w:tcPr>
            <w:tcW w:w="1420" w:type="dxa"/>
            <w:vAlign w:val="bottom"/>
            <w:vMerge w:val="continue"/>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14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discount accretion</w:t>
            </w:r>
          </w:p>
        </w:tc>
        <w:tc>
          <w:tcPr>
            <w:tcW w:w="22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36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427</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48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1,469</w:t>
            </w:r>
          </w:p>
        </w:tc>
        <w:tc>
          <w:tcPr>
            <w:tcW w:w="0" w:type="dxa"/>
            <w:vAlign w:val="bottom"/>
          </w:tcPr>
          <w:p>
            <w:pPr>
              <w:spacing w:after="0"/>
              <w:rPr>
                <w:sz w:val="1"/>
                <w:szCs w:val="1"/>
                <w:color w:val="auto"/>
              </w:rPr>
            </w:pPr>
          </w:p>
        </w:tc>
      </w:tr>
      <w:tr>
        <w:trPr>
          <w:trHeight w:val="17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PIK Income</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2,201</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966</w:t>
            </w: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4,207</w:t>
            </w:r>
          </w:p>
        </w:tc>
        <w:tc>
          <w:tcPr>
            <w:tcW w:w="48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2,566</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 Income</w:t>
            </w:r>
          </w:p>
        </w:tc>
        <w:tc>
          <w:tcPr>
            <w:tcW w:w="22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524</w:t>
            </w:r>
          </w:p>
        </w:tc>
        <w:tc>
          <w:tcPr>
            <w:tcW w:w="36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829</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480" w:type="dxa"/>
            <w:vAlign w:val="bottom"/>
          </w:tcPr>
          <w:p>
            <w:pPr>
              <w:spacing w:after="0"/>
              <w:rPr>
                <w:sz w:val="15"/>
                <w:szCs w:val="15"/>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1,377</w:t>
            </w:r>
          </w:p>
        </w:tc>
        <w:tc>
          <w:tcPr>
            <w:tcW w:w="0" w:type="dxa"/>
            <w:vAlign w:val="bottom"/>
          </w:tcPr>
          <w:p>
            <w:pPr>
              <w:spacing w:after="0"/>
              <w:rPr>
                <w:sz w:val="1"/>
                <w:szCs w:val="1"/>
                <w:color w:val="auto"/>
              </w:rPr>
            </w:pPr>
          </w:p>
        </w:tc>
      </w:tr>
      <w:tr>
        <w:trPr>
          <w:trHeight w:val="17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JV Income</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1,800</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2,329</w:t>
            </w: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48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4,788</w:t>
            </w: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Fees and other income</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111</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919</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1,492</w:t>
            </w:r>
          </w:p>
        </w:tc>
        <w:tc>
          <w:tcPr>
            <w:tcW w:w="0" w:type="dxa"/>
            <w:vAlign w:val="bottom"/>
          </w:tcPr>
          <w:p>
            <w:pPr>
              <w:spacing w:after="0"/>
              <w:rPr>
                <w:sz w:val="1"/>
                <w:szCs w:val="1"/>
                <w:color w:val="auto"/>
              </w:rPr>
            </w:pPr>
          </w:p>
        </w:tc>
      </w:tr>
      <w:tr>
        <w:trPr>
          <w:trHeight w:val="169"/>
        </w:trPr>
        <w:tc>
          <w:tcPr>
            <w:tcW w:w="4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16,337</w:t>
            </w: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19,626</w:t>
            </w:r>
          </w:p>
        </w:tc>
        <w:tc>
          <w:tcPr>
            <w:tcW w:w="14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32,863</w:t>
            </w:r>
          </w:p>
        </w:tc>
        <w:tc>
          <w:tcPr>
            <w:tcW w:w="480" w:type="dxa"/>
            <w:vAlign w:val="bottom"/>
            <w:tcBorders>
              <w:bottom w:val="single" w:sz="8" w:color="auto"/>
            </w:tcBorders>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39,953</w:t>
            </w:r>
          </w:p>
        </w:tc>
        <w:tc>
          <w:tcPr>
            <w:tcW w:w="0" w:type="dxa"/>
            <w:vAlign w:val="bottom"/>
          </w:tcPr>
          <w:p>
            <w:pPr>
              <w:spacing w:after="0"/>
              <w:rPr>
                <w:sz w:val="1"/>
                <w:szCs w:val="1"/>
                <w:color w:val="auto"/>
              </w:rPr>
            </w:pPr>
          </w:p>
        </w:tc>
      </w:tr>
      <w:tr>
        <w:trPr>
          <w:trHeight w:val="169"/>
        </w:trPr>
        <w:tc>
          <w:tcPr>
            <w:tcW w:w="4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Less: Purchase discount accretion</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(427 )</w:t>
            </w:r>
          </w:p>
        </w:tc>
        <w:tc>
          <w:tcPr>
            <w:tcW w:w="140" w:type="dxa"/>
            <w:vAlign w:val="bottom"/>
          </w:tcPr>
          <w:p>
            <w:pPr>
              <w:spacing w:after="0"/>
              <w:rPr>
                <w:sz w:val="14"/>
                <w:szCs w:val="14"/>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bottom w:val="single" w:sz="8" w:color="auto"/>
            </w:tcBorders>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(185 ) $</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(1,469 )</w:t>
            </w:r>
          </w:p>
        </w:tc>
        <w:tc>
          <w:tcPr>
            <w:tcW w:w="0" w:type="dxa"/>
            <w:vAlign w:val="bottom"/>
          </w:tcPr>
          <w:p>
            <w:pPr>
              <w:spacing w:after="0"/>
              <w:rPr>
                <w:sz w:val="1"/>
                <w:szCs w:val="1"/>
                <w:color w:val="auto"/>
              </w:rPr>
            </w:pPr>
          </w:p>
        </w:tc>
      </w:tr>
      <w:tr>
        <w:trPr>
          <w:trHeight w:val="169"/>
        </w:trPr>
        <w:tc>
          <w:tcPr>
            <w:tcW w:w="4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Core Investment Income</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16,225</w:t>
            </w: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19,199</w:t>
            </w:r>
          </w:p>
        </w:tc>
        <w:tc>
          <w:tcPr>
            <w:tcW w:w="14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32,678</w:t>
            </w:r>
          </w:p>
        </w:tc>
        <w:tc>
          <w:tcPr>
            <w:tcW w:w="480" w:type="dxa"/>
            <w:vAlign w:val="bottom"/>
            <w:tcBorders>
              <w:bottom w:val="single" w:sz="8" w:color="auto"/>
            </w:tcBorders>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38,484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-248285</wp:posOffset>
            </wp:positionV>
            <wp:extent cx="939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939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5" w:lineRule="exact"/>
        <w:rPr>
          <w:sz w:val="20"/>
          <w:szCs w:val="20"/>
          <w:color w:val="auto"/>
        </w:rPr>
      </w:pPr>
    </w:p>
    <w:p>
      <w:pPr>
        <w:ind w:right="120" w:firstLine="374"/>
        <w:spacing w:after="0" w:line="229" w:lineRule="auto"/>
        <w:rPr>
          <w:sz w:val="20"/>
          <w:szCs w:val="20"/>
          <w:color w:val="auto"/>
        </w:rPr>
      </w:pPr>
      <w:r>
        <w:rPr>
          <w:rFonts w:ascii="Times New Roman" w:cs="Times New Roman" w:eastAsia="Times New Roman" w:hAnsi="Times New Roman"/>
          <w:sz w:val="14"/>
          <w:szCs w:val="14"/>
          <w:color w:val="auto"/>
        </w:rPr>
        <w:t>Core investment income excludes the impact of purchase discount accretion in connection with the GARS and HCAP mergers which is investment income as determined in accordance with U.S. Generally Accepted Accounting Principles (“U.S. GAAP”), excluding the impact of purchase discount accretion associated with the GARS and HCAP mergers. We believe presenting investment income excluding the impact of the GARS and HCAP merger-related purchase discount amortization and the related per share amount is useful and appropriate supplemental disclosure for analyzing our financial performance due to the unique circumstance giving rise to the purchase accounting adjustment. However, this measure is a non-U.S. GAAP measure and should not be considered as a replacement for net investment income and other earnings measures presented in accordance with U.S. GAAP. Instead, this measure should be reviewed only in connection with such U.S. GAAP measures in analyzing Portman Ridge’s financial performance. A reconciliation of net investment income in accordance with U.S. GAAP to net investment income excluding the impact of purchase accounting is detailed in the table above.</w:t>
      </w:r>
    </w:p>
    <w:p>
      <w:pPr>
        <w:spacing w:after="0" w:line="70" w:lineRule="exact"/>
        <w:rPr>
          <w:sz w:val="20"/>
          <w:szCs w:val="20"/>
          <w:color w:val="auto"/>
        </w:rPr>
      </w:pPr>
    </w:p>
    <w:p>
      <w:pPr>
        <w:ind w:right="20" w:firstLine="374"/>
        <w:spacing w:after="0" w:line="227" w:lineRule="auto"/>
        <w:rPr>
          <w:sz w:val="20"/>
          <w:szCs w:val="20"/>
          <w:color w:val="auto"/>
        </w:rPr>
      </w:pPr>
      <w:r>
        <w:rPr>
          <w:rFonts w:ascii="Times New Roman" w:cs="Times New Roman" w:eastAsia="Times New Roman" w:hAnsi="Times New Roman"/>
          <w:sz w:val="14"/>
          <w:szCs w:val="14"/>
          <w:i w:val="1"/>
          <w:iCs w:val="1"/>
          <w:color w:val="auto"/>
        </w:rPr>
        <w:t>Investment Income on Investments in CLO Fund Securities</w:t>
      </w:r>
      <w:r>
        <w:rPr>
          <w:rFonts w:ascii="Times New Roman" w:cs="Times New Roman" w:eastAsia="Times New Roman" w:hAnsi="Times New Roman"/>
          <w:sz w:val="14"/>
          <w:szCs w:val="14"/>
          <w:color w:val="auto"/>
        </w:rPr>
        <w:t>. For the three months ended June 30, 2024 and 2023, approximately $0.5 million and $0.8 million, respectively, of investment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was attributable to investments in CLO Fund Securities. For the six months ended June 30, 2024 and 2023, approximately $1.1 million and $1.4 million, respectively, of investment income was attributable to investments in CLO Fund Securities. We generate investment income from our investments in the securities (typically preferred shares or subordinated securities) of CLO Funds. CLO Funds invest primarily in broadly syndicated non-investment grade loans, high-yield bonds and other credit instruments of corporate issuers.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SOFR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72" w:lineRule="exact"/>
        <w:rPr>
          <w:sz w:val="20"/>
          <w:szCs w:val="20"/>
          <w:color w:val="auto"/>
        </w:rPr>
      </w:pPr>
    </w:p>
    <w:p>
      <w:pPr>
        <w:ind w:right="20" w:firstLine="374"/>
        <w:spacing w:after="0" w:line="231" w:lineRule="auto"/>
        <w:rPr>
          <w:sz w:val="20"/>
          <w:szCs w:val="20"/>
          <w:color w:val="auto"/>
        </w:rPr>
      </w:pPr>
      <w:r>
        <w:rPr>
          <w:rFonts w:ascii="Times New Roman" w:cs="Times New Roman" w:eastAsia="Times New Roman" w:hAnsi="Times New Roman"/>
          <w:sz w:val="14"/>
          <w:szCs w:val="14"/>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our U.S. generally accepted accounting principles (“GAAP”) statement of operations differs from both the tax–basis investment income and from the cash distributions actually received by us during the period. As a RIC, we anticipate a timely distribution of our tax-basis taxable income.</w:t>
      </w:r>
    </w:p>
    <w:p>
      <w:pPr>
        <w:spacing w:after="0" w:line="67" w:lineRule="exact"/>
        <w:rPr>
          <w:sz w:val="20"/>
          <w:szCs w:val="20"/>
          <w:color w:val="auto"/>
        </w:rPr>
      </w:pPr>
    </w:p>
    <w:p>
      <w:pPr>
        <w:ind w:right="20" w:firstLine="374"/>
        <w:spacing w:after="0" w:line="233" w:lineRule="auto"/>
        <w:rPr>
          <w:sz w:val="20"/>
          <w:szCs w:val="20"/>
          <w:color w:val="auto"/>
        </w:rPr>
      </w:pPr>
      <w:r>
        <w:rPr>
          <w:rFonts w:ascii="Times New Roman" w:cs="Times New Roman" w:eastAsia="Times New Roman" w:hAnsi="Times New Roman"/>
          <w:sz w:val="14"/>
          <w:szCs w:val="14"/>
          <w:i w:val="1"/>
          <w:iCs w:val="1"/>
          <w:color w:val="auto"/>
        </w:rPr>
        <w:t xml:space="preserve">Investments in Joint Ventures. </w:t>
      </w:r>
      <w:r>
        <w:rPr>
          <w:rFonts w:ascii="Times New Roman" w:cs="Times New Roman" w:eastAsia="Times New Roman" w:hAnsi="Times New Roman"/>
          <w:sz w:val="14"/>
          <w:szCs w:val="14"/>
          <w:color w:val="auto"/>
        </w:rPr>
        <w:t>For the three months ended June 30, 2024 and 2023, we recognized $1.8 million and $2.3 million, respectively, in investment income from our investments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Joint Ventures. For the six months ended June 30, 2024 and 2023, we recognized $3.5 million and $4.8 million, respectively, in investment income from our investments in Joint Ventures. As of June 30, 2024, and December 31, 2023, the fair value of our investments in Joint Ventures was approximately $54.3 million and $59.3 million, respectively. The final determination of the tax attributes of distributions from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69" w:lineRule="exact"/>
        <w:rPr>
          <w:sz w:val="20"/>
          <w:szCs w:val="20"/>
          <w:color w:val="auto"/>
        </w:rPr>
      </w:pPr>
    </w:p>
    <w:p>
      <w:pPr>
        <w:jc w:val="both"/>
        <w:ind w:right="80" w:firstLine="374"/>
        <w:spacing w:after="0" w:line="236" w:lineRule="auto"/>
        <w:rPr>
          <w:sz w:val="20"/>
          <w:szCs w:val="20"/>
          <w:color w:val="auto"/>
        </w:rPr>
      </w:pPr>
      <w:r>
        <w:rPr>
          <w:rFonts w:ascii="Times New Roman" w:cs="Times New Roman" w:eastAsia="Times New Roman" w:hAnsi="Times New Roman"/>
          <w:sz w:val="14"/>
          <w:szCs w:val="14"/>
          <w:i w:val="1"/>
          <w:iCs w:val="1"/>
          <w:color w:val="auto"/>
        </w:rPr>
        <w:t>Fees and other income</w:t>
      </w:r>
      <w:r>
        <w:rPr>
          <w:rFonts w:ascii="Times New Roman" w:cs="Times New Roman" w:eastAsia="Times New Roman" w:hAnsi="Times New Roman"/>
          <w:sz w:val="14"/>
          <w:szCs w:val="14"/>
          <w:color w:val="auto"/>
        </w:rPr>
        <w:t>. Origination fees (to the extent services are performed to earn such income upon closing), amendment fees, consent fees, and other fees associated with investments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portfolio companies are recognized as income when they are earned. Prepayment penalties received by the Company for debt instruments repaid prior to maturity date are recorded as income upon receipt. For the three months ended June 30, 2024 and 2023, approximately $0.1 million and $0.9 million, respectively, of investment income was attributable to fees and other income. For the six months ended June 30, 2024 and 2023, approximately $0.3 million and $1.5 million, respectively, of investment income was attributable to fees and other income.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tc>
        <w:tc>
          <w:tcPr>
            <w:tcW w:w="180" w:type="dxa"/>
            <w:vAlign w:val="bottom"/>
          </w:tcPr>
          <w:p>
            <w:pPr>
              <w:spacing w:after="0"/>
              <w:rPr>
                <w:sz w:val="16"/>
                <w:szCs w:val="16"/>
                <w:color w:val="auto"/>
              </w:rPr>
            </w:pPr>
          </w:p>
        </w:tc>
        <w:tc>
          <w:tcPr>
            <w:tcW w:w="2840" w:type="dxa"/>
            <w:vAlign w:val="bottom"/>
            <w:gridSpan w:val="4"/>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Management fees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1,680</w:t>
            </w:r>
          </w:p>
        </w:tc>
        <w:tc>
          <w:tcPr>
            <w:tcW w:w="4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1,869</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3,409</w:t>
            </w:r>
          </w:p>
        </w:tc>
        <w:tc>
          <w:tcPr>
            <w:tcW w:w="4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3,822</w:t>
            </w:r>
          </w:p>
        </w:tc>
        <w:tc>
          <w:tcPr>
            <w:tcW w:w="0" w:type="dxa"/>
            <w:vAlign w:val="bottom"/>
          </w:tcPr>
          <w:p>
            <w:pPr>
              <w:spacing w:after="0"/>
              <w:rPr>
                <w:sz w:val="1"/>
                <w:szCs w:val="1"/>
                <w:color w:val="auto"/>
              </w:rPr>
            </w:pPr>
          </w:p>
        </w:tc>
      </w:tr>
      <w:tr>
        <w:trPr>
          <w:trHeight w:val="17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Performance-based incentive fees</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1,374</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1,680</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2,608</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3,488</w:t>
            </w:r>
          </w:p>
        </w:tc>
        <w:tc>
          <w:tcPr>
            <w:tcW w:w="0" w:type="dxa"/>
            <w:vAlign w:val="bottom"/>
          </w:tcPr>
          <w:p>
            <w:pPr>
              <w:spacing w:after="0"/>
              <w:rPr>
                <w:sz w:val="1"/>
                <w:szCs w:val="1"/>
                <w:color w:val="auto"/>
              </w:rPr>
            </w:pPr>
          </w:p>
        </w:tc>
      </w:tr>
      <w:tr>
        <w:trPr>
          <w:trHeight w:val="176"/>
        </w:trPr>
        <w:tc>
          <w:tcPr>
            <w:tcW w:w="5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and amortization of debt issuance costs</w:t>
            </w:r>
          </w:p>
        </w:tc>
        <w:tc>
          <w:tcPr>
            <w:tcW w:w="18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5,365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6,372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11,091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12,704</w:t>
            </w:r>
          </w:p>
        </w:tc>
        <w:tc>
          <w:tcPr>
            <w:tcW w:w="0" w:type="dxa"/>
            <w:vAlign w:val="bottom"/>
          </w:tcPr>
          <w:p>
            <w:pPr>
              <w:spacing w:after="0"/>
              <w:rPr>
                <w:sz w:val="1"/>
                <w:szCs w:val="1"/>
                <w:color w:val="auto"/>
              </w:rPr>
            </w:pPr>
          </w:p>
        </w:tc>
      </w:tr>
      <w:tr>
        <w:trPr>
          <w:trHeight w:val="175"/>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Professional fees</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631</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699</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1,397</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176"/>
        </w:trPr>
        <w:tc>
          <w:tcPr>
            <w:tcW w:w="5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w:t>
            </w:r>
          </w:p>
        </w:tc>
        <w:tc>
          <w:tcPr>
            <w:tcW w:w="18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1,330</w:t>
            </w:r>
          </w:p>
        </w:tc>
        <w:tc>
          <w:tcPr>
            <w:tcW w:w="0" w:type="dxa"/>
            <w:vAlign w:val="bottom"/>
          </w:tcPr>
          <w:p>
            <w:pPr>
              <w:spacing w:after="0"/>
              <w:rPr>
                <w:sz w:val="1"/>
                <w:szCs w:val="1"/>
                <w:color w:val="auto"/>
              </w:rPr>
            </w:pPr>
          </w:p>
        </w:tc>
      </w:tr>
      <w:tr>
        <w:trPr>
          <w:trHeight w:val="175"/>
        </w:trPr>
        <w:tc>
          <w:tcPr>
            <w:tcW w:w="5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1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449</w:t>
            </w: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432</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939</w:t>
            </w: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863</w:t>
            </w:r>
          </w:p>
        </w:tc>
        <w:tc>
          <w:tcPr>
            <w:tcW w:w="0" w:type="dxa"/>
            <w:vAlign w:val="bottom"/>
          </w:tcPr>
          <w:p>
            <w:pPr>
              <w:spacing w:after="0"/>
              <w:rPr>
                <w:sz w:val="1"/>
                <w:szCs w:val="1"/>
                <w:color w:val="auto"/>
              </w:rPr>
            </w:pPr>
          </w:p>
        </w:tc>
      </w:tr>
      <w:tr>
        <w:trPr>
          <w:trHeight w:val="169"/>
        </w:trPr>
        <w:tc>
          <w:tcPr>
            <w:tcW w:w="5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expenses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9,860</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11,711</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20,161</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23,509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-128270</wp:posOffset>
            </wp:positionV>
            <wp:extent cx="9461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-128270</wp:posOffset>
            </wp:positionV>
            <wp:extent cx="768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-128270</wp:posOffset>
            </wp:positionV>
            <wp:extent cx="8572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65" w:lineRule="exact"/>
        <w:rPr>
          <w:sz w:val="20"/>
          <w:szCs w:val="20"/>
          <w:color w:val="auto"/>
        </w:rPr>
      </w:pPr>
    </w:p>
    <w:p>
      <w:pPr>
        <w:ind w:right="60" w:firstLine="374"/>
        <w:spacing w:after="0" w:line="231" w:lineRule="auto"/>
        <w:rPr>
          <w:sz w:val="20"/>
          <w:szCs w:val="20"/>
          <w:color w:val="auto"/>
        </w:rPr>
      </w:pPr>
      <w:r>
        <w:rPr>
          <w:rFonts w:ascii="Times New Roman" w:cs="Times New Roman" w:eastAsia="Times New Roman" w:hAnsi="Times New Roman"/>
          <w:sz w:val="14"/>
          <w:szCs w:val="14"/>
          <w:color w:val="auto"/>
        </w:rPr>
        <w:t>In connection with the Advisory Agreement, we pay the Adviser certain investment advisory fees and reimburse the Adviser and Administrator for certain expenses incurred in connection with the services they provide. We bear our allocable portion of the compensation paid by the Adviser (or its affiliates) to our chief compliance officer and chief financial officer and their respective staffs (based on a percentage of time such individuals devote, on an estimated basis, to our business affairs). We also bear all other costs and expenses of our operations, administration and transactions, including, but not limited to (i) investment advisory fees, including management fees and incentive fees, to the Adviser, pursuant to the Advisory Agreement; (ii) our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69"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calculating our net asset value, including the cost of any third-party valuation services;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effecting any sales and repurchases of our common stock and other securities;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payable under any dealer manager or placement agent agreements, if any;</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administration fees payable under the Administration Agreement and any sub-administration agreements, including related expenses;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service and other costs of borrowings or other financing arrangements;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hedging;</w:t>
      </w:r>
    </w:p>
    <w:p>
      <w:pPr>
        <w:spacing w:after="0" w:line="95" w:lineRule="exact"/>
        <w:rPr>
          <w:rFonts w:ascii="Times New Roman" w:cs="Times New Roman" w:eastAsia="Times New Roman" w:hAnsi="Times New Roman"/>
          <w:sz w:val="14"/>
          <w:szCs w:val="14"/>
          <w:color w:val="auto"/>
        </w:rPr>
      </w:pPr>
    </w:p>
    <w:p>
      <w:pPr>
        <w:ind w:left="760" w:right="460" w:hanging="378"/>
        <w:spacing w:after="0" w:line="261" w:lineRule="auto"/>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54"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agent and custodial fees;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marketing efforts;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registration fees, any stock exchange listing fees and fees payable to rating agencies;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local taxes;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directors’ fees and expenses including certain travel expenses;</w:t>
      </w:r>
    </w:p>
    <w:p>
      <w:pPr>
        <w:spacing w:after="0" w:line="95" w:lineRule="exact"/>
        <w:rPr>
          <w:rFonts w:ascii="Times New Roman" w:cs="Times New Roman" w:eastAsia="Times New Roman" w:hAnsi="Times New Roman"/>
          <w:sz w:val="14"/>
          <w:szCs w:val="14"/>
          <w:color w:val="auto"/>
        </w:rPr>
      </w:pPr>
    </w:p>
    <w:p>
      <w:pPr>
        <w:ind w:left="760" w:right="240" w:hanging="378"/>
        <w:spacing w:after="0" w:line="261" w:lineRule="auto"/>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54" w:lineRule="exact"/>
        <w:rPr>
          <w:rFonts w:ascii="Times New Roman" w:cs="Times New Roman" w:eastAsia="Times New Roman" w:hAnsi="Times New Roman"/>
          <w:sz w:val="14"/>
          <w:szCs w:val="14"/>
          <w:color w:val="auto"/>
        </w:rPr>
      </w:pPr>
    </w:p>
    <w:p>
      <w:pPr>
        <w:ind w:left="760" w:right="720" w:hanging="378"/>
        <w:spacing w:after="0" w:line="261" w:lineRule="auto"/>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54"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commissions and other compensation payable to brokers or dealers;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and market data;</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bond, directors and officers errors and omissions liability insurance and other insurance premiums;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costs and expenses of administration, including printing, mailing, long distance telephone and staff;</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independent audits, outside legal and consulting costs;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winding up our affairs;</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incurred by either the Administrator or us in connection with administering our business, including payments under the Administration Agreement;</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extraordinary expenses (such as litigation or indemnification); and</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reporting and compliance obligations under the 1940 Act and applicable federal and state securities laws.</w:t>
      </w:r>
    </w:p>
    <w:p>
      <w:pPr>
        <w:spacing w:after="0" w:line="96" w:lineRule="exact"/>
        <w:rPr>
          <w:sz w:val="20"/>
          <w:szCs w:val="20"/>
          <w:color w:val="auto"/>
        </w:rPr>
      </w:pPr>
    </w:p>
    <w:p>
      <w:pPr>
        <w:jc w:val="both"/>
        <w:ind w:right="60" w:firstLine="374"/>
        <w:spacing w:after="0" w:line="241" w:lineRule="auto"/>
        <w:rPr>
          <w:sz w:val="20"/>
          <w:szCs w:val="20"/>
          <w:color w:val="auto"/>
        </w:rPr>
      </w:pPr>
      <w:r>
        <w:rPr>
          <w:rFonts w:ascii="Times New Roman" w:cs="Times New Roman" w:eastAsia="Times New Roman" w:hAnsi="Times New Roman"/>
          <w:sz w:val="14"/>
          <w:szCs w:val="14"/>
          <w:color w:val="auto"/>
        </w:rPr>
        <w:t>Total expenses for the three months ended June 30, 2024 and 2023 were approximately $9.9 million and $11.7 million, respectively. Total expenses for the six months ended June 30, 2024 and 2023 were approximately $20.2 million and $23.5 million, respectively. The decrease in total expenses for the three and six months ended June 30, 2024, in comparison to the prior year, was primarily driven by a decrease in average debt outstanding as well as lower incentive fees.</w:t>
      </w:r>
    </w:p>
    <w:p>
      <w:pPr>
        <w:spacing w:after="0" w:line="67" w:lineRule="exact"/>
        <w:rPr>
          <w:sz w:val="20"/>
          <w:szCs w:val="20"/>
          <w:color w:val="auto"/>
        </w:rPr>
      </w:pPr>
    </w:p>
    <w:p>
      <w:pPr>
        <w:ind w:right="120" w:firstLine="374"/>
        <w:spacing w:after="0" w:line="243" w:lineRule="auto"/>
        <w:rPr>
          <w:sz w:val="20"/>
          <w:szCs w:val="20"/>
          <w:color w:val="auto"/>
        </w:rPr>
      </w:pPr>
      <w:r>
        <w:rPr>
          <w:rFonts w:ascii="Times New Roman" w:cs="Times New Roman" w:eastAsia="Times New Roman" w:hAnsi="Times New Roman"/>
          <w:sz w:val="14"/>
          <w:szCs w:val="14"/>
          <w:i w:val="1"/>
          <w:iCs w:val="1"/>
          <w:color w:val="auto"/>
        </w:rPr>
        <w:t xml:space="preserve">Management Fees and Incentive Fees. </w:t>
      </w:r>
      <w:r>
        <w:rPr>
          <w:rFonts w:ascii="Times New Roman" w:cs="Times New Roman" w:eastAsia="Times New Roman" w:hAnsi="Times New Roman"/>
          <w:sz w:val="14"/>
          <w:szCs w:val="14"/>
          <w:color w:val="auto"/>
        </w:rPr>
        <w:t>Management fees for the three months ended June 30, 2024 and 2023 were approximately $1.7 million and $1.9 million, respectively. Management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fees for the six months ended June 30, 2024 and 2023 were approximately $3.4 million and $3.8 million, respectively. Incentive fees for the three months ended June 30, 2024 and 2023 were approximately $1.4 million and $1.7 million, respectively. Incentive fees for the six months ended June 30, 2024 and 2023 were approximately $2.6 million and $3.5 million, respectively.</w:t>
      </w:r>
    </w:p>
    <w:p>
      <w:pPr>
        <w:spacing w:after="0" w:line="65" w:lineRule="exact"/>
        <w:rPr>
          <w:sz w:val="20"/>
          <w:szCs w:val="20"/>
          <w:color w:val="auto"/>
        </w:rPr>
      </w:pPr>
    </w:p>
    <w:p>
      <w:pPr>
        <w:ind w:right="20" w:firstLine="374"/>
        <w:spacing w:after="0" w:line="236" w:lineRule="auto"/>
        <w:rPr>
          <w:sz w:val="20"/>
          <w:szCs w:val="20"/>
          <w:color w:val="auto"/>
        </w:rPr>
      </w:pPr>
      <w:r>
        <w:rPr>
          <w:rFonts w:ascii="Times New Roman" w:cs="Times New Roman" w:eastAsia="Times New Roman" w:hAnsi="Times New Roman"/>
          <w:sz w:val="14"/>
          <w:szCs w:val="14"/>
          <w:i w:val="1"/>
          <w:iCs w:val="1"/>
          <w:color w:val="auto"/>
        </w:rPr>
        <w:t>Interest and Amortization of Debt Issuance Costs</w:t>
      </w:r>
      <w:r>
        <w:rPr>
          <w:rFonts w:ascii="Times New Roman" w:cs="Times New Roman" w:eastAsia="Times New Roman" w:hAnsi="Times New Roman"/>
          <w:sz w:val="14"/>
          <w:szCs w:val="14"/>
          <w:color w:val="auto"/>
        </w:rPr>
        <w:t>. Interest expense is dependent on the average outstanding balance on our borrowings and the base index rate for the period. Debt issuance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costs represent fees and other direct costs incurred in connection with our borrowings. These amounts are capitalized and amortized over the expected term of the borrowing. For the three months ended June 30, 2024 and 2023, interest expense and amortization on debt issuance costs and discount for the period was approximately $5.4 million and $6.4 million, respectively, on average debt outstanding of $288.7 million and $360.8 million, respectively. For the six months ended June 30, 2024 and 2023,</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53" w:name="page54"/>
    <w:bookmarkEnd w:id="53"/>
    <w:p>
      <w:pPr>
        <w:ind w:right="380"/>
        <w:spacing w:after="0" w:line="261" w:lineRule="auto"/>
        <w:rPr>
          <w:sz w:val="20"/>
          <w:szCs w:val="20"/>
          <w:color w:val="auto"/>
        </w:rPr>
      </w:pPr>
      <w:r>
        <w:rPr>
          <w:rFonts w:ascii="Times New Roman" w:cs="Times New Roman" w:eastAsia="Times New Roman" w:hAnsi="Times New Roman"/>
          <w:sz w:val="14"/>
          <w:szCs w:val="14"/>
          <w:color w:val="auto"/>
        </w:rPr>
        <w:t>interest expense and amortization on debt issuance costs and discount for the period was approximately $11.1 million and $12.7 million, respectively, on average debt outstanding of $299.7 million and $368.1 million, respectively.</w:t>
      </w:r>
    </w:p>
    <w:p>
      <w:pPr>
        <w:spacing w:after="0" w:line="53" w:lineRule="exact"/>
        <w:rPr>
          <w:sz w:val="20"/>
          <w:szCs w:val="20"/>
          <w:color w:val="auto"/>
        </w:rPr>
      </w:pPr>
    </w:p>
    <w:p>
      <w:pPr>
        <w:ind w:right="520" w:firstLine="374"/>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Professional Fees and General and Administrative Expenses. </w:t>
      </w:r>
      <w:r>
        <w:rPr>
          <w:rFonts w:ascii="Times New Roman" w:cs="Times New Roman" w:eastAsia="Times New Roman" w:hAnsi="Times New Roman"/>
          <w:sz w:val="14"/>
          <w:szCs w:val="14"/>
          <w:color w:val="auto"/>
        </w:rPr>
        <w:t>The balance of our expenses includes professional fees (primarily legal, accounting, director fees, valuation and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professional services), insurance costs, Administrative services expense under the Administration Agreement and general administrative and other costs.</w:t>
      </w:r>
    </w:p>
    <w:p>
      <w:pPr>
        <w:spacing w:after="0" w:line="53"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4"/>
          <w:szCs w:val="14"/>
          <w:color w:val="auto"/>
        </w:rPr>
        <w:t>For the three months ended June 30, 2024 and 2023, professional fees totaled approximately $0.6 million and $0.7 million, respectively. For the six months ended June 30, 2024 and 2023, professional fees totaled approximately $1.4 million and $1.3 million, respectively.</w:t>
      </w:r>
    </w:p>
    <w:p>
      <w:pPr>
        <w:spacing w:after="0" w:line="55"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4"/>
          <w:szCs w:val="14"/>
          <w:color w:val="auto"/>
        </w:rPr>
        <w:t>For the three months ended June 30, 2024 and 2023, administrative services expense was approximately $0.4 million and $0.7 million, respectively. For the six months ended June 30, 2024 and 2023, administrative services expense was approximately $0.7 million and $1.3 million, respectively.</w:t>
      </w:r>
    </w:p>
    <w:p>
      <w:pPr>
        <w:spacing w:after="0" w:line="55" w:lineRule="exact"/>
        <w:rPr>
          <w:sz w:val="20"/>
          <w:szCs w:val="20"/>
          <w:color w:val="auto"/>
        </w:rPr>
      </w:pPr>
    </w:p>
    <w:p>
      <w:pPr>
        <w:jc w:val="both"/>
        <w:ind w:right="20" w:firstLine="374"/>
        <w:spacing w:after="0" w:line="241" w:lineRule="auto"/>
        <w:rPr>
          <w:sz w:val="20"/>
          <w:szCs w:val="20"/>
          <w:color w:val="auto"/>
        </w:rPr>
      </w:pPr>
      <w:r>
        <w:rPr>
          <w:rFonts w:ascii="Times New Roman" w:cs="Times New Roman" w:eastAsia="Times New Roman" w:hAnsi="Times New Roman"/>
          <w:sz w:val="14"/>
          <w:szCs w:val="14"/>
          <w:color w:val="auto"/>
        </w:rPr>
        <w:t>For the three months ended June 30, 2024 and 2023, other general and administrative expenses, which includes insurance, technology and other office and administrative expenses, totaled approximately $0.4 million and $0.4 million, respectively. For the six months ended June 30, 2024 and 2023, other general and administrative expenses, which includes insurance, technology and other office and administrative expenses, totaled approximately $0.9 million and $0.9 million,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Investment Income and Net Realized Gains (Losses)</w:t>
      </w:r>
    </w:p>
    <w:p>
      <w:pPr>
        <w:spacing w:after="0" w:line="98" w:lineRule="exact"/>
        <w:rPr>
          <w:sz w:val="20"/>
          <w:szCs w:val="20"/>
          <w:color w:val="auto"/>
        </w:rPr>
      </w:pPr>
    </w:p>
    <w:p>
      <w:pPr>
        <w:ind w:right="40" w:firstLine="374"/>
        <w:spacing w:after="0" w:line="231" w:lineRule="auto"/>
        <w:rPr>
          <w:sz w:val="20"/>
          <w:szCs w:val="20"/>
          <w:color w:val="auto"/>
        </w:rPr>
      </w:pPr>
      <w:r>
        <w:rPr>
          <w:rFonts w:ascii="Times New Roman" w:cs="Times New Roman" w:eastAsia="Times New Roman" w:hAnsi="Times New Roman"/>
          <w:sz w:val="14"/>
          <w:szCs w:val="14"/>
          <w:color w:val="auto"/>
        </w:rPr>
        <w:t>Net investment income and net realized gains (losses) on investments represents the change in net assets before net change in unrealized appreciation or depreciation on investments. For the three months ended June 30, 2024, net investment income and net realized gains (losses) on investments were approximately $(0.4) million, or $(0.05) per basic and diluted share. For the three months ended June 30, 2023, net investment income and net realized gains (losses) on investments were approximately $1.4 million, or $0.15 per basic and diluted share. For the six months ended June 30, 2024, net investment income and net realized gains (losses) on investments were approximately $3.7 million, or $0.40 per basic and diluted share. For the six months ended June 30, 2023, net investment income and net realized gains (losses) on investments were approximately $6.9 million, or $0.72 per basic and diluted share. Net investment income represents the income earned on our investments less operating and interest expense before net realized gains or losses on investments and change in unrealized appreciation or depreciation on investments.</w:t>
      </w:r>
    </w:p>
    <w:p>
      <w:pPr>
        <w:spacing w:after="0" w:line="69"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4"/>
          <w:szCs w:val="14"/>
          <w:color w:val="auto"/>
        </w:rPr>
        <w:t>Investments are carried at fair value, with changes in fair value recorded as unrealized appreciation (depreciation) in the statement of operations. When an investment is sold or liquidated, any previously recognized unrealized appreciation (depreciation) is reversed and a corresponding amount is recognized as realized gain (loss).</w:t>
      </w:r>
    </w:p>
    <w:p>
      <w:pPr>
        <w:spacing w:after="0" w:line="55"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14"/>
          <w:szCs w:val="14"/>
          <w:color w:val="auto"/>
        </w:rPr>
        <w:t>For the six months ended June 30, 2024, net investment income was approximately $12.7 million, or $1.36 per basic and diluted share, while tax-basis distributable income was approximately $13.2 million, or $1.42 per basic and diluted share. For the six months ended June 30, 2023, net investment income was approximately $16.4 million, or $1.72 per basic and diluted share, while tax-basis distributable income was approximately $14.9 million, or $1.56 per basic and diluted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4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r>
      <w:tr>
        <w:trPr>
          <w:trHeight w:val="175"/>
        </w:trPr>
        <w:tc>
          <w:tcPr>
            <w:tcW w:w="4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Non-controlled/non-affiliated investments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(10,163 )</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(5,478 )</w:t>
            </w:r>
          </w:p>
        </w:tc>
        <w:tc>
          <w:tcPr>
            <w:tcW w:w="3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(10,822 )</w:t>
            </w:r>
          </w:p>
        </w:tc>
        <w:tc>
          <w:tcPr>
            <w:tcW w:w="4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(8,535 )</w:t>
            </w:r>
          </w:p>
        </w:tc>
      </w:tr>
      <w:tr>
        <w:trPr>
          <w:trHeight w:val="176"/>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(2,055 )</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766</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(1,915 )</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455</w:t>
            </w:r>
          </w:p>
        </w:tc>
      </w:tr>
      <w:tr>
        <w:trPr>
          <w:trHeight w:val="175"/>
        </w:trPr>
        <w:tc>
          <w:tcPr>
            <w:tcW w:w="478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6,252</w:t>
            </w:r>
          </w:p>
        </w:tc>
        <w:tc>
          <w:tcPr>
            <w:tcW w:w="1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536</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6,842</w:t>
            </w:r>
          </w:p>
        </w:tc>
        <w:tc>
          <w:tcPr>
            <w:tcW w:w="1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(2,056 )</w:t>
            </w:r>
          </w:p>
        </w:tc>
      </w:tr>
      <w:tr>
        <w:trPr>
          <w:trHeight w:val="209"/>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net change in unrealized gain (loss) from investment transactions</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(5,966 )</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(4,176 )</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(5,895 )</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-24765</wp:posOffset>
            </wp:positionV>
            <wp:extent cx="7747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774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-144780</wp:posOffset>
            </wp:positionV>
            <wp:extent cx="77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-144780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-144780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right="160" w:firstLine="374"/>
        <w:spacing w:after="0" w:line="233" w:lineRule="auto"/>
        <w:rPr>
          <w:sz w:val="20"/>
          <w:szCs w:val="20"/>
          <w:color w:val="auto"/>
        </w:rPr>
      </w:pPr>
      <w:r>
        <w:rPr>
          <w:rFonts w:ascii="Times New Roman" w:cs="Times New Roman" w:eastAsia="Times New Roman" w:hAnsi="Times New Roman"/>
          <w:sz w:val="14"/>
          <w:szCs w:val="14"/>
          <w:color w:val="auto"/>
        </w:rPr>
        <w:t>During the three months ended June 30, 2024, our total investments had net change in unrealized appreciation (depreciation) on investments of approximately $(6.0) million . The net change in unrealized appreciation (depreciation) on investments is made up of approximately $(0.9) million on CLO Fund Securities, $3.9 million on equity securities, $0.4 million on our Joint Ventures investments, and $(9.4) million on our debt securities. During the three months ended June 30, 2023, our total investments had net change in unrealized appreciation (depreciation) of approximately $(4.2) million. The net change in unrealized appreciation (depreciation) on investments was made up of approximately $1.0 million on CLO Fund Securities, $0.1 million on equity securities, $0.4 million on our Joint Ventures investments, and $(3.7) million on our debt securities.</w:t>
      </w:r>
    </w:p>
    <w:p>
      <w:pPr>
        <w:spacing w:after="0" w:line="69" w:lineRule="exact"/>
        <w:rPr>
          <w:sz w:val="20"/>
          <w:szCs w:val="20"/>
          <w:color w:val="auto"/>
        </w:rPr>
      </w:pPr>
    </w:p>
    <w:p>
      <w:pPr>
        <w:ind w:right="100" w:firstLine="374"/>
        <w:spacing w:after="0" w:line="233" w:lineRule="auto"/>
        <w:rPr>
          <w:sz w:val="20"/>
          <w:szCs w:val="20"/>
          <w:color w:val="auto"/>
        </w:rPr>
      </w:pPr>
      <w:r>
        <w:rPr>
          <w:rFonts w:ascii="Times New Roman" w:cs="Times New Roman" w:eastAsia="Times New Roman" w:hAnsi="Times New Roman"/>
          <w:sz w:val="14"/>
          <w:szCs w:val="14"/>
          <w:color w:val="auto"/>
        </w:rPr>
        <w:t>During the six months ended June 30, 2024, our total investments had net change in unrealized appreciation (depreciation) of approximately $(5.9) million. The net change in unrealized appreciation (depreciation) on investments is made up of approximately $(0.9) million on CLO Fund Securities, $4.0 million on equity securities, $0.6 million on our Joint Ventures investments, and $(9.6) million on our debt securities. During the six months ended June 30, 2023, our total investments had net change in unrealized appreciation (depreciation) of approximately $(10.1) million. The net change in unrealized appreciation (depreciation) on investments was made up of approximately $1.6 million on CLO Fund Securities, $(1.9) million on equity securities, $2.4 million on our Joint Ventures investments, and $(7.4) million on our debt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Change in Net Assets Resulting From Operations</w:t>
      </w:r>
    </w:p>
    <w:p>
      <w:pPr>
        <w:spacing w:after="0" w:line="98" w:lineRule="exact"/>
        <w:rPr>
          <w:sz w:val="20"/>
          <w:szCs w:val="20"/>
          <w:color w:val="auto"/>
        </w:rPr>
      </w:pPr>
    </w:p>
    <w:p>
      <w:pPr>
        <w:ind w:right="20" w:firstLine="374"/>
        <w:spacing w:after="0" w:line="236" w:lineRule="auto"/>
        <w:rPr>
          <w:sz w:val="20"/>
          <w:szCs w:val="20"/>
          <w:color w:val="auto"/>
        </w:rPr>
      </w:pPr>
      <w:r>
        <w:rPr>
          <w:rFonts w:ascii="Times New Roman" w:cs="Times New Roman" w:eastAsia="Times New Roman" w:hAnsi="Times New Roman"/>
          <w:sz w:val="14"/>
          <w:szCs w:val="14"/>
          <w:color w:val="auto"/>
        </w:rPr>
        <w:t>The net increase (decrease) in net assets resulting from operations for the three months ended June 30, 2024, was $(6.4) million, or $(0.69) per basic and diluted share. The net increase (decrease) in net assets resulting from operations for the three months ended June 30, 2023, was $(3.1) million, or $(0.33) per basic and diluted share.The net increase (decrease) in net assets resulting from operations for the six months ended June 30, 2024, was $(1.9) million, or $(0.20) per basic and diluted share. The net increase (decrease) in net assets resulting from operations for the six months ended June 30, 2023, was $(3.1) million, or $(0.32) per basic and diluted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CONDITION, LIQUIDITY, AND CAPITAL RESOURCES</w:t>
      </w:r>
    </w:p>
    <w:p>
      <w:pPr>
        <w:spacing w:after="0" w:line="98" w:lineRule="exact"/>
        <w:rPr>
          <w:sz w:val="20"/>
          <w:szCs w:val="20"/>
          <w:color w:val="auto"/>
        </w:rPr>
      </w:pPr>
    </w:p>
    <w:p>
      <w:pPr>
        <w:ind w:right="100" w:firstLine="374"/>
        <w:spacing w:after="0" w:line="236" w:lineRule="auto"/>
        <w:rPr>
          <w:sz w:val="20"/>
          <w:szCs w:val="20"/>
          <w:color w:val="auto"/>
        </w:rPr>
      </w:pPr>
      <w:r>
        <w:rPr>
          <w:rFonts w:ascii="Times New Roman" w:cs="Times New Roman" w:eastAsia="Times New Roman" w:hAnsi="Times New Roman"/>
          <w:sz w:val="14"/>
          <w:szCs w:val="14"/>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ind w:left="380"/>
        <w:spacing w:after="0"/>
        <w:rPr>
          <w:sz w:val="20"/>
          <w:szCs w:val="20"/>
          <w:color w:val="auto"/>
        </w:rPr>
      </w:pPr>
      <w:r>
        <w:rPr>
          <w:rFonts w:ascii="Times New Roman" w:cs="Times New Roman" w:eastAsia="Times New Roman" w:hAnsi="Times New Roman"/>
          <w:sz w:val="14"/>
          <w:szCs w:val="14"/>
          <w:color w:val="auto"/>
        </w:rPr>
        <w:t>As of June 30, 2024 and December 31, 2023 the fair value of investments and cash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320" w:type="dxa"/>
            <w:vAlign w:val="bottom"/>
          </w:tcPr>
          <w:p>
            <w:pPr>
              <w:spacing w:after="0"/>
              <w:rPr>
                <w:sz w:val="12"/>
                <w:szCs w:val="12"/>
                <w:color w:val="auto"/>
              </w:rPr>
            </w:pPr>
          </w:p>
        </w:tc>
        <w:tc>
          <w:tcPr>
            <w:tcW w:w="1720" w:type="dxa"/>
            <w:vAlign w:val="bottom"/>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4"/>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9,813</w:t>
            </w: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26,912</w:t>
            </w:r>
          </w:p>
        </w:tc>
        <w:tc>
          <w:tcPr>
            <w:tcW w:w="0" w:type="dxa"/>
            <w:vAlign w:val="bottom"/>
          </w:tcPr>
          <w:p>
            <w:pPr>
              <w:spacing w:after="0"/>
              <w:rPr>
                <w:sz w:val="1"/>
                <w:szCs w:val="1"/>
                <w:color w:val="auto"/>
              </w:rPr>
            </w:pPr>
          </w:p>
        </w:tc>
      </w:tr>
      <w:tr>
        <w:trPr>
          <w:trHeight w:val="175"/>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tcPr>
          <w:p>
            <w:pPr>
              <w:spacing w:after="0"/>
              <w:rPr>
                <w:sz w:val="15"/>
                <w:szCs w:val="15"/>
                <w:color w:val="auto"/>
              </w:rPr>
            </w:pPr>
          </w:p>
        </w:tc>
        <w:tc>
          <w:tcPr>
            <w:tcW w:w="1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26,826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44,652</w:t>
            </w:r>
          </w:p>
        </w:tc>
        <w:tc>
          <w:tcPr>
            <w:tcW w:w="0" w:type="dxa"/>
            <w:vAlign w:val="bottom"/>
          </w:tcPr>
          <w:p>
            <w:pPr>
              <w:spacing w:after="0"/>
              <w:rPr>
                <w:sz w:val="1"/>
                <w:szCs w:val="1"/>
                <w:color w:val="auto"/>
              </w:rPr>
            </w:pPr>
          </w:p>
        </w:tc>
      </w:tr>
      <w:tr>
        <w:trPr>
          <w:trHeight w:val="17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320,815</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336,599</w:t>
            </w:r>
          </w:p>
        </w:tc>
        <w:tc>
          <w:tcPr>
            <w:tcW w:w="0" w:type="dxa"/>
            <w:vAlign w:val="bottom"/>
          </w:tcPr>
          <w:p>
            <w:pPr>
              <w:spacing w:after="0"/>
              <w:rPr>
                <w:sz w:val="1"/>
                <w:szCs w:val="1"/>
                <w:color w:val="auto"/>
              </w:rPr>
            </w:pPr>
          </w:p>
        </w:tc>
      </w:tr>
      <w:tr>
        <w:trPr>
          <w:trHeight w:val="176"/>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320" w:type="dxa"/>
            <w:vAlign w:val="bottom"/>
          </w:tcPr>
          <w:p>
            <w:pPr>
              <w:spacing w:after="0"/>
              <w:rPr>
                <w:sz w:val="15"/>
                <w:szCs w:val="15"/>
                <w:color w:val="auto"/>
              </w:rPr>
            </w:pPr>
          </w:p>
        </w:tc>
        <w:tc>
          <w:tcPr>
            <w:tcW w:w="1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36,386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41,254</w:t>
            </w:r>
          </w:p>
        </w:tc>
        <w:tc>
          <w:tcPr>
            <w:tcW w:w="0" w:type="dxa"/>
            <w:vAlign w:val="bottom"/>
          </w:tcPr>
          <w:p>
            <w:pPr>
              <w:spacing w:after="0"/>
              <w:rPr>
                <w:sz w:val="1"/>
                <w:szCs w:val="1"/>
                <w:color w:val="auto"/>
              </w:rPr>
            </w:pPr>
          </w:p>
        </w:tc>
      </w:tr>
      <w:tr>
        <w:trPr>
          <w:trHeight w:val="175"/>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1,693</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176"/>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20" w:type="dxa"/>
            <w:vAlign w:val="bottom"/>
          </w:tcPr>
          <w:p>
            <w:pPr>
              <w:spacing w:after="0"/>
              <w:rPr>
                <w:sz w:val="15"/>
                <w:szCs w:val="15"/>
                <w:color w:val="auto"/>
              </w:rPr>
            </w:pPr>
          </w:p>
        </w:tc>
        <w:tc>
          <w:tcPr>
            <w:tcW w:w="1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20,533</w:t>
            </w:r>
          </w:p>
        </w:tc>
        <w:tc>
          <w:tcPr>
            <w:tcW w:w="0" w:type="dxa"/>
            <w:vAlign w:val="bottom"/>
          </w:tcPr>
          <w:p>
            <w:pPr>
              <w:spacing w:after="0"/>
              <w:rPr>
                <w:sz w:val="1"/>
                <w:szCs w:val="1"/>
                <w:color w:val="auto"/>
              </w:rPr>
            </w:pPr>
          </w:p>
        </w:tc>
      </w:tr>
      <w:tr>
        <w:trPr>
          <w:trHeight w:val="175"/>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7,354</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8,968</w:t>
            </w:r>
          </w:p>
        </w:tc>
        <w:tc>
          <w:tcPr>
            <w:tcW w:w="0" w:type="dxa"/>
            <w:vAlign w:val="bottom"/>
          </w:tcPr>
          <w:p>
            <w:pPr>
              <w:spacing w:after="0"/>
              <w:rPr>
                <w:sz w:val="1"/>
                <w:szCs w:val="1"/>
                <w:color w:val="auto"/>
              </w:rPr>
            </w:pPr>
          </w:p>
        </w:tc>
      </w:tr>
      <w:tr>
        <w:trPr>
          <w:trHeight w:val="188"/>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Manager Affiliates</w:t>
            </w:r>
          </w:p>
        </w:tc>
        <w:tc>
          <w:tcPr>
            <w:tcW w:w="320" w:type="dxa"/>
            <w:vAlign w:val="bottom"/>
          </w:tcPr>
          <w:p>
            <w:pPr>
              <w:spacing w:after="0"/>
              <w:rPr>
                <w:sz w:val="16"/>
                <w:szCs w:val="16"/>
                <w:color w:val="auto"/>
              </w:rPr>
            </w:pPr>
          </w:p>
        </w:tc>
        <w:tc>
          <w:tcPr>
            <w:tcW w:w="1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5"/>
        </w:trPr>
        <w:tc>
          <w:tcPr>
            <w:tcW w:w="7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54,292</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59,287</w:t>
            </w:r>
          </w:p>
        </w:tc>
        <w:tc>
          <w:tcPr>
            <w:tcW w:w="0" w:type="dxa"/>
            <w:vAlign w:val="bottom"/>
          </w:tcPr>
          <w:p>
            <w:pPr>
              <w:spacing w:after="0"/>
              <w:rPr>
                <w:sz w:val="1"/>
                <w:szCs w:val="1"/>
                <w:color w:val="auto"/>
              </w:rPr>
            </w:pPr>
          </w:p>
        </w:tc>
      </w:tr>
      <w:tr>
        <w:trPr>
          <w:trHeight w:val="175"/>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481,009</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539,429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857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22" w:lineRule="exact"/>
        <w:rPr>
          <w:sz w:val="20"/>
          <w:szCs w:val="20"/>
          <w:color w:val="auto"/>
        </w:rPr>
      </w:pPr>
    </w:p>
    <w:p>
      <w:pPr>
        <w:ind w:right="40" w:firstLine="374"/>
        <w:spacing w:after="0" w:line="233" w:lineRule="auto"/>
        <w:rPr>
          <w:sz w:val="20"/>
          <w:szCs w:val="20"/>
          <w:color w:val="auto"/>
        </w:rPr>
      </w:pPr>
      <w:r>
        <w:rPr>
          <w:rFonts w:ascii="Times New Roman" w:cs="Times New Roman" w:eastAsia="Times New Roman" w:hAnsi="Times New Roman"/>
          <w:sz w:val="14"/>
          <w:szCs w:val="14"/>
          <w:color w:val="auto"/>
        </w:rPr>
        <w:t>Subject to market conditions, we intend to grow our portfolio of assets by raising additional capital, including through the prudent use of leverage available to us. As a BDC, we are limited in the amount of leverage we can incur under the 1940 Act. Effective March 29, 2019, we are allowed to borrow amounts such that our asset coverage, as defined in the 1940 Act, equals at least 150% after such borrowing.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Borrowings</w:t>
      </w:r>
    </w:p>
    <w:p>
      <w:pPr>
        <w:spacing w:after="0" w:line="98" w:lineRule="exact"/>
        <w:rPr>
          <w:sz w:val="20"/>
          <w:szCs w:val="20"/>
          <w:color w:val="auto"/>
        </w:rPr>
      </w:pPr>
    </w:p>
    <w:p>
      <w:pPr>
        <w:ind w:right="20" w:firstLine="374"/>
        <w:spacing w:after="0" w:line="236" w:lineRule="auto"/>
        <w:rPr>
          <w:sz w:val="20"/>
          <w:szCs w:val="20"/>
          <w:color w:val="auto"/>
        </w:rPr>
      </w:pPr>
      <w:r>
        <w:rPr>
          <w:rFonts w:ascii="Times New Roman" w:cs="Times New Roman" w:eastAsia="Times New Roman" w:hAnsi="Times New Roman"/>
          <w:sz w:val="14"/>
          <w:szCs w:val="14"/>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150% after such borrowing. As of June 30, 2024, we had approximately $285.1 million of par value of outstanding borrowings and our asset coverage ratio of total assets to total borrowings was 169%, compliant with the minimum asset coverage level of 150% generally required for a BDC by the 1940 Act. We may also borrow amounts of up to 5% of the value of our total assets for temporary purposes.</w:t>
      </w:r>
    </w:p>
    <w:p>
      <w:pPr>
        <w:spacing w:after="0" w:line="69" w:lineRule="exact"/>
        <w:rPr>
          <w:sz w:val="20"/>
          <w:szCs w:val="20"/>
          <w:color w:val="auto"/>
        </w:rPr>
      </w:pPr>
    </w:p>
    <w:p>
      <w:pPr>
        <w:ind w:right="80" w:firstLine="374"/>
        <w:spacing w:after="0" w:line="236" w:lineRule="auto"/>
        <w:rPr>
          <w:sz w:val="20"/>
          <w:szCs w:val="20"/>
          <w:color w:val="auto"/>
        </w:rPr>
      </w:pPr>
      <w:r>
        <w:rPr>
          <w:rFonts w:ascii="Times New Roman" w:cs="Times New Roman" w:eastAsia="Times New Roman" w:hAnsi="Times New Roman"/>
          <w:sz w:val="14"/>
          <w:szCs w:val="14"/>
          <w:color w:val="auto"/>
        </w:rPr>
        <w:t>The Small Business Credit Availability Act (the “SBCA”) has modified the 1940 Act by allowing a BDC to increase the maximum amount of leverage it may incur from an asset coverage ratio of 200% to an asset coverage ratio of 150%, if certain requirements are met. On March 29, 2018, the Board, including a “required majority” (as such term is defined in Section 57(o) of the 1940 Act) of its Board, approved the modified asset coverage requirements set forth in Section 61(a)(2) of the 1940 Act, as amended by the SBCA. As a result, our asset coverage requirements for senior securities changed from 200% to 150%, effective as of March 29, 2019.</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Outstanding Notes</w:t>
      </w:r>
    </w:p>
    <w:p>
      <w:pPr>
        <w:spacing w:after="0" w:line="98" w:lineRule="exact"/>
        <w:rPr>
          <w:sz w:val="20"/>
          <w:szCs w:val="20"/>
          <w:color w:val="auto"/>
        </w:rPr>
      </w:pPr>
    </w:p>
    <w:p>
      <w:pPr>
        <w:ind w:right="200" w:firstLine="374"/>
        <w:spacing w:after="0" w:line="233" w:lineRule="auto"/>
        <w:rPr>
          <w:sz w:val="20"/>
          <w:szCs w:val="20"/>
          <w:color w:val="auto"/>
        </w:rPr>
      </w:pPr>
      <w:r>
        <w:rPr>
          <w:rFonts w:ascii="Times New Roman" w:cs="Times New Roman" w:eastAsia="Times New Roman" w:hAnsi="Times New Roman"/>
          <w:sz w:val="14"/>
          <w:szCs w:val="14"/>
          <w:color w:val="auto"/>
        </w:rPr>
        <w:t>During the second quarter of 2021, we issued $108.0 million aggregate principal amount of our 4.875% Notes due 2026. The net proceeds for the 4.875% Notes due 2026, after the payment of underwriting expenses, were approximately $104.6 million. Interest on the 4.875% Notes due 2026 is paid semi-annually on March 16 and September 16, at a rate of 4.875% commencing September 16, 2021. The 4.875% Notes due 2026 mature on April 30, 2026 and are general unsecured obligations. The indenture governing the 4.875% Notes Due 2026 contains certain restrictive covenants, including compliance with certain provisions of the 1940 Act relating to borrowing and dividends. At June 30, 2024, there was approximately $108.0 million of principal amount outstanding, and we were in compliance with all of our debt covenants on the 4.875% Notes due 2026.</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98" w:lineRule="exact"/>
        <w:rPr>
          <w:sz w:val="20"/>
          <w:szCs w:val="20"/>
          <w:color w:val="auto"/>
        </w:rPr>
      </w:pPr>
    </w:p>
    <w:p>
      <w:pPr>
        <w:jc w:val="both"/>
        <w:ind w:right="40" w:firstLine="374"/>
        <w:spacing w:after="0" w:line="241" w:lineRule="auto"/>
        <w:rPr>
          <w:sz w:val="20"/>
          <w:szCs w:val="20"/>
          <w:color w:val="auto"/>
        </w:rPr>
      </w:pPr>
      <w:r>
        <w:rPr>
          <w:rFonts w:ascii="Times New Roman" w:cs="Times New Roman" w:eastAsia="Times New Roman" w:hAnsi="Times New Roman"/>
          <w:sz w:val="14"/>
          <w:szCs w:val="14"/>
          <w:color w:val="auto"/>
        </w:rPr>
        <w:t>On December 18, 2019, Great Lakes Portman Ridge Funding LLC (“GLPRF LLC”), a wholly-owned subsidiary of the Company,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the Company serves as portfolio manager under the Revolving Credit Facility.</w:t>
      </w:r>
    </w:p>
    <w:p>
      <w:pPr>
        <w:spacing w:after="0" w:line="69" w:lineRule="exact"/>
        <w:rPr>
          <w:sz w:val="20"/>
          <w:szCs w:val="20"/>
          <w:color w:val="auto"/>
        </w:rPr>
      </w:pPr>
    </w:p>
    <w:p>
      <w:pPr>
        <w:ind w:right="40" w:firstLine="374"/>
        <w:spacing w:after="0" w:line="233" w:lineRule="auto"/>
        <w:rPr>
          <w:sz w:val="20"/>
          <w:szCs w:val="20"/>
          <w:color w:val="auto"/>
        </w:rPr>
      </w:pPr>
      <w:r>
        <w:rPr>
          <w:rFonts w:ascii="Times New Roman" w:cs="Times New Roman" w:eastAsia="Times New Roman" w:hAnsi="Times New Roman"/>
          <w:sz w:val="14"/>
          <w:szCs w:val="14"/>
          <w:color w:val="auto"/>
        </w:rPr>
        <w:t>Advances under the Revolving Credit Facility bear interest at a per annum rate equal to the three-month SOFR in effect, plus the applicable margin of 2.85% per annum. 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69" w:lineRule="exact"/>
        <w:rPr>
          <w:sz w:val="20"/>
          <w:szCs w:val="20"/>
          <w:color w:val="auto"/>
        </w:rPr>
      </w:pPr>
    </w:p>
    <w:p>
      <w:pPr>
        <w:ind w:right="20" w:firstLine="374"/>
        <w:spacing w:after="0" w:line="241" w:lineRule="auto"/>
        <w:rPr>
          <w:sz w:val="20"/>
          <w:szCs w:val="20"/>
          <w:color w:val="auto"/>
        </w:rPr>
      </w:pPr>
      <w:r>
        <w:rPr>
          <w:rFonts w:ascii="Times New Roman" w:cs="Times New Roman" w:eastAsia="Times New Roman" w:hAnsi="Times New Roman"/>
          <w:sz w:val="14"/>
          <w:szCs w:val="14"/>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w:t>
      </w:r>
    </w:p>
    <w:p>
      <w:pPr>
        <w:spacing w:after="0" w:line="69" w:lineRule="exact"/>
        <w:rPr>
          <w:sz w:val="20"/>
          <w:szCs w:val="20"/>
          <w:color w:val="auto"/>
        </w:rPr>
      </w:pPr>
    </w:p>
    <w:p>
      <w:pPr>
        <w:jc w:val="both"/>
        <w:ind w:right="80" w:firstLine="374"/>
        <w:spacing w:after="0" w:line="241" w:lineRule="auto"/>
        <w:rPr>
          <w:sz w:val="20"/>
          <w:szCs w:val="20"/>
          <w:color w:val="auto"/>
        </w:rPr>
      </w:pPr>
      <w:r>
        <w:rPr>
          <w:rFonts w:ascii="Times New Roman" w:cs="Times New Roman" w:eastAsia="Times New Roman" w:hAnsi="Times New Roman"/>
          <w:sz w:val="14"/>
          <w:szCs w:val="14"/>
          <w:color w:val="auto"/>
        </w:rPr>
        <w:t>On April 29, 2022, GLPRF LLC amended the Revolving Credit Facility with JPM as administrative agent. The amended agreement replaces three-month SOFR as the benchmark interest rate and reduces the applicable margin to 2.80% per annum from 2.85% per annum. Other amendments include the extension of the reinvestment period and scheduled termination date to April 29, 2025 and April 29, 2026, respectively.</w:t>
      </w:r>
    </w:p>
    <w:p>
      <w:pPr>
        <w:spacing w:after="0" w:line="69" w:lineRule="exact"/>
        <w:rPr>
          <w:sz w:val="20"/>
          <w:szCs w:val="20"/>
          <w:color w:val="auto"/>
        </w:rPr>
      </w:pPr>
    </w:p>
    <w:p>
      <w:pPr>
        <w:jc w:val="both"/>
        <w:ind w:right="160" w:firstLine="374"/>
        <w:spacing w:after="0" w:line="241" w:lineRule="auto"/>
        <w:rPr>
          <w:sz w:val="20"/>
          <w:szCs w:val="20"/>
          <w:color w:val="auto"/>
        </w:rPr>
      </w:pPr>
      <w:r>
        <w:rPr>
          <w:rFonts w:ascii="Times New Roman" w:cs="Times New Roman" w:eastAsia="Times New Roman" w:hAnsi="Times New Roman"/>
          <w:sz w:val="14"/>
          <w:szCs w:val="14"/>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the Company, and the Company’s exposure under the Revolving Credit Facility is limited to the value of the Company’s investment in GLPRF LLC.</w:t>
      </w:r>
    </w:p>
    <w:p>
      <w:pPr>
        <w:spacing w:after="0" w:line="69" w:lineRule="exact"/>
        <w:rPr>
          <w:sz w:val="20"/>
          <w:szCs w:val="20"/>
          <w:color w:val="auto"/>
        </w:rPr>
      </w:pPr>
    </w:p>
    <w:p>
      <w:pPr>
        <w:ind w:right="40" w:firstLine="374"/>
        <w:spacing w:after="0" w:line="236" w:lineRule="auto"/>
        <w:rPr>
          <w:sz w:val="20"/>
          <w:szCs w:val="20"/>
          <w:color w:val="auto"/>
        </w:rPr>
      </w:pPr>
      <w:r>
        <w:rPr>
          <w:rFonts w:ascii="Times New Roman" w:cs="Times New Roman" w:eastAsia="Times New Roman" w:hAnsi="Times New Roman"/>
          <w:sz w:val="14"/>
          <w:szCs w:val="14"/>
          <w:color w:val="auto"/>
        </w:rPr>
        <w:t>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the Company is no longer the portfolio manager of GLPRF LLC. Upon the occurrence and during the continuation of an event of default, JPM may declare the outstanding advances and all other obligations under the Revolving Credit Facility immediately due and payable.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5" w:name="page56"/>
    <w:bookmarkEnd w:id="55"/>
    <w:p>
      <w:pPr>
        <w:jc w:val="both"/>
        <w:ind w:right="40" w:firstLine="374"/>
        <w:spacing w:after="0" w:line="241" w:lineRule="auto"/>
        <w:rPr>
          <w:sz w:val="20"/>
          <w:szCs w:val="20"/>
          <w:color w:val="auto"/>
        </w:rPr>
      </w:pPr>
      <w:r>
        <w:rPr>
          <w:rFonts w:ascii="Times New Roman" w:cs="Times New Roman" w:eastAsia="Times New Roman" w:hAnsi="Times New Roman"/>
          <w:sz w:val="14"/>
          <w:szCs w:val="14"/>
          <w:color w:val="auto"/>
        </w:rPr>
        <w:t>The occurrence of an event of default (as described above) or a market value event (as defined in the Revolving Credit Facility) triggers a requirement that GLPRF LLC obtain the consent of JPM prior to entering into certain sales or dispositions with respect to portfolio assets, and the occurrence of a market value event triggers the right of JPM to direct GLPRF LLC to enter into sales or dispositions with respect to any portfolio assets, in each case in JPM’s sole discretion.</w:t>
      </w:r>
    </w:p>
    <w:p>
      <w:pPr>
        <w:spacing w:after="0" w:line="69" w:lineRule="exact"/>
        <w:rPr>
          <w:sz w:val="20"/>
          <w:szCs w:val="20"/>
          <w:color w:val="auto"/>
        </w:rPr>
      </w:pPr>
    </w:p>
    <w:p>
      <w:pPr>
        <w:ind w:right="300" w:firstLine="374"/>
        <w:spacing w:after="0" w:line="261" w:lineRule="auto"/>
        <w:rPr>
          <w:sz w:val="20"/>
          <w:szCs w:val="20"/>
          <w:color w:val="auto"/>
        </w:rPr>
      </w:pPr>
      <w:r>
        <w:rPr>
          <w:rFonts w:ascii="Times New Roman" w:cs="Times New Roman" w:eastAsia="Times New Roman" w:hAnsi="Times New Roman"/>
          <w:sz w:val="14"/>
          <w:szCs w:val="14"/>
          <w:color w:val="auto"/>
        </w:rPr>
        <w:t>At June 30, 2024, GLPRF LLC was in compliance with all of its debt covenants and there was approximately $92.0 million principal amount of borrowings was outstanding under the Revolving Credit Facility.</w:t>
      </w:r>
    </w:p>
    <w:p>
      <w:pPr>
        <w:spacing w:after="0" w:line="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2018-2 Secured Notes</w:t>
      </w:r>
    </w:p>
    <w:p>
      <w:pPr>
        <w:spacing w:after="0" w:line="98" w:lineRule="exact"/>
        <w:rPr>
          <w:sz w:val="20"/>
          <w:szCs w:val="20"/>
          <w:color w:val="auto"/>
        </w:rPr>
      </w:pPr>
    </w:p>
    <w:p>
      <w:pPr>
        <w:ind w:right="140" w:firstLine="374"/>
        <w:spacing w:after="0" w:line="241" w:lineRule="auto"/>
        <w:rPr>
          <w:sz w:val="20"/>
          <w:szCs w:val="20"/>
          <w:color w:val="auto"/>
        </w:rPr>
      </w:pPr>
      <w:r>
        <w:rPr>
          <w:rFonts w:ascii="Times New Roman" w:cs="Times New Roman" w:eastAsia="Times New Roman" w:hAnsi="Times New Roman"/>
          <w:sz w:val="14"/>
          <w:szCs w:val="14"/>
          <w:color w:val="auto"/>
        </w:rPr>
        <w:t>On October 28, 2020, the Company completed the GARS Acquisition, pursuant to the terms and conditions of the GARS Merger Agreement. In connection therewith, the Company now consolidates the financial statements the 2018-2 CLO a $420.0 million par value CLO facility. On the date of the transaction the debt assumed was recognized at fair value, resulting in a $2.4 million discount which is amortized over the remaining term of the borrowings.</w:t>
      </w:r>
    </w:p>
    <w:p>
      <w:pPr>
        <w:spacing w:after="0" w:line="69" w:lineRule="exact"/>
        <w:rPr>
          <w:sz w:val="20"/>
          <w:szCs w:val="20"/>
          <w:color w:val="auto"/>
        </w:rPr>
      </w:pPr>
    </w:p>
    <w:p>
      <w:pPr>
        <w:ind w:firstLine="374"/>
        <w:spacing w:after="0" w:line="225" w:lineRule="auto"/>
        <w:rPr>
          <w:sz w:val="20"/>
          <w:szCs w:val="20"/>
          <w:color w:val="auto"/>
        </w:rPr>
      </w:pPr>
      <w:r>
        <w:rPr>
          <w:rFonts w:ascii="Times New Roman" w:cs="Times New Roman" w:eastAsia="Times New Roman" w:hAnsi="Times New Roman"/>
          <w:sz w:val="14"/>
          <w:szCs w:val="14"/>
          <w:color w:val="auto"/>
        </w:rPr>
        <w:t>The CLO was executed by GF 2018-2 (the “Issuer”) and Portman Ridge Funding 2018-2 LLC (formerly known as Garrison Funding 2018-2 LLC, together with the Issuer, the “Co-Issuers”) who issued $312.0 million of senior secured notes (collectively referred to as the “2018-2 Secured Notes”) and $108.0 million of subordinated notes (the “2018-2 Subordinated Notes” and, together with the 2018-2 Secured Notes, the “2018-2 Notes”) backed by a diversified portfolio of primarily senior secured loans. The Company owns all $108.0 million of the par value of the 2018-2 Subordinated Notes and $18.3 million of the par value of the Class B-R Notes and serves as collateral manager for the Co-Issuers. The Company is entitled to receive interest from the Class B-R Notes, distributions from the 2018-2 Subordinated Notes and fees for serving as collateral manager in accordance with the CLO’s governing documents and to the extent funds are available for such purposes. However, as a result of retaining all of the 2018-2 Subordinated Notes, the Company consolidates the accounts of the Co-Issuers into its financial statements and all transactions between the Company and the Co-Issuers are eliminated on consolidation. As a result of this consolidation, the 2018-2 Secured Notes issued by the CLO is treated as the Company’s indebtedness, except any 2018-2 Secured Notes owned by the Company, which are eliminated in consolidation. The 2018-2 Notes are scheduled to mature on November 20, 2029, however the Co-Issuers may redeem the 2018-2 Notes on any business day after November 20, 2020. The indenture governing the 2018-2 Notes provides that, to the extent cash is available from cash collections, the holders of the 2018-2 Notes are to receive quarterly interest payments on the 20th day or, if not a business day, the next succeeding business day of February, May, August and November of each year until the stated maturity or earlier redemption. On July 18, 2019, $25.0 million outstanding of the aggregate $50.0 million Class A-1R-R Notes available under the CLO converted to Class A-1T-R Notes. On November 18, 2022, the Company drew $14.3 million of the $25 million unfunded Class A-1 R-R Notes. The Reinvestment Period ended on November 20, 2022, and the remaining amount of the unfunded Class A-1 R-R Notes terminated. During the first quarter of 2021, the Company redeemed approximately $88.0 million of the 2018-2 Secured Notes. In connection therewith, the Company recognized a realized loss on extinguishment of debt of approximately $0.9 million. During 2023, the Company redeemed approximately $52.5 million of the par value of the 2018-2 Secured Notes. In connection therewith, the Company recognized a realized loss on extinguishment of approximately $0.4 million.</w:t>
      </w:r>
    </w:p>
    <w:p>
      <w:pPr>
        <w:spacing w:after="0" w:line="72" w:lineRule="exact"/>
        <w:rPr>
          <w:sz w:val="20"/>
          <w:szCs w:val="20"/>
          <w:color w:val="auto"/>
        </w:rPr>
      </w:pPr>
    </w:p>
    <w:p>
      <w:pPr>
        <w:ind w:right="460" w:firstLine="374"/>
        <w:spacing w:after="0" w:line="261" w:lineRule="auto"/>
        <w:rPr>
          <w:sz w:val="20"/>
          <w:szCs w:val="20"/>
          <w:color w:val="auto"/>
        </w:rPr>
      </w:pPr>
      <w:r>
        <w:rPr>
          <w:rFonts w:ascii="Times New Roman" w:cs="Times New Roman" w:eastAsia="Times New Roman" w:hAnsi="Times New Roman"/>
          <w:sz w:val="14"/>
          <w:szCs w:val="14"/>
          <w:color w:val="auto"/>
        </w:rPr>
        <w:t>During the three months ended June 30, 2024, the Company redeemed approximately $6.6 million of the par value of 2018-2 Secured Notes. In connection therewith, the Company recognized a realized loss on extinguishment of less than $0.1 million.</w:t>
      </w:r>
    </w:p>
    <w:p>
      <w:pPr>
        <w:spacing w:after="0" w:line="55" w:lineRule="exact"/>
        <w:rPr>
          <w:sz w:val="20"/>
          <w:szCs w:val="20"/>
          <w:color w:val="auto"/>
        </w:rPr>
      </w:pPr>
    </w:p>
    <w:p>
      <w:pPr>
        <w:ind w:right="520" w:firstLine="374"/>
        <w:spacing w:after="0" w:line="261" w:lineRule="auto"/>
        <w:rPr>
          <w:sz w:val="20"/>
          <w:szCs w:val="20"/>
          <w:color w:val="auto"/>
        </w:rPr>
      </w:pPr>
      <w:r>
        <w:rPr>
          <w:rFonts w:ascii="Times New Roman" w:cs="Times New Roman" w:eastAsia="Times New Roman" w:hAnsi="Times New Roman"/>
          <w:sz w:val="14"/>
          <w:szCs w:val="14"/>
          <w:color w:val="auto"/>
        </w:rPr>
        <w:t>During the six months ended June 30, 2024, the Company redeemed approximately $40.6 million of the par value of 2018-2 Secured Notes. In connection therewith, the Company recognized a realized loss on extinguishment of approximately $0.3 million.</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Stockholder Distributions</w:t>
      </w:r>
    </w:p>
    <w:p>
      <w:pPr>
        <w:spacing w:after="0" w:line="98"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4"/>
          <w:szCs w:val="14"/>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55"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 of our ordinary net taxable income for the calendar year;</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98.2% of our capital gains, if any, in excess of capital losses for the one-year period ending on October 31 of the calendar year; and</w:t>
      </w:r>
    </w:p>
    <w:p>
      <w:pPr>
        <w:spacing w:after="0" w:line="9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ordinary income and net capital gains for the preceding year that were not distributed during such year and on which we do not pay corporate tax.</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may choose to carry forward taxable income in excess of current year distributions into the next tax year and pay a 4% excise tax on such income, to the extent required.</w:t>
      </w:r>
    </w:p>
    <w:p>
      <w:pPr>
        <w:spacing w:after="0" w:line="96" w:lineRule="exact"/>
        <w:rPr>
          <w:sz w:val="20"/>
          <w:szCs w:val="20"/>
          <w:color w:val="auto"/>
        </w:rPr>
      </w:pPr>
    </w:p>
    <w:p>
      <w:pPr>
        <w:ind w:right="300" w:firstLine="374"/>
        <w:spacing w:after="0" w:line="261" w:lineRule="auto"/>
        <w:rPr>
          <w:sz w:val="20"/>
          <w:szCs w:val="20"/>
          <w:color w:val="auto"/>
        </w:rPr>
      </w:pPr>
      <w:r>
        <w:rPr>
          <w:rFonts w:ascii="Times New Roman" w:cs="Times New Roman" w:eastAsia="Times New Roman" w:hAnsi="Times New Roman"/>
          <w:sz w:val="14"/>
          <w:szCs w:val="14"/>
          <w:color w:val="auto"/>
        </w:rPr>
        <w:t>The amount of our declared distributions, as evaluated by management and approved by our Board, is based primarily on our evaluation of our net investment income and distributable taxable income.</w:t>
      </w:r>
    </w:p>
    <w:p>
      <w:pPr>
        <w:spacing w:after="0" w:line="55" w:lineRule="exact"/>
        <w:rPr>
          <w:sz w:val="20"/>
          <w:szCs w:val="20"/>
          <w:color w:val="auto"/>
        </w:rPr>
      </w:pPr>
    </w:p>
    <w:p>
      <w:pPr>
        <w:ind w:right="40" w:firstLine="374"/>
        <w:spacing w:after="0" w:line="226" w:lineRule="auto"/>
        <w:rPr>
          <w:sz w:val="20"/>
          <w:szCs w:val="20"/>
          <w:color w:val="auto"/>
        </w:rPr>
      </w:pPr>
      <w:r>
        <w:rPr>
          <w:rFonts w:ascii="Times New Roman" w:cs="Times New Roman" w:eastAsia="Times New Roman" w:hAnsi="Times New Roman"/>
          <w:sz w:val="14"/>
          <w:szCs w:val="14"/>
          <w:color w:val="auto"/>
        </w:rPr>
        <w:t>We may distribute taxable dividends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indicating that this rule will apply even where the total amount of cash that may be distributed is limited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we decide to make any distributions consistent with this guidance that are payable in part in our stock, taxable stockholders receiving such dividends will be required to include the full amount of the dividend (whether received in cash, shares of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74" w:lineRule="exact"/>
        <w:rPr>
          <w:sz w:val="20"/>
          <w:szCs w:val="20"/>
          <w:color w:val="auto"/>
        </w:rPr>
      </w:pPr>
    </w:p>
    <w:p>
      <w:pPr>
        <w:ind w:firstLine="374"/>
        <w:spacing w:after="0" w:line="226" w:lineRule="auto"/>
        <w:rPr>
          <w:sz w:val="20"/>
          <w:szCs w:val="20"/>
          <w:color w:val="auto"/>
        </w:rPr>
      </w:pPr>
      <w:r>
        <w:rPr>
          <w:rFonts w:ascii="Times New Roman" w:cs="Times New Roman" w:eastAsia="Times New Roman" w:hAnsi="Times New Roman"/>
          <w:sz w:val="14"/>
          <w:szCs w:val="14"/>
          <w:color w:val="auto"/>
        </w:rPr>
        <w:t>We are also prohibited by the 1940 Act and the indenture governing our 4.875% Notes due 2026 from declaring dividends (except a dividend payable in our stock) or making distributions on our common stock, or purchasing any such stock, if, at the time of declaration or at the time of any such purchase, our asset coverage, as defined in the 1940 Act, is below the threshold specified in Section 18(a)(1)(B) as modified by Section 61(a)(2) of the 1940 Act or any successor provisions thereto of the 1940 Act, after deducting the amount of such dividend, distribution or purchase price, as the case may be, and giving effect, in each case (i) to any exemptive relief granted to us by the SEC and (ii) to any no-action relief granted by the SEC to another BDC (or to the Company if it determines to seek such similar no-action or other relief) permitting the BDC to declare any cash dividend or distribution notwithstanding the prohibition contained in Section 18(a)</w:t>
      </w:r>
    </w:p>
    <w:p>
      <w:pPr>
        <w:spacing w:after="0" w:line="1"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4"/>
          <w:szCs w:val="14"/>
          <w:color w:val="auto"/>
        </w:rPr>
        <w:t>(1)(B) as modified by Section 61(a)(1) of the 1940 Act in order to maintain its status as a RIC under the Code. In any such event, we would be prohibited from making distributions required in order to maintain our status as a RIC unless made in accordance with any such exemptive or no-action relief granted by the SEC.</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quarterly distributions paid by us since 2021.</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Declaration</w:t>
            </w:r>
          </w:p>
        </w:tc>
        <w:tc>
          <w:tcPr>
            <w:tcW w:w="120" w:type="dxa"/>
            <w:vAlign w:val="bottom"/>
          </w:tcPr>
          <w:p>
            <w:pPr>
              <w:spacing w:after="0"/>
              <w:rPr>
                <w:sz w:val="16"/>
                <w:szCs w:val="16"/>
                <w:color w:val="auto"/>
              </w:rPr>
            </w:pPr>
          </w:p>
        </w:tc>
        <w:tc>
          <w:tcPr>
            <w:tcW w:w="126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Record</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5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Pay Date</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Second quarter</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0.69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5/8/2024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5/21/2024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5/31/2024</w:t>
            </w:r>
          </w:p>
        </w:tc>
        <w:tc>
          <w:tcPr>
            <w:tcW w:w="0" w:type="dxa"/>
            <w:vAlign w:val="bottom"/>
          </w:tcPr>
          <w:p>
            <w:pPr>
              <w:spacing w:after="0"/>
              <w:rPr>
                <w:sz w:val="1"/>
                <w:szCs w:val="1"/>
                <w:color w:val="auto"/>
              </w:rPr>
            </w:pPr>
          </w:p>
        </w:tc>
      </w:tr>
      <w:tr>
        <w:trPr>
          <w:trHeight w:val="175"/>
        </w:trPr>
        <w:tc>
          <w:tcPr>
            <w:tcW w:w="5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First quarter</w:t>
            </w:r>
          </w:p>
        </w:tc>
        <w:tc>
          <w:tcPr>
            <w:tcW w:w="5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0.69</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3/13/2024</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3/25/2024</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4/2/2024</w:t>
            </w:r>
          </w:p>
        </w:tc>
        <w:tc>
          <w:tcPr>
            <w:tcW w:w="0" w:type="dxa"/>
            <w:vAlign w:val="bottom"/>
          </w:tcPr>
          <w:p>
            <w:pPr>
              <w:spacing w:after="0"/>
              <w:rPr>
                <w:sz w:val="1"/>
                <w:szCs w:val="1"/>
                <w:color w:val="auto"/>
              </w:rPr>
            </w:pPr>
          </w:p>
        </w:tc>
      </w:tr>
      <w:tr>
        <w:trPr>
          <w:trHeight w:val="169"/>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declared in 2024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2023:</w:t>
            </w: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Fourth quarter</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0.69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11/8/2023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11/20/2023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11/30/2023</w:t>
            </w:r>
          </w:p>
        </w:tc>
        <w:tc>
          <w:tcPr>
            <w:tcW w:w="0" w:type="dxa"/>
            <w:vAlign w:val="bottom"/>
          </w:tcPr>
          <w:p>
            <w:pPr>
              <w:spacing w:after="0"/>
              <w:rPr>
                <w:sz w:val="1"/>
                <w:szCs w:val="1"/>
                <w:color w:val="auto"/>
              </w:rPr>
            </w:pPr>
          </w:p>
        </w:tc>
      </w:tr>
      <w:tr>
        <w:trPr>
          <w:trHeight w:val="175"/>
        </w:trPr>
        <w:tc>
          <w:tcPr>
            <w:tcW w:w="5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Third quarter</w:t>
            </w: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0.69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8/8/2023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8/22/2023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8/31/2023</w:t>
            </w:r>
          </w:p>
        </w:tc>
        <w:tc>
          <w:tcPr>
            <w:tcW w:w="0" w:type="dxa"/>
            <w:vAlign w:val="bottom"/>
          </w:tcPr>
          <w:p>
            <w:pPr>
              <w:spacing w:after="0"/>
              <w:rPr>
                <w:sz w:val="1"/>
                <w:szCs w:val="1"/>
                <w:color w:val="auto"/>
              </w:rPr>
            </w:pPr>
          </w:p>
        </w:tc>
      </w:tr>
      <w:tr>
        <w:trPr>
          <w:trHeight w:val="175"/>
        </w:trPr>
        <w:tc>
          <w:tcPr>
            <w:tcW w:w="5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Second quarter</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0.69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5/10/2023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5/22/2023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5/31/2023</w:t>
            </w:r>
          </w:p>
        </w:tc>
        <w:tc>
          <w:tcPr>
            <w:tcW w:w="0" w:type="dxa"/>
            <w:vAlign w:val="bottom"/>
          </w:tcPr>
          <w:p>
            <w:pPr>
              <w:spacing w:after="0"/>
              <w:rPr>
                <w:sz w:val="1"/>
                <w:szCs w:val="1"/>
                <w:color w:val="auto"/>
              </w:rPr>
            </w:pPr>
          </w:p>
        </w:tc>
      </w:tr>
      <w:tr>
        <w:trPr>
          <w:trHeight w:val="175"/>
        </w:trPr>
        <w:tc>
          <w:tcPr>
            <w:tcW w:w="5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First quarter</w:t>
            </w:r>
          </w:p>
        </w:tc>
        <w:tc>
          <w:tcPr>
            <w:tcW w:w="5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0.68</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3/9/2023</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3/20/2023</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3/31/2023</w:t>
            </w:r>
          </w:p>
        </w:tc>
        <w:tc>
          <w:tcPr>
            <w:tcW w:w="0" w:type="dxa"/>
            <w:vAlign w:val="bottom"/>
          </w:tcPr>
          <w:p>
            <w:pPr>
              <w:spacing w:after="0"/>
              <w:rPr>
                <w:sz w:val="1"/>
                <w:szCs w:val="1"/>
                <w:color w:val="auto"/>
              </w:rPr>
            </w:pPr>
          </w:p>
        </w:tc>
      </w:tr>
      <w:tr>
        <w:trPr>
          <w:trHeight w:val="169"/>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declared in 2023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2.75</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2022:</w:t>
            </w: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Fourth quarter</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11/8/2022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11/24/2022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12/13/2022</w:t>
            </w:r>
          </w:p>
        </w:tc>
        <w:tc>
          <w:tcPr>
            <w:tcW w:w="0" w:type="dxa"/>
            <w:vAlign w:val="bottom"/>
          </w:tcPr>
          <w:p>
            <w:pPr>
              <w:spacing w:after="0"/>
              <w:rPr>
                <w:sz w:val="1"/>
                <w:szCs w:val="1"/>
                <w:color w:val="auto"/>
              </w:rPr>
            </w:pPr>
          </w:p>
        </w:tc>
      </w:tr>
      <w:tr>
        <w:trPr>
          <w:trHeight w:val="176"/>
        </w:trPr>
        <w:tc>
          <w:tcPr>
            <w:tcW w:w="5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Third quarter</w:t>
            </w: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0.63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8/9/2022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8/16/2022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9/2/2022</w:t>
            </w:r>
          </w:p>
        </w:tc>
        <w:tc>
          <w:tcPr>
            <w:tcW w:w="0" w:type="dxa"/>
            <w:vAlign w:val="bottom"/>
          </w:tcPr>
          <w:p>
            <w:pPr>
              <w:spacing w:after="0"/>
              <w:rPr>
                <w:sz w:val="1"/>
                <w:szCs w:val="1"/>
                <w:color w:val="auto"/>
              </w:rPr>
            </w:pPr>
          </w:p>
        </w:tc>
      </w:tr>
      <w:tr>
        <w:trPr>
          <w:trHeight w:val="175"/>
        </w:trPr>
        <w:tc>
          <w:tcPr>
            <w:tcW w:w="5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Second quarter</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5/10/2022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5/24/2022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6/7/2022</w:t>
            </w:r>
          </w:p>
        </w:tc>
        <w:tc>
          <w:tcPr>
            <w:tcW w:w="0" w:type="dxa"/>
            <w:vAlign w:val="bottom"/>
          </w:tcPr>
          <w:p>
            <w:pPr>
              <w:spacing w:after="0"/>
              <w:rPr>
                <w:sz w:val="1"/>
                <w:szCs w:val="1"/>
                <w:color w:val="auto"/>
              </w:rPr>
            </w:pPr>
          </w:p>
        </w:tc>
      </w:tr>
      <w:tr>
        <w:trPr>
          <w:trHeight w:val="175"/>
        </w:trPr>
        <w:tc>
          <w:tcPr>
            <w:tcW w:w="5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First quarter</w:t>
            </w:r>
          </w:p>
        </w:tc>
        <w:tc>
          <w:tcPr>
            <w:tcW w:w="5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0.63</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3/10/2022</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3/21/2022</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3/30/2022</w:t>
            </w:r>
          </w:p>
        </w:tc>
        <w:tc>
          <w:tcPr>
            <w:tcW w:w="0" w:type="dxa"/>
            <w:vAlign w:val="bottom"/>
          </w:tcPr>
          <w:p>
            <w:pPr>
              <w:spacing w:after="0"/>
              <w:rPr>
                <w:sz w:val="1"/>
                <w:szCs w:val="1"/>
                <w:color w:val="auto"/>
              </w:rPr>
            </w:pPr>
          </w:p>
        </w:tc>
      </w:tr>
      <w:tr>
        <w:trPr>
          <w:trHeight w:val="169"/>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declared in 2022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2.56</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2021:</w:t>
            </w: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Fourth quarter</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0.62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11/3/2021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11/15/2021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11/30/2021</w:t>
            </w:r>
          </w:p>
        </w:tc>
        <w:tc>
          <w:tcPr>
            <w:tcW w:w="0" w:type="dxa"/>
            <w:vAlign w:val="bottom"/>
          </w:tcPr>
          <w:p>
            <w:pPr>
              <w:spacing w:after="0"/>
              <w:rPr>
                <w:sz w:val="1"/>
                <w:szCs w:val="1"/>
                <w:color w:val="auto"/>
              </w:rPr>
            </w:pPr>
          </w:p>
        </w:tc>
      </w:tr>
      <w:tr>
        <w:trPr>
          <w:trHeight w:val="175"/>
        </w:trPr>
        <w:tc>
          <w:tcPr>
            <w:tcW w:w="5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Third quarter</w:t>
            </w: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0.60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8/4/2021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8/17/2021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8/31/2021</w:t>
            </w:r>
          </w:p>
        </w:tc>
        <w:tc>
          <w:tcPr>
            <w:tcW w:w="0" w:type="dxa"/>
            <w:vAlign w:val="bottom"/>
          </w:tcPr>
          <w:p>
            <w:pPr>
              <w:spacing w:after="0"/>
              <w:rPr>
                <w:sz w:val="1"/>
                <w:szCs w:val="1"/>
                <w:color w:val="auto"/>
              </w:rPr>
            </w:pPr>
          </w:p>
        </w:tc>
      </w:tr>
      <w:tr>
        <w:trPr>
          <w:trHeight w:val="175"/>
        </w:trPr>
        <w:tc>
          <w:tcPr>
            <w:tcW w:w="5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Second quarter</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0.60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5/6/2021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5/19/2021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6/1/2021</w:t>
            </w:r>
          </w:p>
        </w:tc>
        <w:tc>
          <w:tcPr>
            <w:tcW w:w="0" w:type="dxa"/>
            <w:vAlign w:val="bottom"/>
          </w:tcPr>
          <w:p>
            <w:pPr>
              <w:spacing w:after="0"/>
              <w:rPr>
                <w:sz w:val="1"/>
                <w:szCs w:val="1"/>
                <w:color w:val="auto"/>
              </w:rPr>
            </w:pPr>
          </w:p>
        </w:tc>
      </w:tr>
      <w:tr>
        <w:trPr>
          <w:trHeight w:val="176"/>
        </w:trPr>
        <w:tc>
          <w:tcPr>
            <w:tcW w:w="5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First quarter</w:t>
            </w:r>
          </w:p>
        </w:tc>
        <w:tc>
          <w:tcPr>
            <w:tcW w:w="5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0.60</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2/12/2021</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2/22/2021</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3/2/2021</w:t>
            </w:r>
          </w:p>
        </w:tc>
        <w:tc>
          <w:tcPr>
            <w:tcW w:w="0" w:type="dxa"/>
            <w:vAlign w:val="bottom"/>
          </w:tcPr>
          <w:p>
            <w:pPr>
              <w:spacing w:after="0"/>
              <w:rPr>
                <w:sz w:val="1"/>
                <w:szCs w:val="1"/>
                <w:color w:val="auto"/>
              </w:rPr>
            </w:pPr>
          </w:p>
        </w:tc>
      </w:tr>
      <w:tr>
        <w:trPr>
          <w:trHeight w:val="169"/>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declared in 2021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2.42</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8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color w:val="auto"/>
              </w:rPr>
              <w:t>57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524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5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-3205480</wp:posOffset>
            </wp:positionV>
            <wp:extent cx="774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-2502535</wp:posOffset>
            </wp:positionV>
            <wp:extent cx="774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-1799590</wp:posOffset>
            </wp:positionV>
            <wp:extent cx="774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-1096645</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Stock Repurchase Program</w:t>
      </w:r>
    </w:p>
    <w:p>
      <w:pPr>
        <w:spacing w:after="0" w:line="98" w:lineRule="exact"/>
        <w:rPr>
          <w:sz w:val="20"/>
          <w:szCs w:val="20"/>
          <w:color w:val="auto"/>
        </w:rPr>
      </w:pPr>
    </w:p>
    <w:p>
      <w:pPr>
        <w:ind w:right="20" w:firstLine="374"/>
        <w:spacing w:after="0" w:line="228" w:lineRule="auto"/>
        <w:rPr>
          <w:sz w:val="20"/>
          <w:szCs w:val="20"/>
          <w:color w:val="auto"/>
        </w:rPr>
      </w:pPr>
      <w:r>
        <w:rPr>
          <w:rFonts w:ascii="Times New Roman" w:cs="Times New Roman" w:eastAsia="Times New Roman" w:hAnsi="Times New Roman"/>
          <w:sz w:val="14"/>
          <w:szCs w:val="14"/>
          <w:color w:val="auto"/>
        </w:rPr>
        <w:t>On March 6, 2023, the Board of Directors of the Company approved a $10 million stock repurchase program (the “Stock Repurchase Program”) for an approximately one-year period, effective March 6, 2023 and terminating on March 31, 2024. Under this repurchase program, shares may be repurchased from time to time in open market transactions, in privately negotiated transactions or otherwise subject to any law or agreement to which we are party including any restrictions under the 1940 Act and in the indenture for our 4.875% Notes due 2026. The timing and actual number of shares repurchased will depend on a variety of factors, including legal requirements, price, and economic and market conditions. This Stock Repurchase Program may be suspended or discontinued at any time. On March 11, 2024, the Board of Directors of the Company authorized a renewed stock repurchase program of up to $10 million (the “Renewed Stock Repurchase Program”) for an approximately one-year period, effective March 11, 2024 and terminating on March 31, 2025. The terms and conditions of the Renewed Stock Repurchase Program are substantially similar to the prior Stock Repurchase Program. The Renewed Stock Repurchase Program may be suspended or discontinued at any time. Subject to these restrictions, we will selectively pursue opportunities to repurchase shares which are accretive to net asset value per share.</w:t>
      </w:r>
    </w:p>
    <w:p>
      <w:pPr>
        <w:spacing w:after="0" w:line="73" w:lineRule="exact"/>
        <w:rPr>
          <w:sz w:val="20"/>
          <w:szCs w:val="20"/>
          <w:color w:val="auto"/>
        </w:rPr>
      </w:pPr>
    </w:p>
    <w:p>
      <w:pPr>
        <w:ind w:right="80" w:firstLine="374"/>
        <w:spacing w:after="0" w:line="236" w:lineRule="auto"/>
        <w:rPr>
          <w:sz w:val="20"/>
          <w:szCs w:val="20"/>
          <w:color w:val="auto"/>
        </w:rPr>
      </w:pPr>
      <w:r>
        <w:rPr>
          <w:rFonts w:ascii="Times New Roman" w:cs="Times New Roman" w:eastAsia="Times New Roman" w:hAnsi="Times New Roman"/>
          <w:sz w:val="14"/>
          <w:szCs w:val="14"/>
          <w:color w:val="auto"/>
        </w:rPr>
        <w:t>During the three months ended June 30, 2024, the Company repurchased 79,722 shares under the Renewed Stock Repurchase Program at an aggregate cost of approximately $1.6 million. During the three months ended June 30, 2023, the Company repurchased 27,081 shares under the Stock Repurchase Program at an aggregate cost of approximately $0.6 million. During the six months ended June 30, 2024, the Company repurchased 130,737 shares under the Renewed Stock Repurchase Program at an aggregate cost of approximately $2.6 million. During the six months ended June 30, 2023, the Company repurchased 62,694 shares under the Stock Repurchase Program at an aggregate cost of approximately $1.3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8" w:lineRule="exact"/>
        <w:rPr>
          <w:sz w:val="20"/>
          <w:szCs w:val="20"/>
          <w:color w:val="auto"/>
        </w:rPr>
      </w:pPr>
    </w:p>
    <w:p>
      <w:pPr>
        <w:ind w:right="20" w:firstLine="374"/>
        <w:spacing w:after="0" w:line="233" w:lineRule="auto"/>
        <w:rPr>
          <w:sz w:val="20"/>
          <w:szCs w:val="20"/>
          <w:color w:val="auto"/>
        </w:rPr>
      </w:pPr>
      <w:r>
        <w:rPr>
          <w:rFonts w:ascii="Times New Roman" w:cs="Times New Roman" w:eastAsia="Times New Roman" w:hAnsi="Times New Roman"/>
          <w:sz w:val="14"/>
          <w:szCs w:val="14"/>
          <w:color w:val="auto"/>
        </w:rPr>
        <w:t>From time-to-time we are a party to financial instruments with off-balance sheet risk in the normal course of business in order to meet the needs of our investment in portfolio companies.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June 30, 2024, and December 31, 2023, we had approximately $32.7 million and $28.6 million commitments to fund investments, respectively. We may also enter into derivative contracts with off-balance sheet risk in connection with its investing activities.</w:t>
      </w:r>
    </w:p>
    <w:p>
      <w:pPr>
        <w:spacing w:after="0" w:line="69" w:lineRule="exact"/>
        <w:rPr>
          <w:sz w:val="20"/>
          <w:szCs w:val="20"/>
          <w:color w:val="auto"/>
        </w:rPr>
      </w:pPr>
    </w:p>
    <w:p>
      <w:pPr>
        <w:ind w:right="80" w:firstLine="374"/>
        <w:spacing w:after="0" w:line="241" w:lineRule="auto"/>
        <w:rPr>
          <w:sz w:val="20"/>
          <w:szCs w:val="20"/>
          <w:color w:val="auto"/>
        </w:rPr>
      </w:pPr>
      <w:r>
        <w:rPr>
          <w:rFonts w:ascii="Times New Roman" w:cs="Times New Roman" w:eastAsia="Times New Roman" w:hAnsi="Times New Roman"/>
          <w:sz w:val="14"/>
          <w:szCs w:val="14"/>
          <w:color w:val="auto"/>
        </w:rPr>
        <w:t>We have made an aggregate commitment to the Great Lakes II Joint Venture of $50 million, subject to certain limitations (including that we are not obligated to fund capital calls if such funding would cause us to be out of compliance with certain provisions of the 1940 Act). As of June 30, 2024, we had a $10.1 million unfunded commitment to the Great Lakes II Joint Venture. As of December 31, 2023, the Company had a $5.5 million unfunded commitment to the Great Lakes II Joint Venture.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contractual cash obligations and other commercial commitments as of June 30, 2024: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4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2 - 3 years</w:t>
            </w:r>
          </w:p>
        </w:tc>
        <w:tc>
          <w:tcPr>
            <w:tcW w:w="12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4 - 5 years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168"/>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87"/>
        </w:trPr>
        <w:tc>
          <w:tcPr>
            <w:tcW w:w="50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two years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69"/>
        </w:trPr>
        <w:tc>
          <w:tcPr>
            <w:tcW w:w="5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Long-term debt obligations</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285,070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108,000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92,000</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85,070</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98" w:lineRule="exact"/>
        <w:rPr>
          <w:sz w:val="20"/>
          <w:szCs w:val="20"/>
          <w:color w:val="auto"/>
        </w:rPr>
      </w:pPr>
    </w:p>
    <w:p>
      <w:pPr>
        <w:ind w:right="140" w:firstLine="374"/>
        <w:spacing w:after="0" w:line="236" w:lineRule="auto"/>
        <w:rPr>
          <w:sz w:val="20"/>
          <w:szCs w:val="20"/>
          <w:color w:val="auto"/>
        </w:rPr>
      </w:pPr>
      <w:r>
        <w:rPr>
          <w:rFonts w:ascii="Times New Roman" w:cs="Times New Roman" w:eastAsia="Times New Roman" w:hAnsi="Times New Roman"/>
          <w:sz w:val="14"/>
          <w:szCs w:val="14"/>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“Significant Accounting Policies — Investments” contained elsewhere herein.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Portfolio Investments</w:t>
      </w:r>
    </w:p>
    <w:p>
      <w:pPr>
        <w:spacing w:after="0" w:line="100" w:lineRule="exact"/>
        <w:rPr>
          <w:sz w:val="20"/>
          <w:szCs w:val="20"/>
          <w:color w:val="auto"/>
        </w:rPr>
      </w:pPr>
    </w:p>
    <w:p>
      <w:pPr>
        <w:ind w:right="300" w:firstLine="374"/>
        <w:spacing w:after="0" w:line="261" w:lineRule="auto"/>
        <w:rPr>
          <w:sz w:val="20"/>
          <w:szCs w:val="20"/>
          <w:color w:val="auto"/>
        </w:rPr>
      </w:pPr>
      <w:r>
        <w:rPr>
          <w:rFonts w:ascii="Times New Roman" w:cs="Times New Roman" w:eastAsia="Times New Roman" w:hAnsi="Times New Roman"/>
          <w:sz w:val="14"/>
          <w:szCs w:val="14"/>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55" w:lineRule="exact"/>
        <w:rPr>
          <w:sz w:val="20"/>
          <w:szCs w:val="20"/>
          <w:color w:val="auto"/>
        </w:rPr>
      </w:pPr>
    </w:p>
    <w:p>
      <w:pPr>
        <w:ind w:firstLine="374"/>
        <w:spacing w:after="0"/>
        <w:rPr>
          <w:sz w:val="20"/>
          <w:szCs w:val="20"/>
          <w:color w:val="auto"/>
        </w:rPr>
      </w:pPr>
      <w:r>
        <w:rPr>
          <w:rFonts w:ascii="Times New Roman" w:cs="Times New Roman" w:eastAsia="Times New Roman" w:hAnsi="Times New Roman"/>
          <w:sz w:val="14"/>
          <w:szCs w:val="14"/>
          <w:color w:val="auto"/>
        </w:rPr>
        <w:t>Value, as defined in Section 2(a)(41) of 1940 Act, is (1) the market price for those securities for which a market quotation is readily available and (2) for all other securities and assets, fair value as determined in good faith by our Adviser pursuant to procedures approved by our Board. In December 2020, the SEC adopted Rule 2a-5 under the 1940 Act, which permits a BDC's board of directors to designate its investment adviser as a valuation designee to determine the fair value for its investment portfolio, subject to the active oversight of the board. Our Board has designated our Adviser as its “valuation designee” pursuant to Rule 2a-5 under the 1940 Act, and in that role our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Our Board remains ultimately responsible for making fair value determinations under the 1940 Act and satisfies its responsibility through oversight of the valuation designee in accordance with Rule 2a-5.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Adviser determined values may differ significantly from the values that would have been used had a ready market existed for the investments, and the differences could be material.</w:t>
      </w:r>
    </w:p>
    <w:p>
      <w:pPr>
        <w:spacing w:after="0" w:line="144" w:lineRule="exact"/>
        <w:rPr>
          <w:sz w:val="20"/>
          <w:szCs w:val="20"/>
          <w:color w:val="auto"/>
        </w:rPr>
      </w:pPr>
    </w:p>
    <w:p>
      <w:pPr>
        <w:ind w:right="160" w:firstLine="374"/>
        <w:spacing w:after="0" w:line="241" w:lineRule="auto"/>
        <w:rPr>
          <w:sz w:val="20"/>
          <w:szCs w:val="20"/>
          <w:color w:val="auto"/>
        </w:rPr>
      </w:pPr>
      <w:r>
        <w:rPr>
          <w:rFonts w:ascii="Times New Roman" w:cs="Times New Roman" w:eastAsia="Times New Roman" w:hAnsi="Times New Roman"/>
          <w:sz w:val="14"/>
          <w:szCs w:val="14"/>
          <w:color w:val="auto"/>
        </w:rPr>
        <w:t>Pursuant to ASC 946: Financial Services — Investment Companies (“ASC 946”),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See Note 4 to the consolidated financial statements for the additional information about the level of market observability associated with investments carried at fair value.</w:t>
      </w:r>
    </w:p>
    <w:p>
      <w:pPr>
        <w:spacing w:after="0" w:line="96" w:lineRule="exact"/>
        <w:rPr>
          <w:sz w:val="20"/>
          <w:szCs w:val="20"/>
          <w:color w:val="auto"/>
        </w:rPr>
      </w:pPr>
    </w:p>
    <w:p>
      <w:pPr>
        <w:ind w:right="120" w:firstLine="374"/>
        <w:spacing w:after="0" w:line="229" w:lineRule="auto"/>
        <w:rPr>
          <w:sz w:val="20"/>
          <w:szCs w:val="20"/>
          <w:color w:val="auto"/>
        </w:rPr>
      </w:pPr>
      <w:r>
        <w:rPr>
          <w:rFonts w:ascii="Times New Roman" w:cs="Times New Roman" w:eastAsia="Times New Roman" w:hAnsi="Times New Roman"/>
          <w:sz w:val="14"/>
          <w:szCs w:val="14"/>
          <w:color w:val="auto"/>
        </w:rPr>
        <w:t>We follow the provisions of ASC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58" w:name="page59"/>
    <w:bookmarkEnd w:id="58"/>
    <w:p>
      <w:pPr>
        <w:jc w:val="both"/>
        <w:ind w:right="400"/>
        <w:spacing w:after="0" w:line="241" w:lineRule="auto"/>
        <w:rPr>
          <w:sz w:val="20"/>
          <w:szCs w:val="20"/>
          <w:color w:val="auto"/>
        </w:rPr>
      </w:pPr>
      <w:r>
        <w:rPr>
          <w:rFonts w:ascii="Times New Roman" w:cs="Times New Roman" w:eastAsia="Times New Roman" w:hAnsi="Times New Roman"/>
          <w:sz w:val="14"/>
          <w:szCs w:val="14"/>
          <w:color w:val="auto"/>
        </w:rPr>
        <w:t>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ASC 820: Fair Value establishes the following three-level hierarchy, based upon the transparency of inputs to the fair value measurement of an asset or liability as of the measurement date:</w:t>
      </w:r>
    </w:p>
    <w:p>
      <w:pPr>
        <w:spacing w:after="0" w:line="96" w:lineRule="exact"/>
        <w:rPr>
          <w:sz w:val="20"/>
          <w:szCs w:val="20"/>
          <w:color w:val="auto"/>
        </w:rPr>
      </w:pPr>
    </w:p>
    <w:p>
      <w:pPr>
        <w:ind w:left="760" w:right="20" w:hanging="378"/>
        <w:spacing w:after="0" w:line="241" w:lineRule="auto"/>
        <w:tabs>
          <w:tab w:leader="none" w:pos="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I –Unadjusted quoted prices are available in active markets for identical investments as of the reporting date. The type of investments included in Level I include listed equities and listed securities. As required by ASC 820: Fair Value, we do not adjust the quoted price for these investments, even in situations where we hold a large position and a sale could reasonably affect the quoted price.</w:t>
      </w:r>
    </w:p>
    <w:p>
      <w:pPr>
        <w:spacing w:after="0" w:line="68" w:lineRule="exact"/>
        <w:rPr>
          <w:rFonts w:ascii="Times New Roman" w:cs="Times New Roman" w:eastAsia="Times New Roman" w:hAnsi="Times New Roman"/>
          <w:sz w:val="14"/>
          <w:szCs w:val="14"/>
          <w:color w:val="auto"/>
        </w:rPr>
      </w:pPr>
    </w:p>
    <w:p>
      <w:pPr>
        <w:ind w:left="760" w:hanging="378"/>
        <w:spacing w:after="0" w:line="236" w:lineRule="auto"/>
        <w:tabs>
          <w:tab w:leader="none" w:pos="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68" w:lineRule="exact"/>
        <w:rPr>
          <w:rFonts w:ascii="Times New Roman" w:cs="Times New Roman" w:eastAsia="Times New Roman" w:hAnsi="Times New Roman"/>
          <w:sz w:val="14"/>
          <w:szCs w:val="14"/>
          <w:color w:val="auto"/>
        </w:rPr>
      </w:pPr>
    </w:p>
    <w:p>
      <w:pPr>
        <w:ind w:left="760" w:right="40" w:hanging="378"/>
        <w:spacing w:after="0" w:line="233" w:lineRule="auto"/>
        <w:tabs>
          <w:tab w:leader="none" w:pos="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III – Pricing inputs are unobservable for the investment and includes situations where there is little, if any, market activity for the investment. The inputs may be based on our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69" w:lineRule="exact"/>
        <w:rPr>
          <w:sz w:val="20"/>
          <w:szCs w:val="20"/>
          <w:color w:val="auto"/>
        </w:rPr>
      </w:pPr>
    </w:p>
    <w:p>
      <w:pPr>
        <w:ind w:right="20" w:firstLine="374"/>
        <w:spacing w:after="0" w:line="229" w:lineRule="auto"/>
        <w:rPr>
          <w:sz w:val="20"/>
          <w:szCs w:val="20"/>
          <w:color w:val="auto"/>
        </w:rPr>
      </w:pPr>
      <w:r>
        <w:rPr>
          <w:rFonts w:ascii="Times New Roman" w:cs="Times New Roman" w:eastAsia="Times New Roman" w:hAnsi="Times New Roman"/>
          <w:sz w:val="14"/>
          <w:szCs w:val="14"/>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We assess of the significance of a particular input to the fair value measurement in its entirety requires judgment, and we consider factors specific to the investment. The majority of our investments are classified as Level III. We evaluate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Our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72" w:lineRule="exact"/>
        <w:rPr>
          <w:sz w:val="20"/>
          <w:szCs w:val="20"/>
          <w:color w:val="auto"/>
        </w:rPr>
      </w:pPr>
    </w:p>
    <w:p>
      <w:pPr>
        <w:ind w:right="100" w:firstLine="374"/>
        <w:spacing w:after="0" w:line="241" w:lineRule="auto"/>
        <w:rPr>
          <w:sz w:val="20"/>
          <w:szCs w:val="20"/>
          <w:color w:val="auto"/>
        </w:rPr>
      </w:pPr>
      <w:r>
        <w:rPr>
          <w:rFonts w:ascii="Times New Roman" w:cs="Times New Roman" w:eastAsia="Times New Roman" w:hAnsi="Times New Roman"/>
          <w:sz w:val="14"/>
          <w:szCs w:val="14"/>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69" w:lineRule="exact"/>
        <w:rPr>
          <w:sz w:val="20"/>
          <w:szCs w:val="20"/>
          <w:color w:val="auto"/>
        </w:rPr>
      </w:pPr>
    </w:p>
    <w:p>
      <w:pPr>
        <w:ind w:right="100" w:firstLine="374"/>
        <w:spacing w:after="0" w:line="227" w:lineRule="auto"/>
        <w:rPr>
          <w:sz w:val="20"/>
          <w:szCs w:val="20"/>
          <w:color w:val="auto"/>
        </w:rPr>
      </w:pPr>
      <w:r>
        <w:rPr>
          <w:rFonts w:ascii="Times New Roman" w:cs="Times New Roman" w:eastAsia="Times New Roman" w:hAnsi="Times New Roman"/>
          <w:sz w:val="14"/>
          <w:szCs w:val="14"/>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we have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74" w:lineRule="exact"/>
        <w:rPr>
          <w:sz w:val="20"/>
          <w:szCs w:val="20"/>
          <w:color w:val="auto"/>
        </w:rPr>
      </w:pPr>
    </w:p>
    <w:p>
      <w:pPr>
        <w:ind w:right="80" w:firstLine="374"/>
        <w:spacing w:after="0" w:line="236" w:lineRule="auto"/>
        <w:rPr>
          <w:sz w:val="20"/>
          <w:szCs w:val="20"/>
          <w:color w:val="auto"/>
        </w:rPr>
      </w:pPr>
      <w:r>
        <w:rPr>
          <w:rFonts w:ascii="Times New Roman" w:cs="Times New Roman" w:eastAsia="Times New Roman" w:hAnsi="Times New Roman"/>
          <w:sz w:val="14"/>
          <w:szCs w:val="14"/>
          <w:color w:val="auto"/>
        </w:rPr>
        <w:t>Our investments in our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carry investments in joint ventures at fair value based upon the fair value of the investments held by the joint venture.</w:t>
      </w:r>
    </w:p>
    <w:p>
      <w:pPr>
        <w:spacing w:after="0" w:line="96" w:lineRule="exact"/>
        <w:rPr>
          <w:sz w:val="20"/>
          <w:szCs w:val="20"/>
          <w:color w:val="auto"/>
        </w:rPr>
      </w:pPr>
    </w:p>
    <w:p>
      <w:pPr>
        <w:ind w:right="20" w:firstLine="374"/>
        <w:spacing w:after="0" w:line="229" w:lineRule="auto"/>
        <w:rPr>
          <w:sz w:val="20"/>
          <w:szCs w:val="20"/>
          <w:color w:val="auto"/>
        </w:rPr>
      </w:pPr>
      <w:r>
        <w:rPr>
          <w:rFonts w:ascii="Times New Roman" w:cs="Times New Roman" w:eastAsia="Times New Roman" w:hAnsi="Times New Roman"/>
          <w:sz w:val="14"/>
          <w:szCs w:val="14"/>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72" w:lineRule="exact"/>
        <w:rPr>
          <w:sz w:val="20"/>
          <w:szCs w:val="20"/>
          <w:color w:val="auto"/>
        </w:rPr>
      </w:pPr>
    </w:p>
    <w:p>
      <w:pPr>
        <w:ind w:right="60" w:firstLine="374"/>
        <w:spacing w:after="0" w:line="236" w:lineRule="auto"/>
        <w:rPr>
          <w:sz w:val="20"/>
          <w:szCs w:val="20"/>
          <w:color w:val="auto"/>
        </w:rPr>
      </w:pPr>
      <w:r>
        <w:rPr>
          <w:rFonts w:ascii="Times New Roman" w:cs="Times New Roman" w:eastAsia="Times New Roman" w:hAnsi="Times New Roman"/>
          <w:sz w:val="14"/>
          <w:szCs w:val="14"/>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69" w:lineRule="exact"/>
        <w:rPr>
          <w:sz w:val="20"/>
          <w:szCs w:val="20"/>
          <w:color w:val="auto"/>
        </w:rPr>
      </w:pPr>
    </w:p>
    <w:p>
      <w:pPr>
        <w:ind w:right="40" w:firstLine="374"/>
        <w:spacing w:after="0" w:line="241" w:lineRule="auto"/>
        <w:rPr>
          <w:sz w:val="20"/>
          <w:szCs w:val="20"/>
          <w:color w:val="auto"/>
        </w:rPr>
      </w:pPr>
      <w:r>
        <w:rPr>
          <w:rFonts w:ascii="Times New Roman" w:cs="Times New Roman" w:eastAsia="Times New Roman" w:hAnsi="Times New Roman"/>
          <w:sz w:val="14"/>
          <w:szCs w:val="14"/>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69" w:lineRule="exact"/>
        <w:rPr>
          <w:sz w:val="20"/>
          <w:szCs w:val="20"/>
          <w:color w:val="auto"/>
        </w:rPr>
      </w:pPr>
    </w:p>
    <w:p>
      <w:pPr>
        <w:ind w:right="60" w:firstLine="374"/>
        <w:spacing w:after="0" w:line="241" w:lineRule="auto"/>
        <w:rPr>
          <w:sz w:val="20"/>
          <w:szCs w:val="20"/>
          <w:color w:val="auto"/>
        </w:rPr>
      </w:pPr>
      <w:r>
        <w:rPr>
          <w:rFonts w:ascii="Times New Roman" w:cs="Times New Roman" w:eastAsia="Times New Roman" w:hAnsi="Times New Roman"/>
          <w:sz w:val="14"/>
          <w:szCs w:val="14"/>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our judgment.</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9" w:name="page60"/>
    <w:bookmarkEnd w:id="59"/>
    <w:p>
      <w:pPr>
        <w:ind w:left="380"/>
        <w:spacing w:after="0"/>
        <w:rPr>
          <w:sz w:val="20"/>
          <w:szCs w:val="20"/>
          <w:color w:val="auto"/>
        </w:rPr>
      </w:pPr>
      <w:r>
        <w:rPr>
          <w:rFonts w:ascii="Times New Roman" w:cs="Times New Roman" w:eastAsia="Times New Roman" w:hAnsi="Times New Roman"/>
          <w:sz w:val="14"/>
          <w:szCs w:val="14"/>
          <w:color w:val="auto"/>
        </w:rPr>
        <w:t>Our Adviser may consider other methods of valuation to determine the fair value of investments as appropriate in conformity with GAAP.</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00" w:lineRule="exact"/>
        <w:rPr>
          <w:sz w:val="20"/>
          <w:szCs w:val="20"/>
          <w:color w:val="auto"/>
        </w:rPr>
      </w:pPr>
    </w:p>
    <w:p>
      <w:pPr>
        <w:ind w:right="20" w:firstLine="374"/>
        <w:spacing w:after="0" w:line="231" w:lineRule="auto"/>
        <w:rPr>
          <w:sz w:val="20"/>
          <w:szCs w:val="20"/>
          <w:color w:val="auto"/>
        </w:rPr>
      </w:pPr>
      <w:r>
        <w:rPr>
          <w:rFonts w:ascii="Times New Roman" w:cs="Times New Roman" w:eastAsia="Times New Roman" w:hAnsi="Times New Roman"/>
          <w:sz w:val="14"/>
          <w:szCs w:val="14"/>
          <w:color w:val="auto"/>
        </w:rPr>
        <w:t>Interest income, including amortization of premium and accretion of discount and accrual payment-in-kind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June 30, 2024, nine of our investments were on non-accrual status.</w:t>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Investment Income on CLO Fund Securities</w:t>
      </w:r>
    </w:p>
    <w:p>
      <w:pPr>
        <w:spacing w:after="0" w:line="100" w:lineRule="exact"/>
        <w:rPr>
          <w:sz w:val="20"/>
          <w:szCs w:val="20"/>
          <w:color w:val="auto"/>
        </w:rPr>
      </w:pPr>
    </w:p>
    <w:p>
      <w:pPr>
        <w:ind w:right="20" w:firstLine="374"/>
        <w:spacing w:after="0" w:line="229" w:lineRule="auto"/>
        <w:rPr>
          <w:sz w:val="20"/>
          <w:szCs w:val="20"/>
          <w:color w:val="auto"/>
        </w:rPr>
      </w:pPr>
      <w:r>
        <w:rPr>
          <w:rFonts w:ascii="Times New Roman" w:cs="Times New Roman" w:eastAsia="Times New Roman" w:hAnsi="Times New Roman"/>
          <w:sz w:val="14"/>
          <w:szCs w:val="14"/>
          <w:color w:val="auto"/>
        </w:rPr>
        <w:t>We receive distributions from our investments in the most junior class of securities of CLO Funds (typically preferred shares or subordinated securities). Our CLO Fund junior class securities are subordinated to senior note holders who typically receive a return on their investment at a fixed spread relative to the SOFR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72" w:lineRule="exact"/>
        <w:rPr>
          <w:sz w:val="20"/>
          <w:szCs w:val="20"/>
          <w:color w:val="auto"/>
        </w:rPr>
      </w:pPr>
    </w:p>
    <w:p>
      <w:pPr>
        <w:ind w:firstLine="374"/>
        <w:spacing w:after="0" w:line="231" w:lineRule="auto"/>
        <w:rPr>
          <w:sz w:val="20"/>
          <w:szCs w:val="20"/>
          <w:color w:val="auto"/>
        </w:rPr>
      </w:pPr>
      <w:r>
        <w:rPr>
          <w:rFonts w:ascii="Times New Roman" w:cs="Times New Roman" w:eastAsia="Times New Roman" w:hAnsi="Times New Roman"/>
          <w:sz w:val="14"/>
          <w:szCs w:val="14"/>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us during the period. For U.S. tax purposes, these CLO equity investments are treated as PFICs. Taxable income is provided on a PFIC statement, where income and capital gains are determined based on the U.S. shareholder's proportionate ownership of the PFIC.</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non-junior class CLO Fund Securities interest is earned at a fixed spread relative to the SOFR index.</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Payment in Kind Interest</w:t>
      </w:r>
    </w:p>
    <w:p>
      <w:pPr>
        <w:spacing w:after="0" w:line="100" w:lineRule="exact"/>
        <w:rPr>
          <w:sz w:val="20"/>
          <w:szCs w:val="20"/>
          <w:color w:val="auto"/>
        </w:rPr>
      </w:pPr>
    </w:p>
    <w:p>
      <w:pPr>
        <w:ind w:right="140" w:firstLine="374"/>
        <w:spacing w:after="0" w:line="241" w:lineRule="auto"/>
        <w:rPr>
          <w:sz w:val="20"/>
          <w:szCs w:val="20"/>
          <w:color w:val="auto"/>
        </w:rPr>
      </w:pPr>
      <w:r>
        <w:rPr>
          <w:rFonts w:ascii="Times New Roman" w:cs="Times New Roman" w:eastAsia="Times New Roman" w:hAnsi="Times New Roman"/>
          <w:sz w:val="14"/>
          <w:szCs w:val="14"/>
          <w:color w:val="auto"/>
        </w:rPr>
        <w:t>We may have loans in our portfolio that contain a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we have not yet collected any cash.</w:t>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Fees and other income</w:t>
      </w:r>
    </w:p>
    <w:p>
      <w:pPr>
        <w:spacing w:after="0" w:line="100" w:lineRule="exact"/>
        <w:rPr>
          <w:sz w:val="20"/>
          <w:szCs w:val="20"/>
          <w:color w:val="auto"/>
        </w:rPr>
      </w:pPr>
    </w:p>
    <w:p>
      <w:pPr>
        <w:ind w:right="120" w:firstLine="374"/>
        <w:spacing w:after="0" w:line="236" w:lineRule="auto"/>
        <w:rPr>
          <w:sz w:val="20"/>
          <w:szCs w:val="20"/>
          <w:color w:val="auto"/>
        </w:rPr>
      </w:pPr>
      <w:r>
        <w:rPr>
          <w:rFonts w:ascii="Times New Roman" w:cs="Times New Roman" w:eastAsia="Times New Roman" w:hAnsi="Times New Roman"/>
          <w:sz w:val="14"/>
          <w:szCs w:val="14"/>
          <w:color w:val="auto"/>
        </w:rPr>
        <w:t>Origination fees (to the extent services are performed to earn such income upon closing), amendment fees, consent fees, and other fees associated with investments in portfolio companies are recognized as income when they are earned. Prepayment penalties received by the Company for debt instruments repaid prior to maturity date are recorded as income upon receipt.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United States Federal Income Taxes</w:t>
      </w:r>
    </w:p>
    <w:p>
      <w:pPr>
        <w:spacing w:after="0" w:line="100" w:lineRule="exact"/>
        <w:rPr>
          <w:sz w:val="20"/>
          <w:szCs w:val="20"/>
          <w:color w:val="auto"/>
        </w:rPr>
      </w:pPr>
    </w:p>
    <w:p>
      <w:pPr>
        <w:ind w:right="140" w:firstLine="374"/>
        <w:spacing w:after="0" w:line="236" w:lineRule="auto"/>
        <w:rPr>
          <w:sz w:val="20"/>
          <w:szCs w:val="20"/>
          <w:color w:val="auto"/>
        </w:rPr>
      </w:pPr>
      <w:r>
        <w:rPr>
          <w:rFonts w:ascii="Times New Roman" w:cs="Times New Roman" w:eastAsia="Times New Roman" w:hAnsi="Times New Roman"/>
          <w:sz w:val="14"/>
          <w:szCs w:val="14"/>
          <w:color w:val="auto"/>
        </w:rPr>
        <w:t>We have elected to be treated as a RIC and intend to continue to qualify for the tax treatment applicable to RICs under Subchapter M of the Code and, among other things, intend to make the required distributions to our stockholders as specified therein. In order to qualify for tax treatment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7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w:t>
      </w:r>
    </w:p>
    <w:p>
      <w:pPr>
        <w:spacing w:after="0" w:line="98" w:lineRule="exact"/>
        <w:rPr>
          <w:sz w:val="20"/>
          <w:szCs w:val="20"/>
          <w:color w:val="auto"/>
        </w:rPr>
      </w:pPr>
    </w:p>
    <w:p>
      <w:pPr>
        <w:jc w:val="both"/>
        <w:ind w:right="60" w:firstLine="374"/>
        <w:spacing w:after="0" w:line="241" w:lineRule="auto"/>
        <w:rPr>
          <w:sz w:val="20"/>
          <w:szCs w:val="20"/>
          <w:color w:val="auto"/>
        </w:rPr>
      </w:pPr>
      <w:r>
        <w:rPr>
          <w:rFonts w:ascii="Times New Roman" w:cs="Times New Roman" w:eastAsia="Times New Roman" w:hAnsi="Times New Roman"/>
          <w:sz w:val="14"/>
          <w:szCs w:val="14"/>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98" w:lineRule="exact"/>
        <w:rPr>
          <w:sz w:val="20"/>
          <w:szCs w:val="20"/>
          <w:color w:val="auto"/>
        </w:rPr>
      </w:pPr>
    </w:p>
    <w:p>
      <w:pPr>
        <w:jc w:val="both"/>
        <w:ind w:right="60" w:firstLine="374"/>
        <w:spacing w:after="0" w:line="236" w:lineRule="auto"/>
        <w:rPr>
          <w:sz w:val="20"/>
          <w:szCs w:val="20"/>
          <w:color w:val="auto"/>
        </w:rPr>
      </w:pPr>
      <w:r>
        <w:rPr>
          <w:rFonts w:ascii="Times New Roman" w:cs="Times New Roman" w:eastAsia="Times New Roman" w:hAnsi="Times New Roman"/>
          <w:sz w:val="14"/>
          <w:szCs w:val="14"/>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w:t>
      </w:r>
    </w:p>
    <w:p>
      <w:pPr>
        <w:spacing w:after="0" w:line="69" w:lineRule="exact"/>
        <w:rPr>
          <w:sz w:val="20"/>
          <w:szCs w:val="20"/>
          <w:color w:val="auto"/>
        </w:rPr>
      </w:pPr>
    </w:p>
    <w:p>
      <w:pPr>
        <w:ind w:right="100" w:firstLine="374"/>
        <w:spacing w:after="0" w:line="236" w:lineRule="auto"/>
        <w:rPr>
          <w:sz w:val="20"/>
          <w:szCs w:val="20"/>
          <w:color w:val="auto"/>
        </w:rPr>
      </w:pPr>
      <w:r>
        <w:rPr>
          <w:rFonts w:ascii="Times New Roman" w:cs="Times New Roman" w:eastAsia="Times New Roman" w:hAnsi="Times New Roman"/>
          <w:sz w:val="14"/>
          <w:szCs w:val="14"/>
          <w:color w:val="auto"/>
        </w:rPr>
        <w:t>Our investment income is affected by fluctuations in various interest rates, including SOFR and prime rates. As of June 30, 2024, approximately 88.1% of our Debt Securities Portfolio were either floating rate with a spread to an interest rate index such as SOFR or the prime rate. 81.6% of these floating rate loans contain floors ranging between 0.50% and 3.25%. We generally expect that future portfolio investments will predominately be floating rate investments. As of June 30, 2024, we had $285.1 million (par value) of borrowings outstanding at a current weighted average interest rate of 6.9%, of which $108.0 million par value had a fixed rate and $177.1 million par value has a floating rate.</w:t>
      </w:r>
    </w:p>
    <w:p>
      <w:pPr>
        <w:spacing w:after="0" w:line="69" w:lineRule="exact"/>
        <w:rPr>
          <w:sz w:val="20"/>
          <w:szCs w:val="20"/>
          <w:color w:val="auto"/>
        </w:rPr>
      </w:pPr>
    </w:p>
    <w:p>
      <w:pPr>
        <w:ind w:right="60" w:firstLine="374"/>
        <w:spacing w:after="0" w:line="241" w:lineRule="auto"/>
        <w:rPr>
          <w:sz w:val="20"/>
          <w:szCs w:val="20"/>
          <w:color w:val="auto"/>
        </w:rPr>
      </w:pPr>
      <w:r>
        <w:rPr>
          <w:rFonts w:ascii="Times New Roman" w:cs="Times New Roman" w:eastAsia="Times New Roman" w:hAnsi="Times New Roman"/>
          <w:sz w:val="14"/>
          <w:szCs w:val="14"/>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fixed rate borrowings would remain the same, while the interest rate on borrowings under the Revolving Credit Facility would fluctuate with changes in interest rates.</w:t>
      </w:r>
    </w:p>
    <w:p>
      <w:pPr>
        <w:spacing w:after="0" w:line="69" w:lineRule="exact"/>
        <w:rPr>
          <w:sz w:val="20"/>
          <w:szCs w:val="20"/>
          <w:color w:val="auto"/>
        </w:rPr>
      </w:pPr>
    </w:p>
    <w:p>
      <w:pPr>
        <w:ind w:right="240" w:firstLine="374"/>
        <w:spacing w:after="0" w:line="261" w:lineRule="auto"/>
        <w:rPr>
          <w:sz w:val="20"/>
          <w:szCs w:val="20"/>
          <w:color w:val="auto"/>
        </w:rPr>
      </w:pPr>
      <w:r>
        <w:rPr>
          <w:rFonts w:ascii="Times New Roman" w:cs="Times New Roman" w:eastAsia="Times New Roman" w:hAnsi="Times New Roman"/>
          <w:sz w:val="14"/>
          <w:szCs w:val="14"/>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0" w:name="page61"/>
    <w:bookmarkEnd w:id="60"/>
    <w:p>
      <w:pPr>
        <w:ind w:right="120" w:firstLine="374"/>
        <w:spacing w:after="0" w:line="241" w:lineRule="auto"/>
        <w:rPr>
          <w:sz w:val="20"/>
          <w:szCs w:val="20"/>
          <w:color w:val="auto"/>
        </w:rPr>
      </w:pPr>
      <w:r>
        <w:rPr>
          <w:rFonts w:ascii="Times New Roman" w:cs="Times New Roman" w:eastAsia="Times New Roman" w:hAnsi="Times New Roman"/>
          <w:sz w:val="14"/>
          <w:szCs w:val="14"/>
          <w:color w:val="auto"/>
        </w:rPr>
        <w:t>We have analyzed the potential impact of changes in interest rates on interest income net of interest expense. Assuming that our balance sheet at June 30, 2024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60" w:type="dxa"/>
            <w:vAlign w:val="bottom"/>
            <w:gridSpan w:val="5"/>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Impact on net investment income from</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7"/>
        </w:trPr>
        <w:tc>
          <w:tcPr>
            <w:tcW w:w="5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60" w:type="dxa"/>
            <w:vAlign w:val="bottom"/>
            <w:gridSpan w:val="5"/>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 change in interest rates at:</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69"/>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6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w:t>
            </w:r>
          </w:p>
        </w:tc>
        <w:tc>
          <w:tcPr>
            <w:tcW w:w="90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3%</w:t>
            </w:r>
          </w:p>
        </w:tc>
      </w:tr>
      <w:tr>
        <w:trPr>
          <w:trHeight w:val="16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Increase in interest rate</w:t>
            </w:r>
          </w:p>
        </w:tc>
        <w:tc>
          <w:tcPr>
            <w:tcW w:w="1460" w:type="dxa"/>
            <w:vAlign w:val="bottom"/>
            <w:shd w:val="clear" w:color="auto" w:fill="CFF0FC"/>
          </w:tcPr>
          <w:p>
            <w:pPr>
              <w:jc w:val="right"/>
              <w:ind w:right="13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1,764</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3,528</w:t>
            </w: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5,292</w:t>
            </w:r>
          </w:p>
        </w:tc>
      </w:tr>
      <w:tr>
        <w:trPr>
          <w:trHeight w:val="188"/>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 interest rate</w:t>
            </w:r>
          </w:p>
        </w:tc>
        <w:tc>
          <w:tcPr>
            <w:tcW w:w="1460" w:type="dxa"/>
            <w:vAlign w:val="bottom"/>
          </w:tcPr>
          <w:p>
            <w:pPr>
              <w:jc w:val="right"/>
              <w:ind w:right="13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(1,764 )</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(3,528 )</w:t>
            </w:r>
          </w:p>
        </w:tc>
        <w:tc>
          <w:tcPr>
            <w:tcW w:w="24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4886960</wp:posOffset>
            </wp:positionH>
            <wp:positionV relativeFrom="paragraph">
              <wp:posOffset>-371475</wp:posOffset>
            </wp:positionV>
            <wp:extent cx="154305"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-371475</wp:posOffset>
            </wp:positionV>
            <wp:extent cx="179705" cy="154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79705" cy="154305"/>
                    </a:xfrm>
                    <a:prstGeom prst="rect">
                      <a:avLst/>
                    </a:prstGeom>
                    <a:noFill/>
                  </pic:spPr>
                </pic:pic>
              </a:graphicData>
            </a:graphic>
          </wp:anchor>
        </w:drawing>
      </w:r>
    </w:p>
    <w:p>
      <w:pPr>
        <w:spacing w:after="0" w:line="269" w:lineRule="exact"/>
        <w:rPr>
          <w:sz w:val="20"/>
          <w:szCs w:val="20"/>
          <w:color w:val="auto"/>
        </w:rPr>
      </w:pPr>
    </w:p>
    <w:p>
      <w:pPr>
        <w:ind w:right="240" w:firstLine="374"/>
        <w:spacing w:after="0" w:line="261" w:lineRule="auto"/>
        <w:rPr>
          <w:sz w:val="20"/>
          <w:szCs w:val="20"/>
          <w:color w:val="auto"/>
        </w:rPr>
      </w:pPr>
      <w:r>
        <w:rPr>
          <w:rFonts w:ascii="Times New Roman" w:cs="Times New Roman" w:eastAsia="Times New Roman" w:hAnsi="Times New Roman"/>
          <w:sz w:val="14"/>
          <w:szCs w:val="14"/>
          <w:color w:val="auto"/>
        </w:rPr>
        <w:t>As shown above, net investment income assuming a 1% increase in interest rates would increase by approximately $1.8 million on an annualized basis. If the increase in rates was more significant, such as 2% or 3%, the net effect on net investment income would be an increase of approximately $3.5 million and $5.3 million, respectively.</w:t>
      </w:r>
    </w:p>
    <w:p>
      <w:pPr>
        <w:spacing w:after="0" w:line="55" w:lineRule="exact"/>
        <w:rPr>
          <w:sz w:val="20"/>
          <w:szCs w:val="20"/>
          <w:color w:val="auto"/>
        </w:rPr>
      </w:pPr>
    </w:p>
    <w:p>
      <w:pPr>
        <w:ind w:right="100" w:firstLine="374"/>
        <w:spacing w:after="0" w:line="241" w:lineRule="auto"/>
        <w:rPr>
          <w:sz w:val="20"/>
          <w:szCs w:val="20"/>
          <w:color w:val="auto"/>
        </w:rPr>
      </w:pPr>
      <w:r>
        <w:rPr>
          <w:rFonts w:ascii="Times New Roman" w:cs="Times New Roman" w:eastAsia="Times New Roman" w:hAnsi="Times New Roman"/>
          <w:sz w:val="14"/>
          <w:szCs w:val="14"/>
          <w:color w:val="auto"/>
        </w:rPr>
        <w:t>On an annualized basis, a decrease in interest rates of 1% would result in a decrease in net investment income of approximately $1.8 million. A decrease in interest rates of 2% and 3% would result in a decrease in net investment income of approximately $3.5 million and $5.3 million, respectively. The effect on net investment income from declines in interest rates is impacted by interest rate floors on certain of our floating rate investments, as there is no floor on our floating rate debt facility and the 2018-2 Secured Notes.</w:t>
      </w:r>
    </w:p>
    <w:p>
      <w:pPr>
        <w:spacing w:after="0" w:line="69"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14"/>
          <w:szCs w:val="14"/>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Portfolio Valuation</w:t>
      </w:r>
    </w:p>
    <w:p>
      <w:pPr>
        <w:spacing w:after="0" w:line="98" w:lineRule="exact"/>
        <w:rPr>
          <w:sz w:val="20"/>
          <w:szCs w:val="20"/>
          <w:color w:val="auto"/>
        </w:rPr>
      </w:pPr>
    </w:p>
    <w:p>
      <w:pPr>
        <w:ind w:right="40" w:firstLine="374"/>
        <w:spacing w:after="0" w:line="228" w:lineRule="auto"/>
        <w:rPr>
          <w:sz w:val="20"/>
          <w:szCs w:val="20"/>
          <w:color w:val="auto"/>
        </w:rPr>
      </w:pPr>
      <w:r>
        <w:rPr>
          <w:rFonts w:ascii="Times New Roman" w:cs="Times New Roman" w:eastAsia="Times New Roman" w:hAnsi="Times New Roman"/>
          <w:sz w:val="14"/>
          <w:szCs w:val="14"/>
          <w:color w:val="auto"/>
        </w:rPr>
        <w:t>We carry our investments at fair value, as determined in good faith by our Adviser pursuant to valuation procedures approved by our Board. Investments for which market quotations are generally readily available are generally valued at such market quotations. Investments for which there is not a readily available market value are valued at fair value as determined in good faith by our Adviser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73" w:lineRule="exact"/>
        <w:rPr>
          <w:sz w:val="20"/>
          <w:szCs w:val="20"/>
          <w:color w:val="auto"/>
        </w:rPr>
      </w:pPr>
    </w:p>
    <w:p>
      <w:pPr>
        <w:ind w:firstLine="374"/>
        <w:spacing w:after="0" w:line="236" w:lineRule="auto"/>
        <w:rPr>
          <w:sz w:val="20"/>
          <w:szCs w:val="20"/>
          <w:color w:val="auto"/>
        </w:rPr>
      </w:pPr>
      <w:r>
        <w:rPr>
          <w:rFonts w:ascii="Times New Roman" w:cs="Times New Roman" w:eastAsia="Times New Roman" w:hAnsi="Times New Roman"/>
          <w:sz w:val="14"/>
          <w:szCs w:val="14"/>
          <w:color w:val="auto"/>
        </w:rPr>
        <w:t>The Adviser has engaged an independent valuation firm to provide third party valuation consulting services. Each quarter, the independent valuation firm will perform third party valuations on the Company’s material investments in illiquid securities such that they are reviewed at least once during a trailing 12-month period. These third-party valuation estimates were considered as one of the relevant data inputs in the Company’s determination of fair value. The Adviser intends to continue to engage an independent valuation firm in the future to provide certain valuation services, including the review of certain portfolio assets, as part of the quarterly and annual year-end valuation process.</w:t>
      </w:r>
    </w:p>
    <w:p>
      <w:pPr>
        <w:spacing w:after="0" w:line="17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Changes in and Disagreements with Accountants on Accounting and Financial Disclosure</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0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tab/>
        <w:t>Controls and Procedures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00" w:lineRule="exact"/>
        <w:rPr>
          <w:sz w:val="20"/>
          <w:szCs w:val="20"/>
          <w:color w:val="auto"/>
        </w:rPr>
      </w:pPr>
    </w:p>
    <w:p>
      <w:pPr>
        <w:ind w:right="80" w:firstLine="374"/>
        <w:spacing w:after="0" w:line="231" w:lineRule="auto"/>
        <w:rPr>
          <w:sz w:val="20"/>
          <w:szCs w:val="20"/>
          <w:color w:val="auto"/>
        </w:rPr>
      </w:pPr>
      <w:r>
        <w:rPr>
          <w:rFonts w:ascii="Times New Roman" w:cs="Times New Roman" w:eastAsia="Times New Roman" w:hAnsi="Times New Roman"/>
          <w:sz w:val="14"/>
          <w:szCs w:val="14"/>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to ensure that information required to be disclosed by us in reports that we file or submit under the Exchange Acts recorded, processed, summarized, and reported within the time periods specified in the SEC’s rules and forms, and that information required to be disclosed by us in the reports that we file or submit under the Exchange Act is accumulated and communicated to our management, including our CEO and CFO, as appropriate to allow timely decisions regarding required disclosures as of the end of the period covered by this report.</w:t>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00" w:lineRule="exact"/>
        <w:rPr>
          <w:sz w:val="20"/>
          <w:szCs w:val="20"/>
          <w:color w:val="auto"/>
        </w:rPr>
      </w:pPr>
    </w:p>
    <w:p>
      <w:pPr>
        <w:ind w:right="380" w:firstLine="374"/>
        <w:spacing w:after="0" w:line="261"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during the quarter ended June 30, 2024 that have materially affected, or are reasonably likely to materially affect, our internal control over financial reporting.</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1" w:name="page62"/>
    <w:bookmarkEnd w:id="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is not currently a party to any material legal proceedings except as set forth below.</w:t>
      </w:r>
    </w:p>
    <w:p>
      <w:pPr>
        <w:spacing w:after="0" w:line="96" w:lineRule="exact"/>
        <w:rPr>
          <w:sz w:val="20"/>
          <w:szCs w:val="20"/>
          <w:color w:val="auto"/>
        </w:rPr>
      </w:pPr>
    </w:p>
    <w:p>
      <w:pPr>
        <w:ind w:firstLine="374"/>
        <w:spacing w:after="0" w:line="236" w:lineRule="auto"/>
        <w:rPr>
          <w:sz w:val="20"/>
          <w:szCs w:val="20"/>
          <w:color w:val="auto"/>
        </w:rPr>
      </w:pPr>
      <w:r>
        <w:rPr>
          <w:rFonts w:ascii="Times New Roman" w:cs="Times New Roman" w:eastAsia="Times New Roman" w:hAnsi="Times New Roman"/>
          <w:sz w:val="14"/>
          <w:szCs w:val="14"/>
          <w:color w:val="auto"/>
        </w:rPr>
        <w:t>HCAP and certain of its officers and directors as well as JMP Group LLC were named as defendants in two putative stockholder class action lawsuits, both filed in the Court of Chancery in the State of Delaware, captioned Stewart Thompson v. Joseph Jolson, et al., Case No. 2021-0164 and Ronald Tornese v. Joseph Jolson, et al., Case No. 2021-0167 (the “Delaware Actions”). The complaints in the Delaware Actions allege certain breaches of fiduciary duties against the defendants as well as aiding and abetting claims against JMP Group LLC and HCAP’s Chief Executive Officer concerning HCAP’s proposed merger with the Company and Acquisition Sub that resulted in the merger with and into the Company.</w:t>
      </w:r>
    </w:p>
    <w:p>
      <w:pPr>
        <w:spacing w:after="0" w:line="69" w:lineRule="exact"/>
        <w:rPr>
          <w:sz w:val="20"/>
          <w:szCs w:val="20"/>
          <w:color w:val="auto"/>
        </w:rPr>
      </w:pPr>
    </w:p>
    <w:p>
      <w:pPr>
        <w:ind w:right="80" w:firstLine="374"/>
        <w:spacing w:after="0" w:line="236" w:lineRule="auto"/>
        <w:rPr>
          <w:sz w:val="20"/>
          <w:szCs w:val="20"/>
          <w:color w:val="auto"/>
        </w:rPr>
      </w:pPr>
      <w:r>
        <w:rPr>
          <w:rFonts w:ascii="Times New Roman" w:cs="Times New Roman" w:eastAsia="Times New Roman" w:hAnsi="Times New Roman"/>
          <w:sz w:val="14"/>
          <w:szCs w:val="14"/>
          <w:color w:val="auto"/>
        </w:rPr>
        <w:t>On June 9, 2021, HCAP merged with and into the Company with the Company as the surviving corporation. As a result, the Company became responsible for any claims against HCAP as well as for any advancement and/or indemnification owed to the former officers and directors of HCAP. On or about May 10, 2022, plaintiffs in the Delaware Actions filed a consolidated amended complaint seeking damages against defendants for allegedly breaching their fiduciary duties in connection with the proposed merger. On or about May 31, 2022, defendants moved to dismiss the Delaware Actions.</w:t>
      </w:r>
    </w:p>
    <w:p>
      <w:pPr>
        <w:spacing w:after="0" w:line="69"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4"/>
          <w:szCs w:val="14"/>
          <w:color w:val="auto"/>
        </w:rPr>
        <w:t>Thereafter, in December 2022, plaintiffs in the Delaware Actions again amended their complaint, and defendants again moved to dismiss the Delaware Action. On June 7, 2023, the Court heard oral argument on defendants’ motions to dismiss. The Court dismissed all claims against HCAP’s former independent directors but denied the motions of the remaining defendants.</w:t>
      </w:r>
    </w:p>
    <w:p>
      <w:pPr>
        <w:spacing w:after="0" w:line="55" w:lineRule="exact"/>
        <w:rPr>
          <w:sz w:val="20"/>
          <w:szCs w:val="20"/>
          <w:color w:val="auto"/>
        </w:rPr>
      </w:pPr>
    </w:p>
    <w:p>
      <w:pPr>
        <w:ind w:right="140" w:firstLine="374"/>
        <w:spacing w:after="0" w:line="241" w:lineRule="auto"/>
        <w:rPr>
          <w:sz w:val="20"/>
          <w:szCs w:val="20"/>
          <w:color w:val="auto"/>
        </w:rPr>
      </w:pPr>
      <w:r>
        <w:rPr>
          <w:rFonts w:ascii="Times New Roman" w:cs="Times New Roman" w:eastAsia="Times New Roman" w:hAnsi="Times New Roman"/>
          <w:sz w:val="14"/>
          <w:szCs w:val="14"/>
          <w:color w:val="auto"/>
        </w:rPr>
        <w:t>On February 26, 2024, the parties in the Delaware Actions entered into a stipulation of settlement pursuant to which all claims will be dismissed with prejudice, subject to approval by the Court. On July 2, 2024, the Court held a settlement hearing and approved the settlement. The claims asserted against the defendants were dismissed with prejudice. The Company will not be responsible for paying any portion of the settlement amount, either directly or through indemnification of former officers or directors of HCAP.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There have been no material changes during the quarter ended June 30, 2024 to the risk factors that were included in our Annual Report on Form 10-K for the year ended December 31,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8" w:lineRule="exact"/>
        <w:rPr>
          <w:sz w:val="20"/>
          <w:szCs w:val="20"/>
          <w:color w:val="auto"/>
        </w:rPr>
      </w:pPr>
    </w:p>
    <w:p>
      <w:pPr>
        <w:ind w:right="60" w:firstLine="374"/>
        <w:spacing w:after="0" w:line="236" w:lineRule="auto"/>
        <w:rPr>
          <w:sz w:val="20"/>
          <w:szCs w:val="20"/>
          <w:color w:val="auto"/>
        </w:rPr>
      </w:pPr>
      <w:r>
        <w:rPr>
          <w:rFonts w:ascii="Times New Roman" w:cs="Times New Roman" w:eastAsia="Times New Roman" w:hAnsi="Times New Roman"/>
          <w:sz w:val="14"/>
          <w:szCs w:val="14"/>
          <w:color w:val="auto"/>
        </w:rPr>
        <w:t>Other than the shares issued pursuant to our dividend reinvestment plan (“DRIP”), we did not engage in any sales of unregistered securities during the six months ended June 30, 2024, except as previously reported by us on our current reports on Form 8-K. We issued a total of 8,100 shares of common stock under our dividend reinvestment plan (“DRIP”) during the six months ended June 30, 2024 . This issuance was not subject to the registration requirements of the Securities Act. For the six months ended June 30, 2024, the aggregate value of the shares of our common stock issued under our DRIP was approximately $0.2 million.</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information regarding recent repurchases of shares of our common stock.</w:t>
      </w:r>
    </w:p>
    <w:tbl>
      <w:tblPr>
        <w:tblLayout w:type="fixed"/>
        <w:tblInd w:w="0" w:type="dxa"/>
        <w:tblCellMar>
          <w:top w:w="0" w:type="dxa"/>
          <w:left w:w="0" w:type="dxa"/>
          <w:bottom w:w="0" w:type="dxa"/>
          <w:right w:w="0" w:type="dxa"/>
        </w:tblCellMar>
      </w:tblPr>
      <w:tr>
        <w:trPr>
          <w:trHeight w:val="148"/>
        </w:trPr>
        <w:tc>
          <w:tcPr>
            <w:tcW w:w="4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150"/>
              <w:spacing w:after="0" w:line="147"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8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3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8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98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60" w:type="dxa"/>
            <w:vAlign w:val="bottom"/>
          </w:tcPr>
          <w:p>
            <w:pPr>
              <w:spacing w:after="0"/>
              <w:rPr>
                <w:sz w:val="12"/>
                <w:szCs w:val="12"/>
                <w:color w:val="auto"/>
              </w:rPr>
            </w:pPr>
          </w:p>
        </w:tc>
        <w:tc>
          <w:tcPr>
            <w:tcW w:w="1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800" w:type="dxa"/>
            <w:vAlign w:val="bottom"/>
            <w:tcBorders>
              <w:bottom w:val="single" w:sz="8" w:color="auto"/>
            </w:tcBorders>
          </w:tcPr>
          <w:p>
            <w:pPr>
              <w:jc w:val="right"/>
              <w:ind w:right="56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980" w:type="dxa"/>
            <w:vAlign w:val="bottom"/>
            <w:tcBorders>
              <w:bottom w:val="single" w:sz="8" w:color="auto"/>
            </w:tcBorders>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Programs</w:t>
            </w:r>
            <w:r>
              <w:rPr>
                <w:rFonts w:ascii="Times New Roman" w:cs="Times New Roman" w:eastAsia="Times New Roman" w:hAnsi="Times New Roman"/>
                <w:sz w:val="17"/>
                <w:szCs w:val="17"/>
                <w:b w:val="1"/>
                <w:bCs w:val="1"/>
                <w:color w:val="auto"/>
                <w:vertAlign w:val="superscript"/>
              </w:rPr>
              <w:t>(1)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0" w:type="dxa"/>
            <w:vAlign w:val="bottom"/>
          </w:tcPr>
          <w:p>
            <w:pPr>
              <w:spacing w:after="0"/>
              <w:rPr>
                <w:sz w:val="1"/>
                <w:szCs w:val="1"/>
                <w:color w:val="auto"/>
              </w:rPr>
            </w:pPr>
          </w:p>
        </w:tc>
      </w:tr>
      <w:tr>
        <w:trPr>
          <w:trHeight w:val="16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January 1, 2024 through January 31, 2024</w:t>
            </w:r>
          </w:p>
        </w:tc>
        <w:tc>
          <w:tcPr>
            <w:tcW w:w="18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38,735</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18.58</w:t>
            </w:r>
          </w:p>
        </w:tc>
        <w:tc>
          <w:tcPr>
            <w:tcW w:w="19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38,735</w:t>
            </w:r>
          </w:p>
        </w:tc>
        <w:tc>
          <w:tcPr>
            <w:tcW w:w="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5,600</w:t>
            </w: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 2024 through February 28, 2024</w:t>
            </w:r>
          </w:p>
        </w:tc>
        <w:tc>
          <w:tcPr>
            <w:tcW w:w="1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5,657</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19.01</w:t>
            </w:r>
          </w:p>
        </w:tc>
        <w:tc>
          <w:tcPr>
            <w:tcW w:w="19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5,657</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5,493</w:t>
            </w: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March 1, 2024 though March 31, 2024</w:t>
            </w:r>
          </w:p>
        </w:tc>
        <w:tc>
          <w:tcPr>
            <w:tcW w:w="18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6,623</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26.73</w:t>
            </w:r>
          </w:p>
        </w:tc>
        <w:tc>
          <w:tcPr>
            <w:tcW w:w="19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6,623</w:t>
            </w:r>
          </w:p>
        </w:tc>
        <w:tc>
          <w:tcPr>
            <w:tcW w:w="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9,823</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1, 2024 through April 30, 2024</w:t>
            </w:r>
          </w:p>
        </w:tc>
        <w:tc>
          <w:tcPr>
            <w:tcW w:w="1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27,609</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19.23</w:t>
            </w:r>
          </w:p>
        </w:tc>
        <w:tc>
          <w:tcPr>
            <w:tcW w:w="19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27,609</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9,292</w:t>
            </w:r>
          </w:p>
        </w:tc>
        <w:tc>
          <w:tcPr>
            <w:tcW w:w="0" w:type="dxa"/>
            <w:vAlign w:val="bottom"/>
          </w:tcPr>
          <w:p>
            <w:pPr>
              <w:spacing w:after="0"/>
              <w:rPr>
                <w:sz w:val="1"/>
                <w:szCs w:val="1"/>
                <w:color w:val="auto"/>
              </w:rPr>
            </w:pPr>
          </w:p>
        </w:tc>
      </w:tr>
      <w:tr>
        <w:trPr>
          <w:trHeight w:val="175"/>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May 1, 2024 through May 31, 2024</w:t>
            </w:r>
          </w:p>
        </w:tc>
        <w:tc>
          <w:tcPr>
            <w:tcW w:w="18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27,799</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19.76</w:t>
            </w:r>
          </w:p>
        </w:tc>
        <w:tc>
          <w:tcPr>
            <w:tcW w:w="19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27,799</w:t>
            </w:r>
          </w:p>
        </w:tc>
        <w:tc>
          <w:tcPr>
            <w:tcW w:w="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8,743</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1, 2024 through June 30, 2024</w:t>
            </w:r>
          </w:p>
        </w:tc>
        <w:tc>
          <w:tcPr>
            <w:tcW w:w="1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24,314</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19.48</w:t>
            </w:r>
          </w:p>
        </w:tc>
        <w:tc>
          <w:tcPr>
            <w:tcW w:w="19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24,314</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8,269</w:t>
            </w:r>
          </w:p>
        </w:tc>
        <w:tc>
          <w:tcPr>
            <w:tcW w:w="0" w:type="dxa"/>
            <w:vAlign w:val="bottom"/>
          </w:tcPr>
          <w:p>
            <w:pPr>
              <w:spacing w:after="0"/>
              <w:rPr>
                <w:sz w:val="1"/>
                <w:szCs w:val="1"/>
                <w:color w:val="auto"/>
              </w:rPr>
            </w:pPr>
          </w:p>
        </w:tc>
      </w:tr>
      <w:tr>
        <w:trPr>
          <w:trHeight w:val="169"/>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130,737</w:t>
            </w:r>
          </w:p>
        </w:tc>
        <w:tc>
          <w:tcPr>
            <w:tcW w:w="160" w:type="dxa"/>
            <w:vAlign w:val="bottom"/>
            <w:tcBorders>
              <w:bottom w:val="single" w:sz="8" w:color="CFF0FC"/>
            </w:tcBorders>
            <w:shd w:val="clear" w:color="auto" w:fill="CFF0FC"/>
          </w:tcPr>
          <w:p>
            <w:pPr>
              <w:spacing w:after="0"/>
              <w:rPr>
                <w:sz w:val="14"/>
                <w:szCs w:val="14"/>
                <w:color w:val="auto"/>
              </w:rPr>
            </w:pPr>
          </w:p>
        </w:tc>
        <w:tc>
          <w:tcPr>
            <w:tcW w:w="1300" w:type="dxa"/>
            <w:vAlign w:val="bottom"/>
            <w:tcBorders>
              <w:bottom w:val="single" w:sz="8" w:color="CFF0FC"/>
            </w:tcBorders>
            <w:shd w:val="clear" w:color="auto" w:fill="CFF0FC"/>
          </w:tcPr>
          <w:p>
            <w:pPr>
              <w:spacing w:after="0"/>
              <w:rPr>
                <w:sz w:val="14"/>
                <w:szCs w:val="14"/>
                <w:color w:val="auto"/>
              </w:rPr>
            </w:pPr>
          </w:p>
        </w:tc>
        <w:tc>
          <w:tcPr>
            <w:tcW w:w="198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130,737</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5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-7620</wp:posOffset>
            </wp:positionV>
            <wp:extent cx="85725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1111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ind w:left="380" w:right="120" w:hanging="372"/>
        <w:spacing w:after="0" w:line="242" w:lineRule="auto"/>
        <w:tabs>
          <w:tab w:leader="none" w:pos="3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6, 2023, the Board of Directors of the Company approved a $10 million stock repurchase program for an approximately one-year period, effective March 6, 2023 and terminating on March 31, 2024. Under this repurchase program, shares could be repurchased from time to time in open market transactions, in privately negotiated transactions or otherwise subject to any law or agreement to which we were party including any restrictions under the 1940 Act and in the indentures for our debt securities. On March 11, 2024, the Board of Directors of the Company authorized a renewed stock repurchase program of up to $10 million (the “Renewed Stock Repurchase Program”) for an approximately one-year period, effective March 11, 2024 and terminating on March 31, 2025. Under this repurchase program, shares may be repurchased from time to time in open market transactions, in privately negotiated transactions or otherwise subject to any law or agreement to which we are party including any restrictions in the 1940 Act or the indenture for our 4.875% Notes due 2026. The timing and actual number of shares repurchased will depend on a variety of factors, including legal requirements, price, and economic and market conditions. This Renewed Stock Repurchase Program may be suspended or discontinued at any time. Subject to these restrictions, we will selectively pursue opportunities to repurchase shares which are accretive to net asset value per share.</w:t>
      </w:r>
    </w:p>
    <w:p>
      <w:pPr>
        <w:spacing w:after="0" w:line="277"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4"/>
          <w:szCs w:val="14"/>
          <w:color w:val="auto"/>
        </w:rPr>
        <w:t>As permitted by our policies and procedures governing transactions in our securities by our directors, executive officers and other employees, from time to time some of these persons may establish plans or arrangements complying with Rule 10b5-1 under the Exchange Act, and similar plans and arrangements relating to our common stock.</w:t>
      </w:r>
    </w:p>
    <w:p>
      <w:pPr>
        <w:spacing w:after="0" w:line="16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tab/>
        <w:t>Defaults Upon Senior Securities</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0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tab/>
        <w:t>Other Information</w:t>
      </w:r>
    </w:p>
    <w:p>
      <w:pPr>
        <w:spacing w:after="0" w:line="98" w:lineRule="exact"/>
        <w:rPr>
          <w:sz w:val="20"/>
          <w:szCs w:val="20"/>
          <w:color w:val="auto"/>
        </w:rPr>
      </w:pPr>
    </w:p>
    <w:p>
      <w:pPr>
        <w:ind w:right="840" w:firstLine="374"/>
        <w:spacing w:after="0" w:line="261" w:lineRule="auto"/>
        <w:rPr>
          <w:sz w:val="20"/>
          <w:szCs w:val="20"/>
          <w:color w:val="auto"/>
        </w:rPr>
      </w:pPr>
      <w:r>
        <w:rPr>
          <w:rFonts w:ascii="Times New Roman" w:cs="Times New Roman" w:eastAsia="Times New Roman" w:hAnsi="Times New Roman"/>
          <w:sz w:val="14"/>
          <w:szCs w:val="14"/>
          <w:color w:val="auto"/>
        </w:rPr>
        <w:t>During the three months ended June 30, 2024, no director or officer of the Company adopted or terminated a “Rule 10b5-1 trading arrangement” or “non-Rule 10b5-1 trading arrangement,” as each term is defined in Item 408(a) of Regulation S-K.</w:t>
      </w:r>
    </w:p>
    <w:p>
      <w:pPr>
        <w:spacing w:after="0" w:line="16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Reference is made to the Exhibit List filed as a part of this report beginning on page E-1. Each of such exhibits is incorporated by reference herein.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63" w:name="page64"/>
    <w:bookmarkEnd w:id="63"/>
    <w:tbl>
      <w:tblPr>
        <w:tblLayout w:type="fixed"/>
        <w:tblInd w:w="1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40" w:type="dxa"/>
            <w:vAlign w:val="bottom"/>
            <w:gridSpan w:val="14"/>
          </w:tcPr>
          <w:p>
            <w:pPr>
              <w:ind w:left="258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363"/>
        </w:trPr>
        <w:tc>
          <w:tcPr>
            <w:tcW w:w="6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060" w:type="dxa"/>
            <w:vAlign w:val="bottom"/>
            <w:gridSpan w:val="1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6060" w:type="dxa"/>
            <w:vAlign w:val="bottom"/>
            <w:tcBorders>
              <w:bottom w:val="single" w:sz="8" w:color="auto"/>
            </w:tcBorders>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280" w:type="dxa"/>
            <w:vAlign w:val="bottom"/>
            <w:gridSpan w:val="2"/>
          </w:tcPr>
          <w:p>
            <w:pPr>
              <w:ind w:left="20"/>
              <w:spacing w:after="0"/>
              <w:rPr>
                <w:rFonts w:ascii="Times New Roman" w:cs="Times New Roman" w:eastAsia="Times New Roman" w:hAnsi="Times New Roman"/>
                <w:sz w:val="14"/>
                <w:szCs w:val="14"/>
                <w:color w:val="0000FF"/>
              </w:rPr>
            </w:pPr>
            <w:hyperlink r:id="rId387">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2"/>
          </w:tcPr>
          <w:p>
            <w:pPr>
              <w:spacing w:after="0"/>
              <w:rPr>
                <w:rFonts w:ascii="Times New Roman" w:cs="Times New Roman" w:eastAsia="Times New Roman" w:hAnsi="Times New Roman"/>
                <w:sz w:val="14"/>
                <w:szCs w:val="14"/>
                <w:color w:val="0000FF"/>
              </w:rPr>
            </w:pPr>
            <w:hyperlink r:id="rId387">
              <w:r>
                <w:rPr>
                  <w:rFonts w:ascii="Times New Roman" w:cs="Times New Roman" w:eastAsia="Times New Roman" w:hAnsi="Times New Roman"/>
                  <w:sz w:val="14"/>
                  <w:szCs w:val="14"/>
                  <w:color w:val="0000FF"/>
                </w:rPr>
                <w:t>Form of Certificate of Incorporation of Company (incorporated by reference to the Exhibit A included in Pre-Effective Amendment No. 1 on Form N-2, as filed on October 6,</w:t>
              </w:r>
            </w:hyperlink>
          </w:p>
        </w:tc>
        <w:tc>
          <w:tcPr>
            <w:tcW w:w="0" w:type="dxa"/>
            <w:vAlign w:val="bottom"/>
          </w:tcPr>
          <w:p>
            <w:pPr>
              <w:spacing w:after="0"/>
              <w:rPr>
                <w:sz w:val="1"/>
                <w:szCs w:val="1"/>
                <w:color w:val="auto"/>
              </w:rPr>
            </w:pPr>
          </w:p>
        </w:tc>
      </w:tr>
      <w:tr>
        <w:trPr>
          <w:trHeight w:val="128"/>
        </w:trPr>
        <w:tc>
          <w:tcPr>
            <w:tcW w:w="2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40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w w:val="95"/>
              </w:rPr>
            </w:pPr>
            <w:hyperlink r:id="rId387">
              <w:r>
                <w:rPr>
                  <w:rFonts w:ascii="Times New Roman" w:cs="Times New Roman" w:eastAsia="Times New Roman" w:hAnsi="Times New Roman"/>
                  <w:sz w:val="14"/>
                  <w:szCs w:val="14"/>
                  <w:color w:val="0000FF"/>
                  <w:w w:val="95"/>
                </w:rPr>
                <w:t>2006 ).</w:t>
              </w:r>
            </w:hyperlink>
          </w:p>
        </w:tc>
        <w:tc>
          <w:tcPr>
            <w:tcW w:w="20" w:type="dxa"/>
            <w:vAlign w:val="bottom"/>
            <w:tcBorders>
              <w:top w:val="single" w:sz="8" w:color="0000FF"/>
              <w:bottom w:val="single" w:sz="8" w:color="0000EE"/>
            </w:tcBorders>
          </w:tcPr>
          <w:p>
            <w:pPr>
              <w:spacing w:after="0"/>
              <w:rPr>
                <w:sz w:val="11"/>
                <w:szCs w:val="11"/>
                <w:color w:val="auto"/>
              </w:rPr>
            </w:pPr>
          </w:p>
        </w:tc>
        <w:tc>
          <w:tcPr>
            <w:tcW w:w="9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580" w:type="dxa"/>
            <w:vAlign w:val="bottom"/>
            <w:tcBorders>
              <w:top w:val="single" w:sz="8" w:color="0000FF"/>
            </w:tcBorders>
          </w:tcPr>
          <w:p>
            <w:pPr>
              <w:spacing w:after="0"/>
              <w:rPr>
                <w:sz w:val="11"/>
                <w:szCs w:val="11"/>
                <w:color w:val="auto"/>
              </w:rPr>
            </w:pPr>
          </w:p>
        </w:tc>
        <w:tc>
          <w:tcPr>
            <w:tcW w:w="38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300" w:type="dxa"/>
            <w:vAlign w:val="bottom"/>
            <w:gridSpan w:val="3"/>
          </w:tcPr>
          <w:p>
            <w:pPr>
              <w:ind w:left="20"/>
              <w:spacing w:after="0"/>
              <w:rPr>
                <w:rFonts w:ascii="Times New Roman" w:cs="Times New Roman" w:eastAsia="Times New Roman" w:hAnsi="Times New Roman"/>
                <w:sz w:val="14"/>
                <w:szCs w:val="14"/>
                <w:color w:val="0000FF"/>
                <w:w w:val="92"/>
              </w:rPr>
            </w:pPr>
            <w:hyperlink r:id="rId388">
              <w:r>
                <w:rPr>
                  <w:rFonts w:ascii="Times New Roman" w:cs="Times New Roman" w:eastAsia="Times New Roman" w:hAnsi="Times New Roman"/>
                  <w:sz w:val="14"/>
                  <w:szCs w:val="14"/>
                  <w:color w:val="0000FF"/>
                  <w:w w:val="92"/>
                </w:rPr>
                <w:t>3.</w:t>
              </w:r>
              <w:r>
                <w:rPr>
                  <w:rFonts w:ascii="Times New Roman" w:cs="Times New Roman" w:eastAsia="Times New Roman" w:hAnsi="Times New Roman"/>
                  <w:sz w:val="14"/>
                  <w:szCs w:val="14"/>
                  <w:u w:val="single" w:color="auto"/>
                  <w:color w:val="0000FF"/>
                  <w:w w:val="92"/>
                </w:rPr>
                <w:t>1.1</w:t>
              </w:r>
            </w:hyperlink>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2"/>
          </w:tcPr>
          <w:p>
            <w:pPr>
              <w:spacing w:after="0"/>
              <w:rPr>
                <w:rFonts w:ascii="Times New Roman" w:cs="Times New Roman" w:eastAsia="Times New Roman" w:hAnsi="Times New Roman"/>
                <w:sz w:val="14"/>
                <w:szCs w:val="14"/>
                <w:color w:val="0000FF"/>
              </w:rPr>
            </w:pPr>
            <w:hyperlink r:id="rId388">
              <w:r>
                <w:rPr>
                  <w:rFonts w:ascii="Times New Roman" w:cs="Times New Roman" w:eastAsia="Times New Roman" w:hAnsi="Times New Roman"/>
                  <w:sz w:val="14"/>
                  <w:szCs w:val="14"/>
                  <w:color w:val="0000FF"/>
                </w:rPr>
                <w:t>Certificate of Amendment to Certificate of Incorporation of Portman Ridge Finance Corporation (incorporated by reference to Exhibit 3.1 of the Current Report on Form 8-K, as</w:t>
              </w:r>
            </w:hyperlink>
          </w:p>
        </w:tc>
        <w:tc>
          <w:tcPr>
            <w:tcW w:w="0" w:type="dxa"/>
            <w:vAlign w:val="bottom"/>
          </w:tcPr>
          <w:p>
            <w:pPr>
              <w:spacing w:after="0"/>
              <w:rPr>
                <w:sz w:val="1"/>
                <w:szCs w:val="1"/>
                <w:color w:val="auto"/>
              </w:rPr>
            </w:pPr>
          </w:p>
        </w:tc>
      </w:tr>
      <w:tr>
        <w:trPr>
          <w:trHeight w:val="128"/>
        </w:trPr>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388">
              <w:r>
                <w:rPr>
                  <w:rFonts w:ascii="Times New Roman" w:cs="Times New Roman" w:eastAsia="Times New Roman" w:hAnsi="Times New Roman"/>
                  <w:sz w:val="14"/>
                  <w:szCs w:val="14"/>
                  <w:color w:val="0000FF"/>
                </w:rPr>
                <w:t>filed on April 2, 2019).</w:t>
              </w:r>
            </w:hyperlink>
          </w:p>
        </w:tc>
        <w:tc>
          <w:tcPr>
            <w:tcW w:w="20" w:type="dxa"/>
            <w:vAlign w:val="bottom"/>
            <w:tcBorders>
              <w:top w:val="single" w:sz="8" w:color="0000FF"/>
              <w:bottom w:val="single" w:sz="8" w:color="0000EE"/>
            </w:tcBorders>
          </w:tcPr>
          <w:p>
            <w:pPr>
              <w:spacing w:after="0"/>
              <w:rPr>
                <w:sz w:val="11"/>
                <w:szCs w:val="11"/>
                <w:color w:val="auto"/>
              </w:rPr>
            </w:pPr>
          </w:p>
        </w:tc>
        <w:tc>
          <w:tcPr>
            <w:tcW w:w="886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300" w:type="dxa"/>
            <w:vAlign w:val="bottom"/>
            <w:gridSpan w:val="3"/>
          </w:tcPr>
          <w:p>
            <w:pPr>
              <w:ind w:left="20"/>
              <w:spacing w:after="0"/>
              <w:rPr>
                <w:rFonts w:ascii="Times New Roman" w:cs="Times New Roman" w:eastAsia="Times New Roman" w:hAnsi="Times New Roman"/>
                <w:sz w:val="14"/>
                <w:szCs w:val="14"/>
                <w:color w:val="0000FF"/>
                <w:w w:val="92"/>
              </w:rPr>
            </w:pPr>
            <w:hyperlink r:id="rId389">
              <w:r>
                <w:rPr>
                  <w:rFonts w:ascii="Times New Roman" w:cs="Times New Roman" w:eastAsia="Times New Roman" w:hAnsi="Times New Roman"/>
                  <w:sz w:val="14"/>
                  <w:szCs w:val="14"/>
                  <w:color w:val="0000FF"/>
                  <w:w w:val="92"/>
                </w:rPr>
                <w:t>3.</w:t>
              </w:r>
              <w:r>
                <w:rPr>
                  <w:rFonts w:ascii="Times New Roman" w:cs="Times New Roman" w:eastAsia="Times New Roman" w:hAnsi="Times New Roman"/>
                  <w:sz w:val="14"/>
                  <w:szCs w:val="14"/>
                  <w:u w:val="single" w:color="auto"/>
                  <w:color w:val="0000FF"/>
                  <w:w w:val="92"/>
                </w:rPr>
                <w:t>1.2</w:t>
              </w:r>
            </w:hyperlink>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2"/>
          </w:tcPr>
          <w:p>
            <w:pPr>
              <w:spacing w:after="0"/>
              <w:rPr>
                <w:rFonts w:ascii="Times New Roman" w:cs="Times New Roman" w:eastAsia="Times New Roman" w:hAnsi="Times New Roman"/>
                <w:sz w:val="14"/>
                <w:szCs w:val="14"/>
                <w:color w:val="0000FF"/>
              </w:rPr>
            </w:pPr>
            <w:hyperlink r:id="rId389">
              <w:r>
                <w:rPr>
                  <w:rFonts w:ascii="Times New Roman" w:cs="Times New Roman" w:eastAsia="Times New Roman" w:hAnsi="Times New Roman"/>
                  <w:sz w:val="14"/>
                  <w:szCs w:val="14"/>
                  <w:color w:val="0000FF"/>
                </w:rPr>
                <w:t>Certificate of Amendment to Certificate of Incorporation of Portman Ridge Finance Corporation (the Reverse Stock Split Certificate of Amendment) (incorporated by reference to</w:t>
              </w:r>
            </w:hyperlink>
          </w:p>
        </w:tc>
        <w:tc>
          <w:tcPr>
            <w:tcW w:w="0" w:type="dxa"/>
            <w:vAlign w:val="bottom"/>
          </w:tcPr>
          <w:p>
            <w:pPr>
              <w:spacing w:after="0"/>
              <w:rPr>
                <w:sz w:val="1"/>
                <w:szCs w:val="1"/>
                <w:color w:val="auto"/>
              </w:rPr>
            </w:pPr>
          </w:p>
        </w:tc>
      </w:tr>
      <w:tr>
        <w:trPr>
          <w:trHeight w:val="128"/>
        </w:trPr>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80" w:type="dxa"/>
            <w:vAlign w:val="bottom"/>
            <w:tcBorders>
              <w:top w:val="single" w:sz="8" w:color="0000FF"/>
              <w:bottom w:val="single" w:sz="8" w:color="0000EE"/>
            </w:tcBorders>
            <w:gridSpan w:val="9"/>
          </w:tcPr>
          <w:p>
            <w:pPr>
              <w:spacing w:after="0" w:line="129" w:lineRule="exact"/>
              <w:rPr>
                <w:rFonts w:ascii="Times New Roman" w:cs="Times New Roman" w:eastAsia="Times New Roman" w:hAnsi="Times New Roman"/>
                <w:sz w:val="14"/>
                <w:szCs w:val="14"/>
                <w:color w:val="0000FF"/>
              </w:rPr>
            </w:pPr>
            <w:hyperlink r:id="rId389">
              <w:r>
                <w:rPr>
                  <w:rFonts w:ascii="Times New Roman" w:cs="Times New Roman" w:eastAsia="Times New Roman" w:hAnsi="Times New Roman"/>
                  <w:sz w:val="14"/>
                  <w:szCs w:val="14"/>
                  <w:color w:val="0000FF"/>
                </w:rPr>
                <w:t>Exhibit 3.1 of the Current Report on Form 8-K filed on August 26, 2021).</w:t>
              </w:r>
            </w:hyperlink>
          </w:p>
        </w:tc>
        <w:tc>
          <w:tcPr>
            <w:tcW w:w="604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300" w:type="dxa"/>
            <w:vAlign w:val="bottom"/>
            <w:gridSpan w:val="3"/>
          </w:tcPr>
          <w:p>
            <w:pPr>
              <w:ind w:left="20"/>
              <w:spacing w:after="0"/>
              <w:rPr>
                <w:rFonts w:ascii="Times New Roman" w:cs="Times New Roman" w:eastAsia="Times New Roman" w:hAnsi="Times New Roman"/>
                <w:sz w:val="14"/>
                <w:szCs w:val="14"/>
                <w:color w:val="0000FF"/>
                <w:w w:val="92"/>
              </w:rPr>
            </w:pPr>
            <w:hyperlink r:id="rId390">
              <w:r>
                <w:rPr>
                  <w:rFonts w:ascii="Times New Roman" w:cs="Times New Roman" w:eastAsia="Times New Roman" w:hAnsi="Times New Roman"/>
                  <w:sz w:val="14"/>
                  <w:szCs w:val="14"/>
                  <w:color w:val="0000FF"/>
                  <w:w w:val="92"/>
                </w:rPr>
                <w:t>3.</w:t>
              </w:r>
              <w:r>
                <w:rPr>
                  <w:rFonts w:ascii="Times New Roman" w:cs="Times New Roman" w:eastAsia="Times New Roman" w:hAnsi="Times New Roman"/>
                  <w:sz w:val="14"/>
                  <w:szCs w:val="14"/>
                  <w:u w:val="single" w:color="auto"/>
                  <w:color w:val="0000FF"/>
                  <w:w w:val="92"/>
                </w:rPr>
                <w:t>1.3</w:t>
              </w:r>
            </w:hyperlink>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2"/>
          </w:tcPr>
          <w:p>
            <w:pPr>
              <w:spacing w:after="0"/>
              <w:rPr>
                <w:rFonts w:ascii="Times New Roman" w:cs="Times New Roman" w:eastAsia="Times New Roman" w:hAnsi="Times New Roman"/>
                <w:sz w:val="14"/>
                <w:szCs w:val="14"/>
                <w:color w:val="0000FF"/>
              </w:rPr>
            </w:pPr>
            <w:hyperlink r:id="rId390">
              <w:r>
                <w:rPr>
                  <w:rFonts w:ascii="Times New Roman" w:cs="Times New Roman" w:eastAsia="Times New Roman" w:hAnsi="Times New Roman"/>
                  <w:sz w:val="14"/>
                  <w:szCs w:val="14"/>
                  <w:color w:val="0000FF"/>
                </w:rPr>
                <w:t>Certificate of Amendment to Certificate of Incorporation of Portman Ridge Finance Corporation (the Decrease Shares Certificate of Amendment) (incorporated by reference to</w:t>
              </w:r>
            </w:hyperlink>
          </w:p>
        </w:tc>
        <w:tc>
          <w:tcPr>
            <w:tcW w:w="0" w:type="dxa"/>
            <w:vAlign w:val="bottom"/>
          </w:tcPr>
          <w:p>
            <w:pPr>
              <w:spacing w:after="0"/>
              <w:rPr>
                <w:sz w:val="1"/>
                <w:szCs w:val="1"/>
                <w:color w:val="auto"/>
              </w:rPr>
            </w:pPr>
          </w:p>
        </w:tc>
      </w:tr>
      <w:tr>
        <w:trPr>
          <w:trHeight w:val="129"/>
        </w:trPr>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80" w:type="dxa"/>
            <w:vAlign w:val="bottom"/>
            <w:tcBorders>
              <w:top w:val="single" w:sz="8" w:color="0000FF"/>
              <w:bottom w:val="single" w:sz="8" w:color="0000EE"/>
            </w:tcBorders>
            <w:gridSpan w:val="9"/>
          </w:tcPr>
          <w:p>
            <w:pPr>
              <w:spacing w:after="0" w:line="129" w:lineRule="exact"/>
              <w:rPr>
                <w:rFonts w:ascii="Times New Roman" w:cs="Times New Roman" w:eastAsia="Times New Roman" w:hAnsi="Times New Roman"/>
                <w:sz w:val="14"/>
                <w:szCs w:val="14"/>
                <w:color w:val="0000FF"/>
              </w:rPr>
            </w:pPr>
            <w:hyperlink r:id="rId390">
              <w:r>
                <w:rPr>
                  <w:rFonts w:ascii="Times New Roman" w:cs="Times New Roman" w:eastAsia="Times New Roman" w:hAnsi="Times New Roman"/>
                  <w:sz w:val="14"/>
                  <w:szCs w:val="14"/>
                  <w:color w:val="0000FF"/>
                </w:rPr>
                <w:t>Exhibit 3.2 of the Current Report on Form 8-K filed on August 26, 2021).</w:t>
              </w:r>
            </w:hyperlink>
          </w:p>
        </w:tc>
        <w:tc>
          <w:tcPr>
            <w:tcW w:w="5860" w:type="dxa"/>
            <w:vAlign w:val="bottom"/>
            <w:tcBorders>
              <w:top w:val="single" w:sz="8" w:color="0000FF"/>
            </w:tcBorders>
            <w:gridSpan w:val="7"/>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80" w:type="dxa"/>
            <w:vAlign w:val="bottom"/>
            <w:gridSpan w:val="2"/>
          </w:tcPr>
          <w:p>
            <w:pPr>
              <w:ind w:left="20"/>
              <w:spacing w:after="0"/>
              <w:rPr>
                <w:rFonts w:ascii="Times New Roman" w:cs="Times New Roman" w:eastAsia="Times New Roman" w:hAnsi="Times New Roman"/>
                <w:sz w:val="14"/>
                <w:szCs w:val="14"/>
                <w:color w:val="0000FF"/>
              </w:rPr>
            </w:pPr>
            <w:hyperlink r:id="rId391">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2</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2"/>
          </w:tcPr>
          <w:p>
            <w:pPr>
              <w:spacing w:after="0"/>
              <w:rPr>
                <w:rFonts w:ascii="Times New Roman" w:cs="Times New Roman" w:eastAsia="Times New Roman" w:hAnsi="Times New Roman"/>
                <w:sz w:val="14"/>
                <w:szCs w:val="14"/>
                <w:color w:val="0000FF"/>
              </w:rPr>
            </w:pPr>
            <w:hyperlink r:id="rId391">
              <w:r>
                <w:rPr>
                  <w:rFonts w:ascii="Times New Roman" w:cs="Times New Roman" w:eastAsia="Times New Roman" w:hAnsi="Times New Roman"/>
                  <w:sz w:val="14"/>
                  <w:szCs w:val="14"/>
                  <w:color w:val="0000FF"/>
                </w:rPr>
                <w:t>Third Amended and Restated Bylaws of Portman Ridge Finance Corporation, dated as of July 20, 2021 (incorporated by reference to Exhibit 3.1 of the Current Report on Form 8-</w:t>
              </w:r>
            </w:hyperlink>
          </w:p>
        </w:tc>
        <w:tc>
          <w:tcPr>
            <w:tcW w:w="0" w:type="dxa"/>
            <w:vAlign w:val="bottom"/>
          </w:tcPr>
          <w:p>
            <w:pPr>
              <w:spacing w:after="0"/>
              <w:rPr>
                <w:sz w:val="1"/>
                <w:szCs w:val="1"/>
                <w:color w:val="auto"/>
              </w:rPr>
            </w:pPr>
          </w:p>
        </w:tc>
      </w:tr>
      <w:tr>
        <w:trPr>
          <w:trHeight w:val="128"/>
        </w:trPr>
        <w:tc>
          <w:tcPr>
            <w:tcW w:w="2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391">
              <w:r>
                <w:rPr>
                  <w:rFonts w:ascii="Times New Roman" w:cs="Times New Roman" w:eastAsia="Times New Roman" w:hAnsi="Times New Roman"/>
                  <w:sz w:val="14"/>
                  <w:szCs w:val="14"/>
                  <w:color w:val="0000FF"/>
                </w:rPr>
                <w:t>K, as filed on July 21, 2021).</w:t>
              </w:r>
            </w:hyperlink>
          </w:p>
        </w:tc>
        <w:tc>
          <w:tcPr>
            <w:tcW w:w="20" w:type="dxa"/>
            <w:vAlign w:val="bottom"/>
            <w:tcBorders>
              <w:top w:val="single" w:sz="8" w:color="0000FF"/>
              <w:bottom w:val="single" w:sz="8" w:color="0000EE"/>
            </w:tcBorders>
          </w:tcPr>
          <w:p>
            <w:pPr>
              <w:spacing w:after="0"/>
              <w:rPr>
                <w:sz w:val="11"/>
                <w:szCs w:val="11"/>
                <w:color w:val="auto"/>
              </w:rPr>
            </w:pPr>
          </w:p>
        </w:tc>
        <w:tc>
          <w:tcPr>
            <w:tcW w:w="8580" w:type="dxa"/>
            <w:vAlign w:val="bottom"/>
            <w:tcBorders>
              <w:top w:val="single" w:sz="8" w:color="0000FF"/>
            </w:tcBorders>
            <w:gridSpan w:val="12"/>
          </w:tcPr>
          <w:p>
            <w:pPr>
              <w:spacing w:after="0"/>
              <w:rPr>
                <w:sz w:val="11"/>
                <w:szCs w:val="11"/>
                <w:color w:val="auto"/>
              </w:rPr>
            </w:pP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300" w:type="dxa"/>
            <w:vAlign w:val="bottom"/>
            <w:gridSpan w:val="3"/>
          </w:tcPr>
          <w:p>
            <w:pPr>
              <w:ind w:left="20"/>
              <w:spacing w:after="0"/>
              <w:rPr>
                <w:rFonts w:ascii="Times New Roman" w:cs="Times New Roman" w:eastAsia="Times New Roman" w:hAnsi="Times New Roman"/>
                <w:sz w:val="14"/>
                <w:szCs w:val="14"/>
                <w:color w:val="0000FF"/>
              </w:rPr>
            </w:pPr>
            <w:hyperlink r:id="rId39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2"/>
          </w:tcPr>
          <w:p>
            <w:pPr>
              <w:spacing w:after="0"/>
              <w:rPr>
                <w:rFonts w:ascii="Times New Roman" w:cs="Times New Roman" w:eastAsia="Times New Roman" w:hAnsi="Times New Roman"/>
                <w:sz w:val="14"/>
                <w:szCs w:val="14"/>
                <w:color w:val="0000FF"/>
              </w:rPr>
            </w:pPr>
            <w:hyperlink r:id="rId392">
              <w:r>
                <w:rPr>
                  <w:rFonts w:ascii="Times New Roman" w:cs="Times New Roman" w:eastAsia="Times New Roman" w:hAnsi="Times New Roman"/>
                  <w:sz w:val="14"/>
                  <w:szCs w:val="14"/>
                  <w:color w:val="0000FF"/>
                </w:rPr>
                <w:t>Loan and Security Agreement Conformed Through the Second Amendment dated as of July 23, 2024 among Great Lakes Portman Ridge Funding LLC, The Lenders Party</w:t>
              </w:r>
            </w:hyperlink>
          </w:p>
        </w:tc>
        <w:tc>
          <w:tcPr>
            <w:tcW w:w="0" w:type="dxa"/>
            <w:vAlign w:val="bottom"/>
          </w:tcPr>
          <w:p>
            <w:pPr>
              <w:spacing w:after="0"/>
              <w:rPr>
                <w:sz w:val="1"/>
                <w:szCs w:val="1"/>
                <w:color w:val="auto"/>
              </w:rPr>
            </w:pPr>
          </w:p>
        </w:tc>
      </w:tr>
      <w:tr>
        <w:trPr>
          <w:trHeight w:val="128"/>
        </w:trPr>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20" w:type="dxa"/>
            <w:vAlign w:val="bottom"/>
            <w:tcBorders>
              <w:top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392">
              <w:r>
                <w:rPr>
                  <w:rFonts w:ascii="Times New Roman" w:cs="Times New Roman" w:eastAsia="Times New Roman" w:hAnsi="Times New Roman"/>
                  <w:sz w:val="14"/>
                  <w:szCs w:val="14"/>
                  <w:color w:val="0000FF"/>
                </w:rPr>
                <w:t>Hereto, The Collateral Administrator, Collateral Agent ad Securities Intermediary Party Hereto, JPMorgan Chase Bank, National Association, as Administrative Agent and</w:t>
              </w:r>
            </w:hyperlink>
          </w:p>
        </w:tc>
        <w:tc>
          <w:tcPr>
            <w:tcW w:w="2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0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392">
              <w:r>
                <w:rPr>
                  <w:rFonts w:ascii="Times New Roman" w:cs="Times New Roman" w:eastAsia="Times New Roman" w:hAnsi="Times New Roman"/>
                  <w:sz w:val="14"/>
                  <w:szCs w:val="14"/>
                  <w:color w:val="0000FF"/>
                </w:rPr>
                <w:t>Portman Ridge Finance Corporation, as Portfolio Manager (incorporated by reference to Exhibit 10.1 of the Current Report on Form 8-K filed on July 29, 2024).</w:t>
              </w:r>
            </w:hyperlink>
          </w:p>
        </w:tc>
        <w:tc>
          <w:tcPr>
            <w:tcW w:w="30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760" w:type="dxa"/>
            <w:vAlign w:val="bottom"/>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0000FF"/>
                <w:w w:val="98"/>
              </w:rPr>
              <w:t>31.</w:t>
            </w:r>
            <w:r>
              <w:rPr>
                <w:rFonts w:ascii="Times New Roman" w:cs="Times New Roman" w:eastAsia="Times New Roman" w:hAnsi="Times New Roman"/>
                <w:sz w:val="14"/>
                <w:szCs w:val="14"/>
                <w:u w:val="single" w:color="auto"/>
                <w:color w:val="0000FF"/>
                <w:w w:val="98"/>
              </w:rPr>
              <w:t>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 under the Securities Exchange Act of 1934, as adopted pursuant to Section 302 of the Sarbanes-Oxley Act of</w:t>
            </w:r>
          </w:p>
        </w:tc>
        <w:tc>
          <w:tcPr>
            <w:tcW w:w="0" w:type="dxa"/>
            <w:vAlign w:val="bottom"/>
          </w:tcPr>
          <w:p>
            <w:pPr>
              <w:spacing w:after="0"/>
              <w:rPr>
                <w:sz w:val="1"/>
                <w:szCs w:val="1"/>
                <w:color w:val="auto"/>
              </w:rPr>
            </w:pPr>
          </w:p>
        </w:tc>
      </w:tr>
      <w:tr>
        <w:trPr>
          <w:trHeight w:val="128"/>
        </w:trPr>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2002.</w:t>
            </w:r>
          </w:p>
        </w:tc>
        <w:tc>
          <w:tcPr>
            <w:tcW w:w="20" w:type="dxa"/>
            <w:vAlign w:val="bottom"/>
            <w:tcBorders>
              <w:top w:val="single" w:sz="8" w:color="0000FF"/>
              <w:bottom w:val="single" w:sz="8" w:color="0000EE"/>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580" w:type="dxa"/>
            <w:vAlign w:val="bottom"/>
            <w:tcBorders>
              <w:top w:val="single" w:sz="8" w:color="0000FF"/>
            </w:tcBorders>
          </w:tcPr>
          <w:p>
            <w:pPr>
              <w:spacing w:after="0"/>
              <w:rPr>
                <w:sz w:val="11"/>
                <w:szCs w:val="11"/>
                <w:color w:val="auto"/>
              </w:rPr>
            </w:pPr>
          </w:p>
        </w:tc>
        <w:tc>
          <w:tcPr>
            <w:tcW w:w="38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0000FF"/>
                <w:w w:val="98"/>
              </w:rPr>
              <w:t>31.</w:t>
            </w:r>
            <w:r>
              <w:rPr>
                <w:rFonts w:ascii="Times New Roman" w:cs="Times New Roman" w:eastAsia="Times New Roman" w:hAnsi="Times New Roman"/>
                <w:sz w:val="14"/>
                <w:szCs w:val="14"/>
                <w:u w:val="single" w:color="auto"/>
                <w:color w:val="0000FF"/>
                <w:w w:val="98"/>
              </w:rPr>
              <w:t>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13a-14(a) under the Securities Exchange Act of 1934, as adopted pursuant to Section 302 of the Sarbanes-Oxley Act of</w:t>
            </w:r>
          </w:p>
        </w:tc>
        <w:tc>
          <w:tcPr>
            <w:tcW w:w="0" w:type="dxa"/>
            <w:vAlign w:val="bottom"/>
          </w:tcPr>
          <w:p>
            <w:pPr>
              <w:spacing w:after="0"/>
              <w:rPr>
                <w:sz w:val="1"/>
                <w:szCs w:val="1"/>
                <w:color w:val="auto"/>
              </w:rPr>
            </w:pPr>
          </w:p>
        </w:tc>
      </w:tr>
      <w:tr>
        <w:trPr>
          <w:trHeight w:val="128"/>
        </w:trPr>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2002.</w:t>
            </w:r>
          </w:p>
        </w:tc>
        <w:tc>
          <w:tcPr>
            <w:tcW w:w="20" w:type="dxa"/>
            <w:vAlign w:val="bottom"/>
            <w:tcBorders>
              <w:top w:val="single" w:sz="8" w:color="0000FF"/>
              <w:bottom w:val="single" w:sz="8" w:color="0000EE"/>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580" w:type="dxa"/>
            <w:vAlign w:val="bottom"/>
            <w:tcBorders>
              <w:top w:val="single" w:sz="8" w:color="0000FF"/>
            </w:tcBorders>
          </w:tcPr>
          <w:p>
            <w:pPr>
              <w:spacing w:after="0"/>
              <w:rPr>
                <w:sz w:val="11"/>
                <w:szCs w:val="11"/>
                <w:color w:val="auto"/>
              </w:rPr>
            </w:pPr>
          </w:p>
        </w:tc>
        <w:tc>
          <w:tcPr>
            <w:tcW w:w="38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0000FF"/>
                <w:w w:val="98"/>
              </w:rPr>
              <w:t>32.</w:t>
            </w:r>
            <w:r>
              <w:rPr>
                <w:rFonts w:ascii="Times New Roman" w:cs="Times New Roman" w:eastAsia="Times New Roman" w:hAnsi="Times New Roman"/>
                <w:sz w:val="14"/>
                <w:szCs w:val="14"/>
                <w:u w:val="single" w:color="auto"/>
                <w:color w:val="0000FF"/>
                <w:w w:val="98"/>
              </w:rPr>
              <w:t>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 S. C. 1350, as adopted pursuant to Section 906 of the Sarbanes-Oxley Act of 2002.</w:t>
            </w:r>
          </w:p>
        </w:tc>
        <w:tc>
          <w:tcPr>
            <w:tcW w:w="0" w:type="dxa"/>
            <w:vAlign w:val="bottom"/>
          </w:tcPr>
          <w:p>
            <w:pPr>
              <w:spacing w:after="0"/>
              <w:rPr>
                <w:sz w:val="1"/>
                <w:szCs w:val="1"/>
                <w:color w:val="auto"/>
              </w:rPr>
            </w:pPr>
          </w:p>
        </w:tc>
      </w:tr>
      <w:tr>
        <w:trPr>
          <w:trHeight w:val="304"/>
        </w:trPr>
        <w:tc>
          <w:tcPr>
            <w:tcW w:w="44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4"/>
                <w:szCs w:val="14"/>
                <w:color w:val="0000FF"/>
                <w:w w:val="98"/>
              </w:rPr>
              <w:t>32.</w:t>
            </w:r>
            <w:r>
              <w:rPr>
                <w:rFonts w:ascii="Times New Roman" w:cs="Times New Roman" w:eastAsia="Times New Roman" w:hAnsi="Times New Roman"/>
                <w:sz w:val="14"/>
                <w:szCs w:val="14"/>
                <w:u w:val="single" w:color="auto"/>
                <w:color w:val="0000FF"/>
                <w:w w:val="98"/>
              </w:rPr>
              <w:t>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 S. C. 1350, as adopted pursuant to Section 906 of the Sarbanes-Oxley Act of 2002.</w:t>
            </w:r>
          </w:p>
        </w:tc>
        <w:tc>
          <w:tcPr>
            <w:tcW w:w="22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Borders>
              <w:left w:val="single" w:sz="8" w:color="0000EE"/>
              <w:right w:val="single" w:sz="8" w:color="0000EE"/>
            </w:tcBorders>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100" w:type="dxa"/>
            <w:vAlign w:val="bottom"/>
            <w:gridSpan w:val="10"/>
            <w:shd w:val="clear" w:color="auto" w:fill="0000FF"/>
          </w:tcPr>
          <w:p>
            <w:pPr>
              <w:spacing w:after="0" w:line="20" w:lineRule="exact"/>
              <w:rPr>
                <w:sz w:val="1"/>
                <w:szCs w:val="1"/>
                <w:color w:val="auto"/>
              </w:rPr>
            </w:pPr>
          </w:p>
        </w:tc>
        <w:tc>
          <w:tcPr>
            <w:tcW w:w="2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Inline XBRL Instance Document (filed herewith)</w:t>
            </w:r>
          </w:p>
        </w:tc>
        <w:tc>
          <w:tcPr>
            <w:tcW w:w="0" w:type="dxa"/>
            <w:vAlign w:val="bottom"/>
          </w:tcPr>
          <w:p>
            <w:pPr>
              <w:spacing w:after="0"/>
              <w:rPr>
                <w:sz w:val="1"/>
                <w:szCs w:val="1"/>
                <w:color w:val="auto"/>
              </w:rPr>
            </w:pPr>
          </w:p>
        </w:tc>
      </w:tr>
      <w:tr>
        <w:trPr>
          <w:trHeight w:val="378"/>
        </w:trPr>
        <w:tc>
          <w:tcPr>
            <w:tcW w:w="6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 Documents (filed herewith)</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900" w:hanging="879"/>
        <w:spacing w:after="0"/>
        <w:tabs>
          <w:tab w:leader="none" w:pos="90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(filed herewith)</w:t>
      </w:r>
    </w:p>
    <w:p>
      <w:pPr>
        <w:spacing w:after="0" w:line="244"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Submitted herewith.</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PORTMAN RIDGE FINANCE CORPORATION</w:t>
      </w:r>
    </w:p>
    <w:p>
      <w:pPr>
        <w:spacing w:after="0" w:line="190" w:lineRule="exact"/>
        <w:rPr>
          <w:sz w:val="20"/>
          <w:szCs w:val="20"/>
          <w:color w:val="auto"/>
        </w:rPr>
      </w:pPr>
    </w:p>
    <w:p>
      <w:pPr>
        <w:ind w:left="20"/>
        <w:spacing w:after="0"/>
        <w:tabs>
          <w:tab w:leader="none" w:pos="5640" w:val="left"/>
          <w:tab w:leader="none" w:pos="8040" w:val="left"/>
        </w:tabs>
        <w:rPr>
          <w:sz w:val="20"/>
          <w:szCs w:val="20"/>
          <w:color w:val="auto"/>
        </w:rPr>
      </w:pPr>
      <w:r>
        <w:rPr>
          <w:rFonts w:ascii="Times New Roman" w:cs="Times New Roman" w:eastAsia="Times New Roman" w:hAnsi="Times New Roman"/>
          <w:sz w:val="14"/>
          <w:szCs w:val="14"/>
          <w:color w:val="auto"/>
        </w:rPr>
        <w:t>Date: August 8,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15240</wp:posOffset>
            </wp:positionV>
            <wp:extent cx="320611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color w:val="auto"/>
        </w:rPr>
        <w:t>Edward Goldthorpe</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15"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45" w:lineRule="exact"/>
        <w:rPr>
          <w:sz w:val="20"/>
          <w:szCs w:val="20"/>
          <w:color w:val="auto"/>
        </w:rPr>
      </w:pPr>
    </w:p>
    <w:p>
      <w:pPr>
        <w:ind w:left="20"/>
        <w:spacing w:after="0"/>
        <w:tabs>
          <w:tab w:leader="none" w:pos="5640" w:val="left"/>
          <w:tab w:leader="none" w:pos="8120" w:val="left"/>
        </w:tabs>
        <w:rPr>
          <w:sz w:val="20"/>
          <w:szCs w:val="20"/>
          <w:color w:val="auto"/>
        </w:rPr>
      </w:pPr>
      <w:r>
        <w:rPr>
          <w:rFonts w:ascii="Times New Roman" w:cs="Times New Roman" w:eastAsia="Times New Roman" w:hAnsi="Times New Roman"/>
          <w:sz w:val="14"/>
          <w:szCs w:val="14"/>
          <w:color w:val="auto"/>
        </w:rPr>
        <w:t>Date: August 8,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15240</wp:posOffset>
            </wp:positionV>
            <wp:extent cx="32061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color w:val="auto"/>
        </w:rPr>
        <w:t>Brandon Satoren</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15"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 * * *</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and 15d-14(a) UNDER THE SECURITIES 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Goldthorpe, certify that:</w:t>
      </w:r>
    </w:p>
    <w:p>
      <w:pPr>
        <w:spacing w:after="0" w:line="185" w:lineRule="exact"/>
        <w:rPr>
          <w:sz w:val="20"/>
          <w:szCs w:val="20"/>
          <w:color w:val="auto"/>
        </w:rPr>
      </w:pPr>
    </w:p>
    <w:p>
      <w:pPr>
        <w:ind w:left="1020" w:right="760" w:hanging="479"/>
        <w:spacing w:after="0" w:line="282" w:lineRule="auto"/>
        <w:tabs>
          <w:tab w:leader="none" w:pos="8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Portman Ridge Finance Corporation (the “registrant”);</w:t>
      </w:r>
    </w:p>
    <w:p>
      <w:pPr>
        <w:spacing w:after="0" w:line="12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020" w:right="100" w:hanging="479"/>
        <w:spacing w:after="0" w:line="282" w:lineRule="auto"/>
        <w:tabs>
          <w:tab w:leader="none" w:pos="8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1020" w:right="60" w:hanging="479"/>
        <w:spacing w:after="0" w:line="266" w:lineRule="auto"/>
        <w:tabs>
          <w:tab w:leader="none" w:pos="8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540" w:right="120" w:hanging="513"/>
        <w:spacing w:after="0" w:line="266" w:lineRule="auto"/>
        <w:tabs>
          <w:tab w:leader="none" w:pos="13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540" w:right="40" w:hanging="513"/>
        <w:spacing w:after="0" w:line="266" w:lineRule="auto"/>
        <w:tabs>
          <w:tab w:leader="none" w:pos="13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540" w:right="160" w:hanging="513"/>
        <w:spacing w:after="0" w:line="266" w:lineRule="auto"/>
        <w:tabs>
          <w:tab w:leader="none" w:pos="13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540" w:right="120" w:hanging="513"/>
        <w:spacing w:after="0" w:line="266" w:lineRule="auto"/>
        <w:tabs>
          <w:tab w:leader="none" w:pos="13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1020" w:right="20" w:hanging="479"/>
        <w:spacing w:after="0" w:line="312" w:lineRule="auto"/>
        <w:tabs>
          <w:tab w:leader="none" w:pos="89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540" w:right="360" w:hanging="513"/>
        <w:spacing w:after="0" w:line="282" w:lineRule="auto"/>
        <w:tabs>
          <w:tab w:leader="none" w:pos="13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40" w:right="60" w:hanging="513"/>
        <w:spacing w:after="0" w:line="282" w:lineRule="auto"/>
        <w:tabs>
          <w:tab w:leader="none" w:pos="13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154305</wp:posOffset>
            </wp:positionV>
            <wp:extent cx="327469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Edward Goldthorpe</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and 15d-14(a) UNDER THE SECURITIES 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Brandon Satoren, certify that:</w:t>
      </w:r>
    </w:p>
    <w:p>
      <w:pPr>
        <w:spacing w:after="0" w:line="185" w:lineRule="exact"/>
        <w:rPr>
          <w:sz w:val="20"/>
          <w:szCs w:val="20"/>
          <w:color w:val="auto"/>
        </w:rPr>
      </w:pPr>
    </w:p>
    <w:p>
      <w:pPr>
        <w:ind w:left="1020" w:right="6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Portman Ridge Finance Corporation (the “registrant”);</w:t>
      </w:r>
    </w:p>
    <w:p>
      <w:pPr>
        <w:spacing w:after="0" w:line="121"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540" w:right="120" w:hanging="513"/>
        <w:spacing w:after="0" w:line="266" w:lineRule="auto"/>
        <w:tabs>
          <w:tab w:leader="none" w:pos="1391"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540" w:right="40" w:hanging="513"/>
        <w:spacing w:after="0" w:line="266" w:lineRule="auto"/>
        <w:tabs>
          <w:tab w:leader="none" w:pos="1391"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540" w:right="160" w:hanging="513"/>
        <w:spacing w:after="0" w:line="266" w:lineRule="auto"/>
        <w:tabs>
          <w:tab w:leader="none" w:pos="1391"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540" w:right="120" w:hanging="513"/>
        <w:spacing w:after="0" w:line="266" w:lineRule="auto"/>
        <w:tabs>
          <w:tab w:leader="none" w:pos="1391"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1020" w:right="20" w:hanging="479"/>
        <w:spacing w:after="0" w:line="312" w:lineRule="auto"/>
        <w:tabs>
          <w:tab w:leader="none" w:pos="895"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540" w:right="360" w:hanging="513"/>
        <w:spacing w:after="0" w:line="282" w:lineRule="auto"/>
        <w:tabs>
          <w:tab w:leader="none" w:pos="1391"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40" w:right="60" w:hanging="513"/>
        <w:spacing w:after="0" w:line="282" w:lineRule="auto"/>
        <w:tabs>
          <w:tab w:leader="none" w:pos="1391"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154305</wp:posOffset>
            </wp:positionV>
            <wp:extent cx="327469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Brandon Satoren</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Portman Ridge Finance Corporation (the “Company”) on Form 10-Q for the quarter ended June 30, 2024 (the “Report”), I, Edward Goldthorpe, President and Chief Executive Officer of the Company, certify, pursuant to 18 U.S.C. §1350, as adopted pursuant to §906 of the Sarbanes-Oxley Act of 2002, that:</w:t>
      </w:r>
    </w:p>
    <w:p>
      <w:pPr>
        <w:spacing w:after="0" w:line="135" w:lineRule="exact"/>
        <w:rPr>
          <w:sz w:val="20"/>
          <w:szCs w:val="20"/>
          <w:color w:val="auto"/>
        </w:rPr>
      </w:pPr>
    </w:p>
    <w:p>
      <w:pPr>
        <w:ind w:left="900" w:hanging="359"/>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5620" w:val="left"/>
          <w:tab w:leader="none" w:pos="60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154305</wp:posOffset>
            </wp:positionV>
            <wp:extent cx="327469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Edward Goldthorpe</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Portman Ridge Finance Corporation, (the “Company”) on Form 10-Q for the quarter ended June 30, 2024 (the “Report”), I, Brandon Satoren, Chief Financial Officer of the Company, certify, pursuant to 18 U.S.C. §1350, as adopted pursuant to §906 of the Sarbanes-Oxley Act of 2002, that:</w:t>
      </w:r>
    </w:p>
    <w:p>
      <w:pPr>
        <w:spacing w:after="0" w:line="135" w:lineRule="exact"/>
        <w:rPr>
          <w:sz w:val="20"/>
          <w:szCs w:val="20"/>
          <w:color w:val="auto"/>
        </w:rPr>
      </w:pPr>
    </w:p>
    <w:p>
      <w:pPr>
        <w:ind w:left="900" w:hanging="359"/>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154305</wp:posOffset>
            </wp:positionV>
            <wp:extent cx="327469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Brandon Satoren</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9"/>
    </w:lvl>
  </w:abstractNum>
  <w:abstractNum w:abstractNumId="7">
    <w:nsid w:val="836C40E"/>
    <w:multiLevelType w:val="hybridMultilevel"/>
    <w:lvl w:ilvl="0">
      <w:lvlJc w:val="left"/>
      <w:lvlText w:val="(%1)"/>
      <w:numFmt w:val="decimal"/>
      <w:start w:val="20"/>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20"/>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2"/>
    </w:lvl>
  </w:abstractNum>
  <w:abstractNum w:abstractNumId="13">
    <w:nsid w:val="737B8DDC"/>
    <w:multiLevelType w:val="hybridMultilevel"/>
    <w:lvl w:ilvl="0">
      <w:lvlJc w:val="left"/>
      <w:lvlText w:val="%1."/>
      <w:numFmt w:val="decimal"/>
      <w:start w:val="3"/>
    </w:lvl>
  </w:abstractNum>
  <w:abstractNum w:abstractNumId="14">
    <w:nsid w:val="6CEAF087"/>
    <w:multiLevelType w:val="hybridMultilevel"/>
    <w:lvl w:ilvl="0">
      <w:lvlJc w:val="left"/>
      <w:lvlText w:val="%1."/>
      <w:numFmt w:val="decimal"/>
      <w:start w:val="4"/>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5"/>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lowerLetter"/>
      <w:start w:val="3"/>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decimal"/>
      <w:start w:val="6"/>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4"/>
    </w:lvl>
  </w:abstractNum>
  <w:abstractNum w:abstractNumId="31">
    <w:nsid w:val="580BD78F"/>
    <w:multiLevelType w:val="hybridMultilevel"/>
    <w:lvl w:ilvl="0">
      <w:lvlJc w:val="left"/>
      <w:lvlText w:val="%1."/>
      <w:numFmt w:val="decimal"/>
      <w:start w:val="7"/>
    </w:lvl>
  </w:abstractNum>
  <w:abstractNum w:abstractNumId="32">
    <w:nsid w:val="153EA438"/>
    <w:multiLevelType w:val="hybridMultilevel"/>
    <w:lvl w:ilvl="0">
      <w:lvlJc w:val="left"/>
      <w:lvlText w:val="%1."/>
      <w:numFmt w:val="decimal"/>
      <w:start w:val="8"/>
    </w:lvl>
  </w:abstractNum>
  <w:abstractNum w:abstractNumId="33">
    <w:nsid w:val="3855585C"/>
    <w:multiLevelType w:val="hybridMultilevel"/>
    <w:lvl w:ilvl="0">
      <w:lvlJc w:val="left"/>
      <w:lvlText w:val="%1."/>
      <w:numFmt w:val="decimal"/>
      <w:start w:val="9"/>
    </w:lvl>
  </w:abstractNum>
  <w:abstractNum w:abstractNumId="34">
    <w:nsid w:val="70A64E2A"/>
    <w:multiLevelType w:val="hybridMultilevel"/>
    <w:lvl w:ilvl="0">
      <w:lvlJc w:val="left"/>
      <w:lvlText w:val="%1."/>
      <w:numFmt w:val="decimal"/>
      <w:start w:val="10"/>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
      <w:numFmt w:val="bullet"/>
      <w:start w:val="1"/>
    </w:lvl>
    <w:lvl w:ilvl="1">
      <w:lvlJc w:val="left"/>
      <w:lvlText w:val="%2"/>
      <w:numFmt w:val="decimal"/>
      <w:start w:val="104"/>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93" Type="http://schemas.openxmlformats.org/officeDocument/2006/relationships/image" Target="media/image380.png"/><Relationship Id="rId394" Type="http://schemas.openxmlformats.org/officeDocument/2006/relationships/image" Target="media/image381.png"/><Relationship Id="rId395" Type="http://schemas.openxmlformats.org/officeDocument/2006/relationships/image" Target="media/image382.png"/><Relationship Id="rId396" Type="http://schemas.openxmlformats.org/officeDocument/2006/relationships/image" Target="media/image383.png"/><Relationship Id="rId397" Type="http://schemas.openxmlformats.org/officeDocument/2006/relationships/image" Target="media/image384.png"/><Relationship Id="rId398" Type="http://schemas.openxmlformats.org/officeDocument/2006/relationships/image" Target="media/image385.png"/><Relationship Id="rId399" Type="http://schemas.openxmlformats.org/officeDocument/2006/relationships/image" Target="media/image386.png"/><Relationship Id="rId400" Type="http://schemas.openxmlformats.org/officeDocument/2006/relationships/image" Target="media/image387.png"/><Relationship Id="rId401" Type="http://schemas.openxmlformats.org/officeDocument/2006/relationships/image" Target="media/image388.png"/><Relationship Id="rId402" Type="http://schemas.openxmlformats.org/officeDocument/2006/relationships/image" Target="media/image389.png"/><Relationship Id="rId403" Type="http://schemas.openxmlformats.org/officeDocument/2006/relationships/image" Target="media/image390.png"/><Relationship Id="rId387" Type="http://schemas.openxmlformats.org/officeDocument/2006/relationships/hyperlink" Target="https://www.sec.gov/Archives/edgar/data/1372807/000119312506204545/dex99a.htm" TargetMode="External"/><Relationship Id="rId388" Type="http://schemas.openxmlformats.org/officeDocument/2006/relationships/hyperlink" Target="https://www.sec.gov/Archives/edgar/data/1372807/000114420419017514/tv517653_ex3-1.htm" TargetMode="External"/><Relationship Id="rId389" Type="http://schemas.openxmlformats.org/officeDocument/2006/relationships/hyperlink" Target="https://www.sec.gov/Archives/edgar/data/1372807/000119312521256995/d210335dex31.htm" TargetMode="External"/><Relationship Id="rId390" Type="http://schemas.openxmlformats.org/officeDocument/2006/relationships/hyperlink" Target="https://www.sec.gov/Archives/edgar/data/1372807/000119312521256995/d210335dex32.htm" TargetMode="External"/><Relationship Id="rId391" Type="http://schemas.openxmlformats.org/officeDocument/2006/relationships/hyperlink" Target="https://www.sec.gov/Archives/edgar/data/1372807/000119312521220662/d298619dex31.htm" TargetMode="External"/><Relationship Id="rId392" Type="http://schemas.openxmlformats.org/officeDocument/2006/relationships/hyperlink" Target="https://www.sec.gov/Archives/edgar/data/1372807/000119312524187711/d83660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2024-08-08T15:35:31Z</dcterms:created>
  <dcterms:modified xsi:type="dcterms:W3CDTF">2024-08-08T15:35:31Z</dcterms:modified>
</cp:coreProperties>
</file>