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ind w:left="1040" w:right="1120"/>
        <w:spacing w:after="0" w:line="261"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1040"/>
        <w:spacing w:after="0"/>
        <w:tabs>
          <w:tab w:leader="none" w:pos="3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38735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8" w:lineRule="exact"/>
        <w:rPr>
          <w:sz w:val="24"/>
          <w:szCs w:val="24"/>
          <w:color w:val="auto"/>
        </w:rPr>
      </w:pPr>
    </w:p>
    <w:tbl>
      <w:tblPr>
        <w:tblLayout w:type="fixed"/>
        <w:tblInd w:w="1560" w:type="dxa"/>
        <w:tblCellMar>
          <w:top w:w="0" w:type="dxa"/>
          <w:left w:w="0" w:type="dxa"/>
          <w:bottom w:w="0" w:type="dxa"/>
          <w:right w:w="0" w:type="dxa"/>
        </w:tblCellMar>
      </w:tblPr>
      <w:tr>
        <w:trPr>
          <w:trHeight w:val="216"/>
        </w:trPr>
        <w:tc>
          <w:tcPr>
            <w:tcW w:w="41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41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(State or other jurisdiction of</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2"/>
              </w:rPr>
              <w:t>Incorporation or organization)</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0"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531" w:right="3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11" w:lineRule="exact"/>
        <w:rPr>
          <w:sz w:val="24"/>
          <w:szCs w:val="24"/>
          <w:color w:val="auto"/>
        </w:rPr>
      </w:pPr>
    </w:p>
    <w:p>
      <w:pPr>
        <w:sectPr>
          <w:pgSz w:w="11900" w:h="16838" w:orient="portrait"/>
          <w:cols w:equalWidth="0" w:num="4">
            <w:col w:w="1800" w:space="720"/>
            <w:col w:w="3960" w:space="720"/>
            <w:col w:w="2260" w:space="720"/>
            <w:col w:w="1140"/>
          </w:cols>
          <w:pgMar w:left="240" w:top="531" w:right="3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340"/>
        <w:spacing w:after="0"/>
        <w:tabs>
          <w:tab w:leader="none" w:pos="160" w:val="left"/>
        </w:tabs>
        <w:rPr>
          <w:sz w:val="20"/>
          <w:szCs w:val="20"/>
          <w:color w:val="auto"/>
        </w:rPr>
      </w:pPr>
      <w:r>
        <w:rPr>
          <w:rFonts w:ascii="Arial" w:cs="Arial" w:eastAsia="Arial" w:hAnsi="Arial"/>
          <w:sz w:val="1"/>
          <w:szCs w:val="1"/>
          <w:color w:val="auto"/>
        </w:rPr>
        <w:t>o</w:t>
      </w:r>
      <w:r>
        <w:rPr>
          <w:sz w:val="20"/>
          <w:szCs w:val="20"/>
          <w:color w:val="auto"/>
        </w:rPr>
        <w:tab/>
      </w:r>
      <w:r>
        <w:rPr>
          <w:rFonts w:ascii="Arial" w:cs="Arial" w:eastAsia="Arial" w:hAnsi="Arial"/>
          <w:sz w:val="1"/>
          <w:sz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800" w:space="720"/>
            <w:col w:w="3960" w:space="720"/>
            <w:col w:w="2260" w:space="720"/>
            <w:col w:w="1140"/>
          </w:cols>
          <w:pgMar w:left="240" w:top="531" w:right="339" w:bottom="1440" w:gutter="0" w:footer="0" w:header="0"/>
          <w:type w:val="continuous"/>
        </w:sectPr>
      </w:pPr>
    </w:p>
    <w:p>
      <w:pPr>
        <w:spacing w:after="0" w:line="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August 4, 2014 was 33,721,488.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40" w:type="dxa"/>
            <w:vAlign w:val="bottom"/>
            <w:gridSpan w:val="1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40" w:type="dxa"/>
            <w:vAlign w:val="bottom"/>
            <w:gridSpan w:val="12"/>
            <w:shd w:val="clear" w:color="auto" w:fill="CCEEFF"/>
          </w:tcPr>
          <w:p>
            <w:pPr>
              <w:jc w:val="center"/>
              <w:ind w:right="2420"/>
              <w:spacing w:after="0"/>
              <w:rPr>
                <w:sz w:val="20"/>
                <w:szCs w:val="20"/>
                <w:color w:val="auto"/>
              </w:rPr>
            </w:pPr>
            <w:r>
              <w:rPr>
                <w:rFonts w:ascii="Arial" w:cs="Arial" w:eastAsia="Arial" w:hAnsi="Arial"/>
                <w:sz w:val="18"/>
                <w:szCs w:val="18"/>
                <w:b w:val="1"/>
                <w:bCs w:val="1"/>
                <w:color w:val="auto"/>
                <w:w w:val="95"/>
              </w:rPr>
              <w:t>Part I. Financial Information</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2014 (unaudited) and December 31, 2013</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and six months ended June 30, 2014 and 2013</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(unaudited) for the six months ended June 30, 2014 and 2013</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2014 and 2013</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2014 (unaudited) and December 31, 2013</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Financial Highlights (unaudited) for the six months ended June 30, 2014 and 2013</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Notes to Consolidated Financial Statements (unaudited)</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760" w:type="dxa"/>
            <w:vAlign w:val="bottom"/>
            <w:gridSpan w:val="11"/>
            <w:shd w:val="clear" w:color="auto" w:fill="CCEEFF"/>
          </w:tcPr>
          <w:p>
            <w:pPr>
              <w:jc w:val="center"/>
              <w:ind w:right="3700"/>
              <w:spacing w:after="0" w:line="176" w:lineRule="exact"/>
              <w:rPr>
                <w:rFonts w:ascii="Arial" w:cs="Arial" w:eastAsia="Arial" w:hAnsi="Arial"/>
                <w:sz w:val="18"/>
                <w:szCs w:val="18"/>
                <w:b w:val="1"/>
                <w:bCs w:val="1"/>
                <w:color w:val="0000EE"/>
                <w:w w:val="97"/>
              </w:rPr>
            </w:pPr>
            <w:hyperlink w:anchor="page73">
              <w:r>
                <w:rPr>
                  <w:rFonts w:ascii="Arial" w:cs="Arial" w:eastAsia="Arial" w:hAnsi="Arial"/>
                  <w:sz w:val="18"/>
                  <w:szCs w:val="18"/>
                  <w:b w:val="1"/>
                  <w:bCs w:val="1"/>
                  <w:color w:val="0000EE"/>
                  <w:w w:val="97"/>
                </w:rPr>
                <w:t>Part II. Other Information</w:t>
              </w:r>
            </w:hyperlink>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1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60" w:type="dxa"/>
            <w:vAlign w:val="bottom"/>
          </w:tcPr>
          <w:p>
            <w:pPr>
              <w:ind w:left="4680"/>
              <w:spacing w:after="0"/>
              <w:rPr>
                <w:sz w:val="20"/>
                <w:szCs w:val="20"/>
                <w:color w:val="auto"/>
              </w:rPr>
            </w:pPr>
            <w:r>
              <w:rPr>
                <w:rFonts w:ascii="Arial" w:cs="Arial" w:eastAsia="Arial" w:hAnsi="Arial"/>
                <w:sz w:val="18"/>
                <w:szCs w:val="18"/>
                <w:b w:val="1"/>
                <w:bCs w:val="1"/>
                <w:color w:val="auto"/>
              </w:rPr>
              <w:t>KCAP FINANCIAL, INC.</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6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2014</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2014 - $5,610,941; 2013 - $7,112,949)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5,610,941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Debt securities (cost: 2014 - $263,906,927; 2013 - $275,213,594)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256,023,078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266,830,427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2014 - $101,293,076; 2013 - $88,979,585)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87,549,239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75,100,306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2014 - $12,455,827; 2013 - $12,717,365)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4,181,659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4,351,914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2014 - $16,289,233; 2013 - $18,755,684)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8,758,971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11,006,398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Asset Manager Affiliates (cost: 2014 - $83,924,720; 2013 - $83,378,741)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75,302,000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76,148,000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2014 - $483,480,724; 2013 - $486,157,918)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437,425,888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440,549,994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2,310,589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3,433,675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4,777,960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2,040,077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open trades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2,943,835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Due from affiliates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3,218,927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3,125,259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5,853,972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5,951,962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458,571,248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459,172,388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49,008,000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7.375% Notes Due 2019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41,400,000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6"/>
              </w:rPr>
              <w:t>Notes issued by KCAP Senior Funding I, LLC (net of discount: 2014 - $2,847,139; 2013 - $3,065,627)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102,402,861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102,184,373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3,940,000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3,306,332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Shareholder distribution payable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8,333,031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200,057,193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208,802,695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7"/>
              </w:rPr>
              <w:t>Common stock, par value $0.01 per share, 100,000,000 common shares authorized; 33,725,223 and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w w:val="91"/>
              </w:rPr>
              <w:t>33,332,123 common shares issued and outstanding at June 30, 2014 and December 31, 2013, respectively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337,252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371,640,022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370,929,615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undistributed (excess distribution) net investment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1,530,282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(68,417,904)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(68,662,689)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(46,575,597)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(46,128,688)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258,514,055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250,369,693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458,571,248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459,172,388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ASSET VALUE PER COMMON SHARE</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Interest from investments in debt securities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5,173,514</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2,997,246</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10,420,750</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5,475,265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from cash and time deposits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2"/>
        </w:trPr>
        <w:tc>
          <w:tcPr>
            <w:tcW w:w="4600" w:type="dxa"/>
            <w:vAlign w:val="bottom"/>
          </w:tcPr>
          <w:p>
            <w:pPr>
              <w:ind w:left="180"/>
              <w:spacing w:after="0" w:line="201" w:lineRule="exact"/>
              <w:rPr>
                <w:sz w:val="20"/>
                <w:szCs w:val="20"/>
                <w:color w:val="auto"/>
              </w:rPr>
            </w:pPr>
            <w:r>
              <w:rPr>
                <w:rFonts w:ascii="Arial" w:cs="Arial" w:eastAsia="Arial" w:hAnsi="Arial"/>
                <w:sz w:val="18"/>
                <w:szCs w:val="18"/>
                <w:color w:val="auto"/>
              </w:rPr>
              <w:t>Distributions from investments in CLO Fund securities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managed by affiliates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4,451,626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4,557,531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9,087,864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10,038,183</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Distributions from investments in CLO Fund securities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managed by non-affiliates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464,734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323,790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740,304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747,664</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Distributions from Asset Manager Affiliates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6,300,000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structuring service fees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352,199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59,326</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13,215,714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11,234,346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26,602,627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22,628,176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Interest and amortization of debt issuance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2,893,806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5,883,972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4,510,309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1,227,651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2,490,088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2,020,122</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545,913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652,644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1,217,123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1,294,971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247,467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255,348</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Administrative and other</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399,315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513,085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867,597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1,019,556</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5,178,192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4,652,833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10,706,247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8,037,522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6,581,513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15,896,380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13,527,870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Realized And Unrealized Gains (Losses) On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w w:val="98"/>
              </w:rPr>
              <w:t>Net realized (losses) gains from investment transactions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(64,797)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(1,562,529)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244,785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(1,645,466)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change in unrealized (depreciation) appreciation 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1,102,632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499,319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2,410,992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998,942</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CLO Fund securities managed by affiliates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1,015,474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(3,768,238)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135,445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(8,347,397)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 Fund securities managed by non-affiliates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(1,188,235)</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Asset Manager Affiliates investments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1,227,000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6,910,060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(1,391,979)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9,985,399</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2"/>
              </w:rPr>
              <w:t>Total net change in unrealized appreciation (depreciation)</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4,279,937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3,509,841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3,859,701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180"/>
              <w:spacing w:after="0" w:line="182" w:lineRule="exact"/>
              <w:rPr>
                <w:sz w:val="20"/>
                <w:szCs w:val="20"/>
                <w:color w:val="auto"/>
              </w:rPr>
            </w:pPr>
            <w:r>
              <w:rPr>
                <w:rFonts w:ascii="Arial" w:cs="Arial" w:eastAsia="Arial" w:hAnsi="Arial"/>
                <w:sz w:val="18"/>
                <w:szCs w:val="18"/>
                <w:color w:val="auto"/>
                <w:w w:val="95"/>
              </w:rPr>
              <w:t>Net realized and unrealized appreciation (depreciation) on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6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4,215,140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1,947,312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(202,124)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2,214,235</w:t>
            </w:r>
          </w:p>
        </w:tc>
        <w:tc>
          <w:tcPr>
            <w:tcW w:w="0" w:type="dxa"/>
            <w:vAlign w:val="bottom"/>
          </w:tcPr>
          <w:p>
            <w:pPr>
              <w:spacing w:after="0"/>
              <w:rPr>
                <w:sz w:val="1"/>
                <w:szCs w:val="1"/>
                <w:color w:val="auto"/>
              </w:rPr>
            </w:pPr>
          </w:p>
        </w:tc>
      </w:tr>
      <w:tr>
        <w:trPr>
          <w:trHeight w:val="178"/>
        </w:trPr>
        <w:tc>
          <w:tcPr>
            <w:tcW w:w="4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Increase In Stockholders’ Equity Resulting From</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12,252,662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8,528,825</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15,694,256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15,742,105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180"/>
              <w:spacing w:after="0" w:line="195" w:lineRule="exact"/>
              <w:rPr>
                <w:sz w:val="20"/>
                <w:szCs w:val="20"/>
                <w:color w:val="auto"/>
              </w:rPr>
            </w:pPr>
            <w:r>
              <w:rPr>
                <w:rFonts w:ascii="Arial" w:cs="Arial" w:eastAsia="Arial" w:hAnsi="Arial"/>
                <w:sz w:val="18"/>
                <w:szCs w:val="18"/>
                <w:color w:val="auto"/>
              </w:rPr>
              <w:t>Net Increase In Stockholders' Equity Resulting from</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Operations per Common Share: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2"/>
        </w:trPr>
        <w:tc>
          <w:tcPr>
            <w:tcW w:w="4600" w:type="dxa"/>
            <w:vAlign w:val="bottom"/>
          </w:tcPr>
          <w:p>
            <w:pPr>
              <w:ind w:left="180"/>
              <w:spacing w:after="0" w:line="201" w:lineRule="exact"/>
              <w:rPr>
                <w:sz w:val="20"/>
                <w:szCs w:val="20"/>
                <w:color w:val="auto"/>
              </w:rPr>
            </w:pPr>
            <w:r>
              <w:rPr>
                <w:rFonts w:ascii="Arial" w:cs="Arial" w:eastAsia="Arial" w:hAnsi="Arial"/>
                <w:sz w:val="18"/>
                <w:szCs w:val="18"/>
                <w:color w:val="auto"/>
                <w:w w:val="92"/>
              </w:rPr>
              <w:t>Weighted Average Shares of Common Stock Outstanding—</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33,405,189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33,040,155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33,371,764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31,163,596</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Weighted Average Shares of Common Stock Outstanding—</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39,723,264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39,395,124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39,689,884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38,022,742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15,896,380</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13,527,870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244,785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(446,909)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3,859,701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15,694,256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net investment income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(7,858,857)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(6,946,356)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Return of capital</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(405,224)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(2,304,764)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(8,264,081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(9,251,120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Capital transactions: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300,813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Convertible Notes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50,404,236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 based compensation</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413,375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4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714,188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59,941,198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250,369,692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207,875,656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00" w:type="dxa"/>
            <w:vAlign w:val="bottom"/>
          </w:tcPr>
          <w:p>
            <w:pPr>
              <w:spacing w:after="0" w:line="182" w:lineRule="exact"/>
              <w:rPr>
                <w:sz w:val="20"/>
                <w:szCs w:val="20"/>
                <w:color w:val="auto"/>
              </w:rPr>
            </w:pPr>
            <w:r>
              <w:rPr>
                <w:rFonts w:ascii="Arial" w:cs="Arial" w:eastAsia="Arial" w:hAnsi="Arial"/>
                <w:sz w:val="18"/>
                <w:szCs w:val="18"/>
                <w:color w:val="auto"/>
                <w:w w:val="95"/>
              </w:rPr>
              <w:t>Net assets at end of period (including undistributed net investment income of $1,530,282 in 2014 and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720" w:type="dxa"/>
            <w:vAlign w:val="bottom"/>
            <w:gridSpan w:val="2"/>
          </w:tcPr>
          <w:p>
            <w:pPr>
              <w:spacing w:after="0"/>
              <w:rPr>
                <w:sz w:val="20"/>
                <w:szCs w:val="20"/>
                <w:color w:val="auto"/>
              </w:rPr>
            </w:pPr>
            <w:r>
              <w:rPr>
                <w:rFonts w:ascii="Arial" w:cs="Arial" w:eastAsia="Arial" w:hAnsi="Arial"/>
                <w:sz w:val="18"/>
                <w:szCs w:val="18"/>
                <w:color w:val="auto"/>
              </w:rPr>
              <w:t>$4,380,234 in 2013)</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258,514,055</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274,307,839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 value per common share</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33,725,223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33,298,674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15,694,256</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15,742,105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in stockholder’s equity resulting from operations to net cash provided</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by (used in) in operating activities: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(244,785)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1,645,466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446,909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accretion of discount on debt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12,007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496,351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555,445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Payment-in-kind interest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413,375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(88,665,326)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(178,434,731)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91,519,522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receivable for open trades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(2,943,835)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(3,515,052)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payable for open trades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66,840,035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time deposit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other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(457,452)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(3,902,160)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due from affiliates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(Decrease) in accounts payable and accrued expenses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(590,959)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111,180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15,872,236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(50,182,033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50,404,236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Distributions to stockholders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(16,296,300)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(16,260,229)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101,954,525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(699,022)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(78,985,473)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(16,995,322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57,113,059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3,433,675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END OF PERIOD</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2,310,589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7,669,782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4,985,509</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4,193,151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300,813</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393,297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2014</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877" w:right="3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5" w:lineRule="exact"/>
        <w:rPr>
          <w:sz w:val="20"/>
          <w:szCs w:val="20"/>
          <w:color w:val="auto"/>
        </w:rPr>
      </w:pPr>
    </w:p>
    <w:p>
      <w:pPr>
        <w:ind w:left="180" w:right="460" w:hanging="161"/>
        <w:spacing w:after="0" w:line="198" w:lineRule="auto"/>
        <w:rPr>
          <w:sz w:val="20"/>
          <w:szCs w:val="20"/>
          <w:color w:val="auto"/>
        </w:rPr>
      </w:pPr>
      <w:r>
        <w:rPr>
          <w:rFonts w:ascii="Arial" w:cs="Arial" w:eastAsia="Arial" w:hAnsi="Arial"/>
          <w:sz w:val="14"/>
          <w:szCs w:val="14"/>
          <w:color w:val="auto"/>
        </w:rPr>
        <w:t>4L Technologies Inc. (fka Clover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Alaska Communications Systems Holdings, Inc.</w:t>
      </w:r>
      <w:r>
        <w:rPr>
          <w:rFonts w:ascii="Arial" w:cs="Arial" w:eastAsia="Arial" w:hAnsi="Arial"/>
          <w:sz w:val="20"/>
          <w:szCs w:val="20"/>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Anaren,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ARSloane Acquisition,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34" w:lineRule="exact"/>
        <w:rPr>
          <w:sz w:val="20"/>
          <w:szCs w:val="20"/>
          <w:color w:val="auto"/>
        </w:rPr>
      </w:pPr>
    </w:p>
    <w:p>
      <w:pPr>
        <w:ind w:left="180" w:right="840" w:hanging="161"/>
        <w:spacing w:after="0" w:line="221" w:lineRule="auto"/>
        <w:rPr>
          <w:sz w:val="20"/>
          <w:szCs w:val="20"/>
          <w:color w:val="auto"/>
        </w:rPr>
      </w:pPr>
      <w:r>
        <w:rPr>
          <w:rFonts w:ascii="Arial" w:cs="Arial" w:eastAsia="Arial" w:hAnsi="Arial"/>
          <w:sz w:val="13"/>
          <w:szCs w:val="13"/>
          <w:color w:val="auto"/>
        </w:rPr>
        <w:t>Asurion, LLC (fka Asurion Corporation)</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Banking, Finance, Insurance &amp; Real Estate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AZ Chem US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Chemicals, Plastics and Rubber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BarBri, Inc. (Gemini Holdings,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134" w:lineRule="exact"/>
        <w:rPr>
          <w:sz w:val="20"/>
          <w:szCs w:val="20"/>
          <w:color w:val="auto"/>
        </w:rPr>
      </w:pPr>
    </w:p>
    <w:p>
      <w:pPr>
        <w:ind w:left="180" w:right="2040" w:hanging="172"/>
        <w:spacing w:after="0" w:line="188" w:lineRule="auto"/>
        <w:tabs>
          <w:tab w:leader="none" w:pos="342" w:val="left"/>
        </w:tabs>
        <w:numPr>
          <w:ilvl w:val="0"/>
          <w:numId w:val="1"/>
        </w:numPr>
        <w:rPr>
          <w:rFonts w:ascii="Arial" w:cs="Arial" w:eastAsia="Arial" w:hAnsi="Arial"/>
          <w:sz w:val="13"/>
          <w:szCs w:val="13"/>
          <w:color w:val="auto"/>
        </w:rPr>
      </w:pPr>
      <w:r>
        <w:rPr>
          <w:rFonts w:ascii="Arial" w:cs="Arial" w:eastAsia="Arial" w:hAnsi="Arial"/>
          <w:sz w:val="13"/>
          <w:szCs w:val="13"/>
          <w:color w:val="auto"/>
        </w:rPr>
        <w:t>Industries, LLC</w:t>
      </w:r>
      <w:r>
        <w:rPr>
          <w:rFonts w:ascii="Arial" w:cs="Arial" w:eastAsia="Arial" w:hAnsi="Arial"/>
          <w:sz w:val="20"/>
          <w:szCs w:val="20"/>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Automotive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Senior Secured Loan — Term Loan</w:t>
      </w:r>
    </w:p>
    <w:p>
      <w:pPr>
        <w:spacing w:after="0"/>
        <w:rPr>
          <w:sz w:val="20"/>
          <w:szCs w:val="20"/>
          <w:color w:val="auto"/>
        </w:rPr>
      </w:pPr>
      <w:r>
        <w:rPr>
          <w:rFonts w:ascii="Arial" w:cs="Arial" w:eastAsia="Arial" w:hAnsi="Arial"/>
          <w:sz w:val="14"/>
          <w:szCs w:val="14"/>
          <w:color w:val="auto"/>
        </w:rPr>
        <w:t>5.5% Cash, 1.0% Libor Floor, Due 5/20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First Lien Bond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10.5% Cash, Due 6/19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1.5% Libor Floor, Due 10/16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1.0% Libor Floor, Due 2/21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Tranche B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7.5% Cash, 1.3% Libor Floor, Due 10/19</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Senior Secured Loan — Incremental Tranche B-1 Term Loan 5.0% Cash, 1.3% Libor Floor, Due 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4.5% Cash, 1.0% Libor Floor, Due 6/21</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B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7.0% Cash, 1.0% Libor Floor, Due 6/18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4.5% Cash, 1.0% Libor Floor, Due 7/19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1.3% Libor Floor, Due 3/19</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Fair Value</w:t>
            </w:r>
            <w:r>
              <w:rPr>
                <w:rFonts w:ascii="Arial" w:cs="Arial" w:eastAsia="Arial" w:hAnsi="Arial"/>
                <w:sz w:val="23"/>
                <w:szCs w:val="23"/>
                <w:color w:val="auto"/>
                <w:w w:val="90"/>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2,800,000</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2,772,640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2,805,502</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2,952,225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2,398,501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2,234,318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2,237,467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2,235,659</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1,971,061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1,999,950</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992,500</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983,783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982,576</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1,936,879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1,955,615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1,951,609</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492,466</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490,014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490,003</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709,091</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709,091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704,340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2,872,500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2,860,342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2,877,671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2,812,500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2,804,487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2,813,626</w:t>
            </w:r>
          </w:p>
        </w:tc>
      </w:tr>
    </w:tbl>
    <w:p>
      <w:pPr>
        <w:spacing w:after="0" w:line="200" w:lineRule="exact"/>
        <w:rPr>
          <w:sz w:val="20"/>
          <w:szCs w:val="20"/>
          <w:color w:val="auto"/>
        </w:rPr>
      </w:pPr>
    </w:p>
    <w:p>
      <w:pPr>
        <w:sectPr>
          <w:pgSz w:w="11900" w:h="16838" w:orient="portrait"/>
          <w:cols w:equalWidth="0" w:num="3">
            <w:col w:w="3520" w:space="720"/>
            <w:col w:w="3540" w:space="360"/>
            <w:col w:w="3180"/>
          </w:cols>
          <w:pgMar w:left="240" w:top="877" w:right="339" w:bottom="1440" w:gutter="0" w:footer="0" w:header="0"/>
          <w:type w:val="continuous"/>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7" w:name="page8"/>
    <w:bookmarkEnd w:id="7"/>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Caribe Media Inc. (fka Caribe Information Investments Incorporated)</w:t>
      </w:r>
      <w:r>
        <w:rPr>
          <w:rFonts w:ascii="Arial" w:cs="Arial" w:eastAsia="Arial" w:hAnsi="Arial"/>
          <w:sz w:val="23"/>
          <w:szCs w:val="23"/>
          <w:color w:val="auto"/>
          <w:vertAlign w:val="superscript"/>
        </w:rPr>
        <w:t>9</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76" w:lineRule="exact"/>
        <w:rPr>
          <w:sz w:val="20"/>
          <w:szCs w:val="20"/>
          <w:color w:val="auto"/>
        </w:rPr>
      </w:pPr>
    </w:p>
    <w:p>
      <w:pPr>
        <w:jc w:val="right"/>
        <w:ind w:right="2220"/>
        <w:spacing w:after="0"/>
        <w:rPr>
          <w:sz w:val="20"/>
          <w:szCs w:val="20"/>
          <w:color w:val="auto"/>
        </w:rPr>
      </w:pPr>
      <w:r>
        <w:rPr>
          <w:rFonts w:ascii="Arial" w:cs="Arial" w:eastAsia="Arial" w:hAnsi="Arial"/>
          <w:sz w:val="13"/>
          <w:szCs w:val="13"/>
          <w:color w:val="auto"/>
        </w:rPr>
        <w:t>Carolina Beverage Group LLC</w:t>
      </w:r>
      <w:r>
        <w:rPr>
          <w:rFonts w:ascii="Arial" w:cs="Arial" w:eastAsia="Arial" w:hAnsi="Arial"/>
          <w:sz w:val="21"/>
          <w:szCs w:val="21"/>
          <w:color w:val="auto"/>
          <w:vertAlign w:val="superscript"/>
        </w:rPr>
        <w:t>9</w:t>
      </w:r>
    </w:p>
    <w:p>
      <w:pPr>
        <w:jc w:val="right"/>
        <w:ind w:right="2220"/>
        <w:spacing w:after="0"/>
        <w:rPr>
          <w:sz w:val="20"/>
          <w:szCs w:val="20"/>
          <w:color w:val="auto"/>
        </w:rPr>
      </w:pPr>
      <w:r>
        <w:rPr>
          <w:rFonts w:ascii="Arial" w:cs="Arial" w:eastAsia="Arial" w:hAnsi="Arial"/>
          <w:sz w:val="14"/>
          <w:szCs w:val="14"/>
          <w:i w:val="1"/>
          <w:iCs w:val="1"/>
          <w:color w:val="auto"/>
        </w:rPr>
        <w:t>Beverage, Food and Tobacco</w:t>
      </w:r>
    </w:p>
    <w:p>
      <w:pPr>
        <w:spacing w:after="0" w:line="134" w:lineRule="exact"/>
        <w:rPr>
          <w:sz w:val="20"/>
          <w:szCs w:val="20"/>
          <w:color w:val="auto"/>
        </w:rPr>
      </w:pPr>
    </w:p>
    <w:p>
      <w:pPr>
        <w:ind w:left="180" w:right="140" w:hanging="161"/>
        <w:spacing w:after="0" w:line="203" w:lineRule="auto"/>
        <w:rPr>
          <w:sz w:val="20"/>
          <w:szCs w:val="20"/>
          <w:color w:val="auto"/>
        </w:rPr>
      </w:pPr>
      <w:r>
        <w:rPr>
          <w:rFonts w:ascii="Arial" w:cs="Arial" w:eastAsia="Arial" w:hAnsi="Arial"/>
          <w:sz w:val="14"/>
          <w:szCs w:val="14"/>
          <w:color w:val="auto"/>
        </w:rPr>
        <w:t>Cengage Learning Acquisitions, Inc. (fka TL Acquisitions,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Checkout Holding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CoActive Technologies LLC (fka CoActive Technologies,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Preferred,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CSM Bakery Supplies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95"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CSM Bakery Supplies LLC</w:t>
      </w:r>
      <w:r>
        <w:rPr>
          <w:rFonts w:ascii="Arial" w:cs="Arial" w:eastAsia="Arial" w:hAnsi="Arial"/>
          <w:sz w:val="20"/>
          <w:szCs w:val="20"/>
          <w:color w:val="auto"/>
          <w:vertAlign w:val="superscript"/>
        </w:rPr>
        <w:t>9, 11</w:t>
      </w:r>
    </w:p>
    <w:p>
      <w:pPr>
        <w:jc w:val="right"/>
        <w:ind w:right="222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DBI Holding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DBI Holding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U.S. Term B Loans</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8/19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3,754,678</w:t>
            </w:r>
          </w:p>
        </w:tc>
        <w:tc>
          <w:tcPr>
            <w:tcW w:w="20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3,737,995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3,754,302</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New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5/19</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470,003</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471,498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471,080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4"/>
                <w:szCs w:val="14"/>
                <w:color w:val="auto"/>
              </w:rPr>
              <w:t>10.0% Cash, 1.5% Libor Floor, Due 11/14</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316,063</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316,063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315,905</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w w:val="98"/>
              </w:rPr>
              <w:t>Senior Secured Bond — 10.625% - 08/2018 - 143818AA0 144A</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4"/>
                <w:szCs w:val="14"/>
                <w:color w:val="auto"/>
              </w:rPr>
              <w:t>10.6% Cash, Due 8/18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1,517,375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1,605,000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3/20</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997,500</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1,011,940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1,010,128</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B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4/21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1,990,302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2,004,580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0.0%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7.0% PIK, Due 1/15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2,063,007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1,987,358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2,063,007</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Preferred Stock — 12.000% - 12/2049 - Series A Income</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gridSpan w:val="4"/>
          </w:tcPr>
          <w:p>
            <w:pPr>
              <w:spacing w:after="0" w:line="149" w:lineRule="exact"/>
              <w:rPr>
                <w:sz w:val="20"/>
                <w:szCs w:val="20"/>
                <w:color w:val="auto"/>
              </w:rPr>
            </w:pPr>
            <w:r>
              <w:rPr>
                <w:rFonts w:ascii="Arial" w:cs="Arial" w:eastAsia="Arial" w:hAnsi="Arial"/>
                <w:sz w:val="14"/>
                <w:szCs w:val="14"/>
                <w:color w:val="auto"/>
              </w:rPr>
              <w:t>Preferred Securities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4"/>
          </w:tcPr>
          <w:p>
            <w:pPr>
              <w:spacing w:after="0"/>
              <w:rPr>
                <w:sz w:val="20"/>
                <w:szCs w:val="20"/>
                <w:color w:val="auto"/>
              </w:rPr>
            </w:pPr>
            <w:r>
              <w:rPr>
                <w:rFonts w:ascii="Arial" w:cs="Arial" w:eastAsia="Arial" w:hAnsi="Arial"/>
                <w:sz w:val="14"/>
                <w:szCs w:val="14"/>
                <w:color w:val="auto"/>
              </w:rPr>
              <w:t>10.0% Cash, 2.0% PIK, Due 12/49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10,104,717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10,104,717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10,711,000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8.5%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7/21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3,017,626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3,003,300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4.8%</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7/20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3,639,167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3,637,778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3,643,898</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Unsecured Bond — 13% - 09/2019 – PIK Note</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0.0%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13.0% PIK, Due 9/19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3,240,138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2,980,027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3,240,138</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Subordinated Bond — 13% - 09/2019 - Senior</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gridSpan w:val="4"/>
          </w:tcPr>
          <w:p>
            <w:pPr>
              <w:spacing w:after="0" w:line="149" w:lineRule="exact"/>
              <w:rPr>
                <w:sz w:val="20"/>
                <w:szCs w:val="20"/>
                <w:color w:val="auto"/>
              </w:rPr>
            </w:pPr>
            <w:r>
              <w:rPr>
                <w:rFonts w:ascii="Arial" w:cs="Arial" w:eastAsia="Arial" w:hAnsi="Arial"/>
                <w:sz w:val="14"/>
                <w:szCs w:val="14"/>
                <w:color w:val="auto"/>
              </w:rPr>
              <w:t>Subordinated Note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4"/>
          </w:tcPr>
          <w:p>
            <w:pPr>
              <w:spacing w:after="0"/>
              <w:rPr>
                <w:sz w:val="20"/>
                <w:szCs w:val="20"/>
                <w:color w:val="auto"/>
              </w:rPr>
            </w:pPr>
            <w:r>
              <w:rPr>
                <w:rFonts w:ascii="Arial" w:cs="Arial" w:eastAsia="Arial" w:hAnsi="Arial"/>
                <w:sz w:val="14"/>
                <w:szCs w:val="14"/>
                <w:color w:val="auto"/>
              </w:rPr>
              <w:t>12.0% Cash, 1.0% PIK, Due 9/19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4,293,098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4,272,110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4,293,098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-3448050</wp:posOffset>
            </wp:positionV>
            <wp:extent cx="72466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-3138805</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-2830195</wp:posOffset>
            </wp:positionV>
            <wp:extent cx="72466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-2521585</wp:posOffset>
            </wp:positionV>
            <wp:extent cx="72466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-2212975</wp:posOffset>
            </wp:positionV>
            <wp:extent cx="72466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-1904365</wp:posOffset>
            </wp:positionV>
            <wp:extent cx="72466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-1595120</wp:posOffset>
            </wp:positionV>
            <wp:extent cx="72466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-1217930</wp:posOffset>
            </wp:positionV>
            <wp:extent cx="724662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-909320</wp:posOffset>
            </wp:positionV>
            <wp:extent cx="724662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-600710</wp:posOffset>
            </wp:positionV>
            <wp:extent cx="72466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-292100</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-3764915</wp:posOffset>
            </wp:positionV>
            <wp:extent cx="72466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160"/>
            <w:col w:w="7080"/>
          </w:cols>
          <w:pgMar w:left="240" w:top="861"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1" w:right="339" w:bottom="1440" w:gutter="0" w:footer="0" w:header="0"/>
          <w:type w:val="continuous"/>
        </w:sectPr>
      </w:pPr>
    </w:p>
    <w:bookmarkStart w:id="8" w:name="page9"/>
    <w:bookmarkEnd w:id="8"/>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Drew Marine Group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34" w:lineRule="exact"/>
        <w:rPr>
          <w:sz w:val="20"/>
          <w:szCs w:val="20"/>
          <w:color w:val="auto"/>
        </w:rPr>
      </w:pPr>
    </w:p>
    <w:p>
      <w:pPr>
        <w:ind w:left="180" w:right="260" w:hanging="161"/>
        <w:spacing w:after="0" w:line="203" w:lineRule="auto"/>
        <w:rPr>
          <w:sz w:val="20"/>
          <w:szCs w:val="20"/>
          <w:color w:val="auto"/>
        </w:rPr>
      </w:pPr>
      <w:r>
        <w:rPr>
          <w:rFonts w:ascii="Arial" w:cs="Arial" w:eastAsia="Arial" w:hAnsi="Arial"/>
          <w:sz w:val="14"/>
          <w:szCs w:val="14"/>
          <w:color w:val="auto"/>
        </w:rPr>
        <w:t>EWT Holdings III Corp. (fka WTG Holdings III Corp.)</w:t>
      </w:r>
      <w:r>
        <w:rPr>
          <w:rFonts w:ascii="Arial" w:cs="Arial" w:eastAsia="Arial" w:hAnsi="Arial"/>
          <w:sz w:val="23"/>
          <w:szCs w:val="23"/>
          <w:color w:val="auto"/>
          <w:vertAlign w:val="superscript"/>
        </w:rPr>
        <w:t>9</w:t>
      </w:r>
      <w:r>
        <w:rPr>
          <w:rFonts w:ascii="Arial" w:cs="Arial" w:eastAsia="Arial" w:hAnsi="Arial"/>
          <w:sz w:val="14"/>
          <w:szCs w:val="14"/>
          <w:color w:val="auto"/>
        </w:rPr>
        <w:t xml:space="preserve"> </w:t>
      </w:r>
      <w:r>
        <w:rPr>
          <w:rFonts w:ascii="Arial" w:cs="Arial" w:eastAsia="Arial" w:hAnsi="Arial"/>
          <w:sz w:val="14"/>
          <w:szCs w:val="14"/>
          <w:i w:val="1"/>
          <w:iCs w:val="1"/>
          <w:color w:val="auto"/>
        </w:rPr>
        <w:t>Environmental Industries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Fender Musical Instruments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Hotel, Gaming &amp; Leisure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FHC Health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34" w:lineRule="exact"/>
        <w:rPr>
          <w:sz w:val="20"/>
          <w:szCs w:val="20"/>
          <w:color w:val="auto"/>
        </w:rPr>
      </w:pPr>
    </w:p>
    <w:p>
      <w:pPr>
        <w:ind w:left="180" w:right="840" w:hanging="161"/>
        <w:spacing w:after="0" w:line="221" w:lineRule="auto"/>
        <w:rPr>
          <w:sz w:val="20"/>
          <w:szCs w:val="20"/>
          <w:color w:val="auto"/>
        </w:rPr>
      </w:pPr>
      <w:r>
        <w:rPr>
          <w:rFonts w:ascii="Arial" w:cs="Arial" w:eastAsia="Arial" w:hAnsi="Arial"/>
          <w:sz w:val="13"/>
          <w:szCs w:val="13"/>
          <w:color w:val="auto"/>
        </w:rPr>
        <w:t>First American Payment Systems, L.P.</w:t>
      </w:r>
      <w:r>
        <w:rPr>
          <w:rFonts w:ascii="Arial" w:cs="Arial" w:eastAsia="Arial" w:hAnsi="Arial"/>
          <w:sz w:val="21"/>
          <w:szCs w:val="21"/>
          <w:color w:val="auto"/>
          <w:vertAlign w:val="superscript"/>
        </w:rPr>
        <w:t>9</w:t>
      </w:r>
      <w:r>
        <w:rPr>
          <w:rFonts w:ascii="Arial" w:cs="Arial" w:eastAsia="Arial" w:hAnsi="Arial"/>
          <w:sz w:val="13"/>
          <w:szCs w:val="13"/>
          <w:color w:val="auto"/>
        </w:rPr>
        <w:t xml:space="preserve"> </w:t>
      </w:r>
      <w:r>
        <w:rPr>
          <w:rFonts w:ascii="Arial" w:cs="Arial" w:eastAsia="Arial" w:hAnsi="Arial"/>
          <w:sz w:val="13"/>
          <w:szCs w:val="13"/>
          <w:i w:val="1"/>
          <w:iCs w:val="1"/>
          <w:color w:val="auto"/>
        </w:rPr>
        <w:t>Banking, Finance, Insurance &amp; Real Estate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First Data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134" w:lineRule="exact"/>
        <w:rPr>
          <w:sz w:val="20"/>
          <w:szCs w:val="20"/>
          <w:color w:val="auto"/>
        </w:rPr>
      </w:pPr>
    </w:p>
    <w:p>
      <w:pPr>
        <w:ind w:left="180" w:right="360" w:hanging="161"/>
        <w:spacing w:after="0" w:line="203" w:lineRule="auto"/>
        <w:rPr>
          <w:sz w:val="20"/>
          <w:szCs w:val="20"/>
          <w:color w:val="auto"/>
        </w:rPr>
      </w:pPr>
      <w:r>
        <w:rPr>
          <w:rFonts w:ascii="Arial" w:cs="Arial" w:eastAsia="Arial" w:hAnsi="Arial"/>
          <w:sz w:val="14"/>
          <w:szCs w:val="14"/>
          <w:color w:val="auto"/>
        </w:rPr>
        <w:t>Flexera Software LLC (fka Flexera Software,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High Tech Industries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Fram Group Holdings Inc./Prestone Holdings Inc.</w:t>
      </w:r>
      <w:r>
        <w:rPr>
          <w:rFonts w:ascii="Arial" w:cs="Arial" w:eastAsia="Arial" w:hAnsi="Arial"/>
          <w:sz w:val="21"/>
          <w:szCs w:val="21"/>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10"/>
        </w:trPr>
        <w:tc>
          <w:tcPr>
            <w:tcW w:w="3900" w:type="dxa"/>
            <w:vAlign w:val="bottom"/>
            <w:gridSpan w:val="2"/>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8.0%</w:t>
            </w:r>
          </w:p>
        </w:tc>
        <w:tc>
          <w:tcPr>
            <w:tcW w:w="3580" w:type="dxa"/>
            <w:vAlign w:val="bottom"/>
          </w:tcPr>
          <w:p>
            <w:pPr>
              <w:ind w:left="20"/>
              <w:spacing w:after="0"/>
              <w:rPr>
                <w:sz w:val="20"/>
                <w:szCs w:val="20"/>
                <w:color w:val="auto"/>
              </w:rPr>
            </w:pPr>
            <w:r>
              <w:rPr>
                <w:rFonts w:ascii="Arial" w:cs="Arial" w:eastAsia="Arial" w:hAnsi="Arial"/>
                <w:sz w:val="14"/>
                <w:szCs w:val="14"/>
                <w:color w:val="auto"/>
              </w:rPr>
              <w:t>Cash, 1.0% Libor Floor, Due 5/21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2,500,000</w:t>
            </w:r>
          </w:p>
        </w:tc>
        <w:tc>
          <w:tcPr>
            <w:tcW w:w="200" w:type="dxa"/>
            <w:vAlign w:val="bottom"/>
          </w:tcPr>
          <w:p>
            <w:pPr>
              <w:spacing w:after="0"/>
              <w:rPr>
                <w:sz w:val="15"/>
                <w:szCs w:val="15"/>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2,494,232</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2,502,000</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8.0%</w:t>
            </w:r>
          </w:p>
        </w:tc>
        <w:tc>
          <w:tcPr>
            <w:tcW w:w="3580" w:type="dxa"/>
            <w:vAlign w:val="bottom"/>
          </w:tcPr>
          <w:p>
            <w:pPr>
              <w:ind w:left="20"/>
              <w:spacing w:after="0"/>
              <w:rPr>
                <w:sz w:val="20"/>
                <w:szCs w:val="20"/>
                <w:color w:val="auto"/>
              </w:rPr>
            </w:pPr>
            <w:r>
              <w:rPr>
                <w:rFonts w:ascii="Arial" w:cs="Arial" w:eastAsia="Arial" w:hAnsi="Arial"/>
                <w:sz w:val="14"/>
                <w:szCs w:val="14"/>
                <w:color w:val="auto"/>
              </w:rPr>
              <w:t>Cash, 1.5% Libor Floor, Due 6/18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1,898,703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1,843,364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1,897,944</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8.5%</w:t>
            </w:r>
          </w:p>
        </w:tc>
        <w:tc>
          <w:tcPr>
            <w:tcW w:w="3580" w:type="dxa"/>
            <w:vAlign w:val="bottom"/>
          </w:tcPr>
          <w:p>
            <w:pPr>
              <w:ind w:left="20"/>
              <w:spacing w:after="0"/>
              <w:rPr>
                <w:sz w:val="20"/>
                <w:szCs w:val="20"/>
                <w:color w:val="auto"/>
              </w:rPr>
            </w:pPr>
            <w:r>
              <w:rPr>
                <w:rFonts w:ascii="Arial" w:cs="Arial" w:eastAsia="Arial" w:hAnsi="Arial"/>
                <w:sz w:val="14"/>
                <w:szCs w:val="14"/>
                <w:color w:val="auto"/>
              </w:rPr>
              <w:t>Cash, 1.0% Libor Floor, Due 1/22</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3,981,130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4,002,800</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Initial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5.8%</w:t>
            </w:r>
          </w:p>
        </w:tc>
        <w:tc>
          <w:tcPr>
            <w:tcW w:w="3580" w:type="dxa"/>
            <w:vAlign w:val="bottom"/>
          </w:tcPr>
          <w:p>
            <w:pPr>
              <w:ind w:left="20"/>
              <w:spacing w:after="0"/>
              <w:rPr>
                <w:sz w:val="20"/>
                <w:szCs w:val="20"/>
                <w:color w:val="auto"/>
              </w:rPr>
            </w:pPr>
            <w:r>
              <w:rPr>
                <w:rFonts w:ascii="Arial" w:cs="Arial" w:eastAsia="Arial" w:hAnsi="Arial"/>
                <w:sz w:val="14"/>
                <w:szCs w:val="14"/>
                <w:color w:val="auto"/>
              </w:rPr>
              <w:t>Cash, 1.3% Libor Floor, Due 4/19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2,408,456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2,419,674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2,409,660</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5.8%</w:t>
            </w:r>
          </w:p>
        </w:tc>
        <w:tc>
          <w:tcPr>
            <w:tcW w:w="3580" w:type="dxa"/>
            <w:vAlign w:val="bottom"/>
          </w:tcPr>
          <w:p>
            <w:pPr>
              <w:ind w:left="20"/>
              <w:spacing w:after="0"/>
              <w:rPr>
                <w:sz w:val="20"/>
                <w:szCs w:val="20"/>
                <w:color w:val="auto"/>
              </w:rPr>
            </w:pPr>
            <w:r>
              <w:rPr>
                <w:rFonts w:ascii="Arial" w:cs="Arial" w:eastAsia="Arial" w:hAnsi="Arial"/>
                <w:sz w:val="14"/>
                <w:szCs w:val="14"/>
                <w:color w:val="auto"/>
              </w:rPr>
              <w:t>Cash, 1.0% Libor Floor, Due 1/18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3,571,518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3,601,080</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4"/>
                <w:szCs w:val="14"/>
                <w:color w:val="auto"/>
              </w:rPr>
              <w:t>10.8% Cash, 1.3% Libor Floor, Due 4/19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2,955,760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3,002,400</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2018 Dollar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4.2%</w:t>
            </w:r>
          </w:p>
        </w:tc>
        <w:tc>
          <w:tcPr>
            <w:tcW w:w="358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1,887,486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2,005,750</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580" w:type="dxa"/>
            <w:vAlign w:val="bottom"/>
          </w:tcPr>
          <w:p>
            <w:pPr>
              <w:ind w:left="20"/>
              <w:spacing w:after="0"/>
              <w:rPr>
                <w:sz w:val="20"/>
                <w:szCs w:val="20"/>
                <w:color w:val="auto"/>
              </w:rPr>
            </w:pPr>
            <w:r>
              <w:rPr>
                <w:rFonts w:ascii="Arial" w:cs="Arial" w:eastAsia="Arial" w:hAnsi="Arial"/>
                <w:sz w:val="14"/>
                <w:szCs w:val="14"/>
                <w:color w:val="auto"/>
              </w:rPr>
              <w:t>Cash, 1.0% Libor Floor, Due 4/20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995,190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1,001,665</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6.5%</w:t>
            </w:r>
          </w:p>
        </w:tc>
        <w:tc>
          <w:tcPr>
            <w:tcW w:w="3580" w:type="dxa"/>
            <w:vAlign w:val="bottom"/>
          </w:tcPr>
          <w:p>
            <w:pPr>
              <w:ind w:left="20"/>
              <w:spacing w:after="0"/>
              <w:rPr>
                <w:sz w:val="20"/>
                <w:szCs w:val="20"/>
                <w:color w:val="auto"/>
              </w:rPr>
            </w:pPr>
            <w:r>
              <w:rPr>
                <w:rFonts w:ascii="Arial" w:cs="Arial" w:eastAsia="Arial" w:hAnsi="Arial"/>
                <w:sz w:val="14"/>
                <w:szCs w:val="14"/>
                <w:color w:val="auto"/>
              </w:rPr>
              <w:t>Cash, 1.5% Libor Floor, Due 7/17</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963,752</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967,174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964,619</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580" w:type="dxa"/>
            <w:vAlign w:val="bottom"/>
          </w:tcPr>
          <w:p>
            <w:pPr>
              <w:ind w:left="20"/>
              <w:spacing w:after="0"/>
              <w:rPr>
                <w:sz w:val="20"/>
                <w:szCs w:val="20"/>
                <w:color w:val="auto"/>
              </w:rPr>
            </w:pPr>
            <w:r>
              <w:rPr>
                <w:rFonts w:ascii="Arial" w:cs="Arial" w:eastAsia="Arial" w:hAnsi="Arial"/>
                <w:sz w:val="14"/>
                <w:szCs w:val="14"/>
                <w:color w:val="auto"/>
              </w:rPr>
              <w:t>Cash, 1.3% Libor Floor, Due 10/19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2,196,313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2,196,169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2,127,678</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First Lien Tranche A Credit-Linked</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Deposit</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580" w:type="dxa"/>
            <w:vAlign w:val="bottom"/>
          </w:tcPr>
          <w:p>
            <w:pPr>
              <w:ind w:left="20"/>
              <w:spacing w:after="0"/>
              <w:rPr>
                <w:sz w:val="20"/>
                <w:szCs w:val="20"/>
                <w:color w:val="auto"/>
              </w:rPr>
            </w:pPr>
            <w:r>
              <w:rPr>
                <w:rFonts w:ascii="Arial" w:cs="Arial" w:eastAsia="Arial" w:hAnsi="Arial"/>
                <w:sz w:val="14"/>
                <w:szCs w:val="14"/>
                <w:color w:val="auto"/>
              </w:rPr>
              <w:t>Cash, Due 2/14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1,239,975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1,200,977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24,799</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4"/>
                <w:szCs w:val="14"/>
                <w:color w:val="auto"/>
              </w:rPr>
              <w:t>Senior Secured Loan — First Lien Tranche B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580" w:type="dxa"/>
            <w:vAlign w:val="bottom"/>
          </w:tcPr>
          <w:p>
            <w:pPr>
              <w:ind w:left="20"/>
              <w:spacing w:after="0"/>
              <w:rPr>
                <w:sz w:val="20"/>
                <w:szCs w:val="20"/>
                <w:color w:val="auto"/>
              </w:rPr>
            </w:pPr>
            <w:r>
              <w:rPr>
                <w:rFonts w:ascii="Arial" w:cs="Arial" w:eastAsia="Arial" w:hAnsi="Arial"/>
                <w:sz w:val="14"/>
                <w:szCs w:val="14"/>
                <w:color w:val="auto"/>
              </w:rPr>
              <w:t>Cash, Due 2/14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2,658,055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2,574,458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-3379470</wp:posOffset>
            </wp:positionV>
            <wp:extent cx="72466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-3070225</wp:posOffset>
            </wp:positionV>
            <wp:extent cx="72466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-2761615</wp:posOffset>
            </wp:positionV>
            <wp:extent cx="72466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-2453005</wp:posOffset>
            </wp:positionV>
            <wp:extent cx="72466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72466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-1835785</wp:posOffset>
            </wp:positionV>
            <wp:extent cx="72466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-1526540</wp:posOffset>
            </wp:positionV>
            <wp:extent cx="72466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-1217930</wp:posOffset>
            </wp:positionV>
            <wp:extent cx="72466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-909320</wp:posOffset>
            </wp:positionV>
            <wp:extent cx="724662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-600710</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72466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-3696335</wp:posOffset>
            </wp:positionV>
            <wp:extent cx="724662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520" w:space="720"/>
            <w:col w:w="7080"/>
          </w:cols>
          <w:pgMar w:left="240" w:top="820" w:right="339" w:bottom="1440" w:gutter="0" w:footer="0" w:header="0"/>
        </w:sectPr>
      </w:pPr>
    </w:p>
    <w:bookmarkStart w:id="9" w:name="page10"/>
    <w:bookmarkEnd w:id="9"/>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Grande Communications Networks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Retail</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Hargray Communications Group, Inc. (HCP Acquisition LLC)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Broadcasting &amp; Subscription</w:t>
      </w:r>
    </w:p>
    <w:p>
      <w:pPr>
        <w:spacing w:after="0" w:line="126" w:lineRule="exact"/>
        <w:rPr>
          <w:sz w:val="20"/>
          <w:szCs w:val="20"/>
          <w:color w:val="auto"/>
        </w:rPr>
      </w:pPr>
    </w:p>
    <w:p>
      <w:pPr>
        <w:ind w:left="180" w:right="120" w:hanging="161"/>
        <w:spacing w:after="0" w:line="203"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126" w:lineRule="exact"/>
        <w:rPr>
          <w:sz w:val="20"/>
          <w:szCs w:val="20"/>
          <w:color w:val="auto"/>
        </w:rPr>
      </w:pPr>
    </w:p>
    <w:p>
      <w:pPr>
        <w:ind w:left="180" w:right="120" w:hanging="161"/>
        <w:spacing w:after="0" w:line="203"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Forest Products &amp; Paper</w:t>
      </w:r>
    </w:p>
    <w:p>
      <w:pPr>
        <w:spacing w:after="0" w:line="107" w:lineRule="exact"/>
        <w:rPr>
          <w:sz w:val="20"/>
          <w:szCs w:val="20"/>
          <w:color w:val="auto"/>
        </w:rPr>
      </w:pPr>
    </w:p>
    <w:p>
      <w:pPr>
        <w:jc w:val="right"/>
        <w:ind w:right="2260"/>
        <w:spacing w:after="0"/>
        <w:rPr>
          <w:sz w:val="20"/>
          <w:szCs w:val="20"/>
          <w:color w:val="auto"/>
        </w:rPr>
      </w:pPr>
      <w:r>
        <w:rPr>
          <w:rFonts w:ascii="Arial" w:cs="Arial" w:eastAsia="Arial" w:hAnsi="Arial"/>
          <w:sz w:val="12"/>
          <w:szCs w:val="12"/>
          <w:color w:val="auto"/>
        </w:rPr>
        <w:t>Hoffmaster Group, Inc.</w:t>
      </w:r>
      <w:r>
        <w:rPr>
          <w:rFonts w:ascii="Arial" w:cs="Arial" w:eastAsia="Arial" w:hAnsi="Arial"/>
          <w:sz w:val="19"/>
          <w:szCs w:val="19"/>
          <w:color w:val="auto"/>
          <w:vertAlign w:val="superscript"/>
        </w:rPr>
        <w:t>9, 11</w:t>
      </w:r>
    </w:p>
    <w:p>
      <w:pPr>
        <w:jc w:val="right"/>
        <w:ind w:right="2240"/>
        <w:spacing w:after="0"/>
        <w:rPr>
          <w:sz w:val="20"/>
          <w:szCs w:val="20"/>
          <w:color w:val="auto"/>
        </w:rPr>
      </w:pPr>
      <w:r>
        <w:rPr>
          <w:rFonts w:ascii="Arial" w:cs="Arial" w:eastAsia="Arial" w:hAnsi="Arial"/>
          <w:sz w:val="14"/>
          <w:szCs w:val="14"/>
          <w:i w:val="1"/>
          <w:iCs w:val="1"/>
          <w:color w:val="auto"/>
        </w:rPr>
        <w:t>Forest Products &amp; Paper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Junior Secured Loan — Loan (Second Lien)</w:t>
      </w:r>
    </w:p>
    <w:p>
      <w:pPr>
        <w:spacing w:after="0"/>
        <w:rPr>
          <w:sz w:val="20"/>
          <w:szCs w:val="20"/>
          <w:color w:val="auto"/>
        </w:rPr>
      </w:pPr>
      <w:r>
        <w:rPr>
          <w:rFonts w:ascii="Arial" w:cs="Arial" w:eastAsia="Arial" w:hAnsi="Arial"/>
          <w:sz w:val="14"/>
          <w:szCs w:val="14"/>
          <w:color w:val="auto"/>
        </w:rPr>
        <w:t>11.8% Cash, Due 6/12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9.0% Cash, 1.3% Libor Floor, Due 11/20</w:t>
      </w:r>
    </w:p>
    <w:p>
      <w:pPr>
        <w:spacing w:after="0" w:line="165" w:lineRule="exact"/>
        <w:rPr>
          <w:sz w:val="20"/>
          <w:szCs w:val="20"/>
          <w:color w:val="auto"/>
        </w:rPr>
      </w:pPr>
    </w:p>
    <w:p>
      <w:pPr>
        <w:ind w:right="840"/>
        <w:spacing w:after="0" w:line="291" w:lineRule="auto"/>
        <w:rPr>
          <w:sz w:val="20"/>
          <w:szCs w:val="20"/>
          <w:color w:val="auto"/>
        </w:rPr>
      </w:pPr>
      <w:r>
        <w:rPr>
          <w:rFonts w:ascii="Arial" w:cs="Arial" w:eastAsia="Arial" w:hAnsi="Arial"/>
          <w:sz w:val="13"/>
          <w:szCs w:val="13"/>
          <w:color w:val="auto"/>
        </w:rPr>
        <w:t>Senior Secured Loan — Initial Term Loan 4.5% Cash, 1.0% Libor Floor, Due 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B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8.5% Cash, 1.5% Libor Floor, Due 1/18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13.8% Cash, Due 7/18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1.5% Libor Floor, Due 2/18</w:t>
      </w:r>
    </w:p>
    <w:p>
      <w:pPr>
        <w:spacing w:after="0" w:line="165" w:lineRule="exact"/>
        <w:rPr>
          <w:sz w:val="20"/>
          <w:szCs w:val="20"/>
          <w:color w:val="auto"/>
        </w:rPr>
      </w:pPr>
    </w:p>
    <w:p>
      <w:pPr>
        <w:ind w:right="840"/>
        <w:spacing w:after="0" w:line="291" w:lineRule="auto"/>
        <w:rPr>
          <w:sz w:val="20"/>
          <w:szCs w:val="20"/>
          <w:color w:val="auto"/>
        </w:rPr>
      </w:pPr>
      <w:r>
        <w:rPr>
          <w:rFonts w:ascii="Arial" w:cs="Arial" w:eastAsia="Arial" w:hAnsi="Arial"/>
          <w:sz w:val="13"/>
          <w:szCs w:val="13"/>
          <w:color w:val="auto"/>
        </w:rPr>
        <w:t>Senior Secured Loan — Initial Term Loan 4.8% Cash, 1.0% Libor Floor, Due 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4" w:lineRule="exact"/>
        <w:rPr>
          <w:sz w:val="20"/>
          <w:szCs w:val="20"/>
          <w:color w:val="auto"/>
        </w:rPr>
      </w:pPr>
    </w:p>
    <w:p>
      <w:pPr>
        <w:ind w:right="460"/>
        <w:spacing w:after="0" w:line="253" w:lineRule="auto"/>
        <w:rPr>
          <w:sz w:val="20"/>
          <w:szCs w:val="20"/>
          <w:color w:val="auto"/>
        </w:rPr>
      </w:pPr>
      <w:r>
        <w:rPr>
          <w:rFonts w:ascii="Arial" w:cs="Arial" w:eastAsia="Arial" w:hAnsi="Arial"/>
          <w:sz w:val="14"/>
          <w:szCs w:val="14"/>
          <w:color w:val="auto"/>
        </w:rPr>
        <w:t>Senior Secured Loan — Tranche B-3 Term Loan 7.0% Cash, 1.5% Libor Floor, Due 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460"/>
        <w:spacing w:after="0" w:line="253" w:lineRule="auto"/>
        <w:rPr>
          <w:sz w:val="20"/>
          <w:szCs w:val="20"/>
          <w:color w:val="auto"/>
        </w:rPr>
      </w:pPr>
      <w:r>
        <w:rPr>
          <w:rFonts w:ascii="Arial" w:cs="Arial" w:eastAsia="Arial" w:hAnsi="Arial"/>
          <w:sz w:val="14"/>
          <w:szCs w:val="14"/>
          <w:color w:val="auto"/>
        </w:rPr>
        <w:t>Senior Secured Loan — Tranche B-4 Term Loan 6.0% Cash, 1.0% Libor Floor, Due 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Junior Secured Loan — Initial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10.0% Cash, 1.0% Libor Floor, Due 5/21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Initial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5.3% Cash, 1.0% Libor Floor, Due 5/20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7.0% Cash, Due 2/15</w:t>
      </w:r>
    </w:p>
    <w:p>
      <w:pPr>
        <w:spacing w:after="0" w:line="200" w:lineRule="exact"/>
        <w:rPr>
          <w:sz w:val="20"/>
          <w:szCs w:val="20"/>
          <w:color w:val="auto"/>
        </w:rPr>
      </w:pP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2,715,997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3,930,161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3,960,013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3,964,740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3,960,013</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2,962,500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2,919,970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2,962,500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6,879,938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6,982,500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1,421,105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1,382,030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1,222,655</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2,945,180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2,973,564</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3,412,500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3,384,568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3,476,501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1,481,250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1,474,376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1,492,952</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1,970,564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3,960,770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4,074,074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4,060,248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4,074,074</w:t>
            </w:r>
          </w:p>
        </w:tc>
      </w:tr>
    </w:tbl>
    <w:p>
      <w:pPr>
        <w:sectPr>
          <w:pgSz w:w="11900" w:h="16838" w:orient="portrait"/>
          <w:cols w:equalWidth="0" w:num="3">
            <w:col w:w="3860" w:space="380"/>
            <w:col w:w="3280" w:space="620"/>
            <w:col w:w="3180"/>
          </w:cols>
          <w:pgMar w:left="240" w:top="873" w:right="339" w:bottom="1440" w:gutter="0" w:footer="0" w:header="0"/>
        </w:sectPr>
      </w:pPr>
    </w:p>
    <w:bookmarkStart w:id="10" w:name="page11"/>
    <w:bookmarkEnd w:id="10"/>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Landslide Holdings, Inc. (Crimson Acquisition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Ozburn-Hessey Holding Company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34" w:lineRule="exact"/>
        <w:rPr>
          <w:sz w:val="20"/>
          <w:szCs w:val="20"/>
          <w:color w:val="auto"/>
        </w:rPr>
      </w:pPr>
    </w:p>
    <w:p>
      <w:pPr>
        <w:ind w:left="180" w:right="180" w:hanging="161"/>
        <w:spacing w:after="0" w:line="203" w:lineRule="auto"/>
        <w:rPr>
          <w:sz w:val="20"/>
          <w:szCs w:val="20"/>
          <w:color w:val="auto"/>
        </w:rPr>
      </w:pPr>
      <w:r>
        <w:rPr>
          <w:rFonts w:ascii="Arial" w:cs="Arial" w:eastAsia="Arial" w:hAnsi="Arial"/>
          <w:sz w:val="14"/>
          <w:szCs w:val="14"/>
          <w:color w:val="auto"/>
        </w:rPr>
        <w:t>Puerto Rico Cable Acquisition Company Inc. (D/B/A Choice TV)</w:t>
      </w:r>
      <w:r>
        <w:rPr>
          <w:rFonts w:ascii="Arial" w:cs="Arial" w:eastAsia="Arial" w:hAnsi="Arial"/>
          <w:sz w:val="23"/>
          <w:szCs w:val="23"/>
          <w:color w:val="auto"/>
          <w:vertAlign w:val="superscript"/>
        </w:rPr>
        <w:t>9</w:t>
      </w:r>
      <w:r>
        <w:rPr>
          <w:rFonts w:ascii="Arial" w:cs="Arial" w:eastAsia="Arial" w:hAnsi="Arial"/>
          <w:sz w:val="14"/>
          <w:szCs w:val="14"/>
          <w:color w:val="auto"/>
        </w:rPr>
        <w:t xml:space="preserve"> </w:t>
      </w:r>
      <w:r>
        <w:rPr>
          <w:rFonts w:ascii="Arial" w:cs="Arial" w:eastAsia="Arial" w:hAnsi="Arial"/>
          <w:sz w:val="14"/>
          <w:szCs w:val="14"/>
          <w:i w:val="1"/>
          <w:iCs w:val="1"/>
          <w:color w:val="auto"/>
        </w:rPr>
        <w:t>Media: Broadcasting &amp; Subscription</w:t>
      </w:r>
    </w:p>
    <w:p>
      <w:pPr>
        <w:spacing w:after="0" w:line="126"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Puerto Rico Cable Acquisition Company Inc. (D/B/A Choice TV)</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Broadcasting &amp; Subscription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Senior Secured Loan — Term Loan</w:t>
      </w:r>
    </w:p>
    <w:p>
      <w:pPr>
        <w:spacing w:after="0"/>
        <w:rPr>
          <w:sz w:val="20"/>
          <w:szCs w:val="20"/>
          <w:color w:val="auto"/>
        </w:rPr>
      </w:pPr>
      <w:r>
        <w:rPr>
          <w:rFonts w:ascii="Arial" w:cs="Arial" w:eastAsia="Arial" w:hAnsi="Arial"/>
          <w:sz w:val="13"/>
          <w:szCs w:val="13"/>
          <w:color w:val="auto"/>
        </w:rPr>
        <w:t>12.0% Cash, 3.3% PIK, 2.5% Libor Floor, Due 5/15</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7.0% Cash, 2.0% Libor Floor, Due 9/15</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7.0% Cash, 2.0% Libor Floor, Due 9/15</w:t>
      </w:r>
    </w:p>
    <w:p>
      <w:pPr>
        <w:spacing w:after="0" w:line="165" w:lineRule="exact"/>
        <w:rPr>
          <w:sz w:val="20"/>
          <w:szCs w:val="20"/>
          <w:color w:val="auto"/>
        </w:rPr>
      </w:pPr>
    </w:p>
    <w:p>
      <w:pPr>
        <w:ind w:right="740"/>
        <w:spacing w:after="0" w:line="291" w:lineRule="auto"/>
        <w:rPr>
          <w:sz w:val="20"/>
          <w:szCs w:val="20"/>
          <w:color w:val="auto"/>
        </w:rPr>
      </w:pPr>
      <w:r>
        <w:rPr>
          <w:rFonts w:ascii="Arial" w:cs="Arial" w:eastAsia="Arial" w:hAnsi="Arial"/>
          <w:sz w:val="13"/>
          <w:szCs w:val="13"/>
          <w:color w:val="auto"/>
        </w:rPr>
        <w:t>Senior Secured Loan — Initial Term Loan 4.8% Cash, 1.0% Libor Floor, Due 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New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1.0% Libor Floor, Due 2/20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7.5% Cash, Due 1/10</w:t>
      </w:r>
    </w:p>
    <w:p>
      <w:pPr>
        <w:spacing w:after="0" w:line="165" w:lineRule="exact"/>
        <w:rPr>
          <w:sz w:val="20"/>
          <w:szCs w:val="20"/>
          <w:color w:val="auto"/>
        </w:rPr>
      </w:pPr>
    </w:p>
    <w:p>
      <w:pPr>
        <w:ind w:right="720"/>
        <w:spacing w:after="0" w:line="291" w:lineRule="auto"/>
        <w:rPr>
          <w:sz w:val="20"/>
          <w:szCs w:val="20"/>
          <w:color w:val="auto"/>
        </w:rPr>
      </w:pPr>
      <w:r>
        <w:rPr>
          <w:rFonts w:ascii="Arial" w:cs="Arial" w:eastAsia="Arial" w:hAnsi="Arial"/>
          <w:sz w:val="13"/>
          <w:szCs w:val="13"/>
          <w:color w:val="auto"/>
        </w:rPr>
        <w:t>Senior Secured Loan — Dollar Term Loan 5.0% Cash, 1.0% Libor Floor, Due 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6.5% Cash, 1.0% Libor Floor, Due 12/19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5.8% Cash, 1.3% Libor Floor, Due 8/18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6.8% Cash, 1.3% Libor Floor, Due 5/19</w:t>
      </w:r>
    </w:p>
    <w:p>
      <w:pPr>
        <w:spacing w:after="0" w:line="165" w:lineRule="exact"/>
        <w:rPr>
          <w:sz w:val="20"/>
          <w:szCs w:val="20"/>
          <w:color w:val="auto"/>
        </w:rPr>
      </w:pPr>
    </w:p>
    <w:p>
      <w:pPr>
        <w:ind w:right="740"/>
        <w:spacing w:after="0" w:line="291" w:lineRule="auto"/>
        <w:rPr>
          <w:sz w:val="20"/>
          <w:szCs w:val="20"/>
          <w:color w:val="auto"/>
        </w:rPr>
      </w:pPr>
      <w:r>
        <w:rPr>
          <w:rFonts w:ascii="Arial" w:cs="Arial" w:eastAsia="Arial" w:hAnsi="Arial"/>
          <w:sz w:val="13"/>
          <w:szCs w:val="13"/>
          <w:color w:val="auto"/>
        </w:rPr>
        <w:t>Senior Secured Loan — Initial Term Loan 5.5% Cash, 1.0% Libor Floor, Due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4" w:lineRule="exact"/>
        <w:rPr>
          <w:sz w:val="20"/>
          <w:szCs w:val="20"/>
          <w:color w:val="auto"/>
        </w:rPr>
      </w:pPr>
    </w:p>
    <w:p>
      <w:pPr>
        <w:ind w:right="740"/>
        <w:spacing w:after="0" w:line="291" w:lineRule="auto"/>
        <w:rPr>
          <w:sz w:val="20"/>
          <w:szCs w:val="20"/>
          <w:color w:val="auto"/>
        </w:rPr>
      </w:pPr>
      <w:r>
        <w:rPr>
          <w:rFonts w:ascii="Arial" w:cs="Arial" w:eastAsia="Arial" w:hAnsi="Arial"/>
          <w:sz w:val="13"/>
          <w:szCs w:val="13"/>
          <w:color w:val="auto"/>
        </w:rPr>
        <w:t>Senior Secured Loan — Initial Term Loan 5.5% Cash, 1.0% Libor Floor, Due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247,636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228,563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1,193,615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1,193,615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1,193,615</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2,876,033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2,876,033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2,876,033</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2,685,371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2,674,529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2,690,741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3,473,794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3,483,148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3,479,004</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3,034,968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3,034,968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40,669</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3,927,500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3,960,792</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3,980,000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3,943,918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3,979,204</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1,977,573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3,530,255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3,519,406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3,532,373</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942,080</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943,520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942,174</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2,826,239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2,814,599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2,826,522</w:t>
            </w:r>
          </w:p>
        </w:tc>
      </w:tr>
    </w:tbl>
    <w:p>
      <w:pPr>
        <w:spacing w:after="0" w:line="200" w:lineRule="exact"/>
        <w:rPr>
          <w:sz w:val="20"/>
          <w:szCs w:val="20"/>
          <w:color w:val="auto"/>
        </w:rPr>
      </w:pPr>
    </w:p>
    <w:p>
      <w:pPr>
        <w:sectPr>
          <w:pgSz w:w="11900" w:h="16838" w:orient="portrait"/>
          <w:cols w:equalWidth="0" w:num="3">
            <w:col w:w="4040" w:space="200"/>
            <w:col w:w="3180" w:space="720"/>
            <w:col w:w="3180"/>
          </w:cols>
          <w:pgMar w:left="240" w:top="873"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3" w:right="339" w:bottom="1440" w:gutter="0" w:footer="0" w:header="0"/>
          <w:type w:val="continuous"/>
        </w:sectPr>
      </w:pPr>
    </w:p>
    <w:bookmarkStart w:id="11" w:name="page12"/>
    <w:bookmarkEnd w:id="11"/>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5" w:lineRule="exact"/>
        <w:rPr>
          <w:sz w:val="20"/>
          <w:szCs w:val="20"/>
          <w:color w:val="auto"/>
        </w:rPr>
      </w:pPr>
    </w:p>
    <w:p>
      <w:pPr>
        <w:ind w:left="180" w:right="540" w:hanging="161"/>
        <w:spacing w:after="0" w:line="183" w:lineRule="auto"/>
        <w:rPr>
          <w:sz w:val="20"/>
          <w:szCs w:val="20"/>
          <w:color w:val="auto"/>
        </w:rPr>
      </w:pPr>
      <w:r>
        <w:rPr>
          <w:rFonts w:ascii="Arial" w:cs="Arial" w:eastAsia="Arial" w:hAnsi="Arial"/>
          <w:sz w:val="13"/>
          <w:szCs w:val="13"/>
          <w:color w:val="auto"/>
        </w:rPr>
        <w:t>Quad-C JH Holdings Inc. (aka Joerns Healthcare)</w:t>
      </w:r>
      <w:r>
        <w:rPr>
          <w:rFonts w:ascii="Arial" w:cs="Arial" w:eastAsia="Arial" w:hAnsi="Arial"/>
          <w:sz w:val="20"/>
          <w:szCs w:val="20"/>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Healthcare &amp; Pharmaceuticals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Restorix Health,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Roscoe Medical,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Safenet,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 L.P.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Utilities: Electric</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Stafford Logistics, Inc.(dba Custom Ecology,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Sun Products Corporation, The (fka Huish Detergents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126" w:lineRule="exact"/>
        <w:rPr>
          <w:sz w:val="20"/>
          <w:szCs w:val="20"/>
          <w:color w:val="auto"/>
        </w:rPr>
      </w:pPr>
    </w:p>
    <w:p>
      <w:pPr>
        <w:ind w:left="180" w:right="820" w:hanging="161"/>
        <w:spacing w:after="0" w:line="221" w:lineRule="auto"/>
        <w:rPr>
          <w:sz w:val="20"/>
          <w:szCs w:val="20"/>
          <w:color w:val="auto"/>
        </w:rPr>
      </w:pPr>
      <w:r>
        <w:rPr>
          <w:rFonts w:ascii="Arial" w:cs="Arial" w:eastAsia="Arial" w:hAnsi="Arial"/>
          <w:sz w:val="13"/>
          <w:szCs w:val="13"/>
          <w:color w:val="auto"/>
        </w:rPr>
        <w:t>TPF II LC, LLC (TPF II Rolling Hills, LLC)</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Utilities: Electric</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right="880"/>
        <w:spacing w:after="0" w:line="271" w:lineRule="auto"/>
        <w:rPr>
          <w:sz w:val="20"/>
          <w:szCs w:val="20"/>
          <w:color w:val="auto"/>
        </w:rPr>
      </w:pPr>
      <w:r>
        <w:rPr>
          <w:rFonts w:ascii="Arial" w:cs="Arial" w:eastAsia="Arial" w:hAnsi="Arial"/>
          <w:sz w:val="13"/>
          <w:szCs w:val="13"/>
          <w:color w:val="auto"/>
        </w:rPr>
        <w:t>Senior Secured Loan — Term Loan A 6.0% Cash, 1.0% Libor Floor, Due 5/20</w:t>
      </w:r>
    </w:p>
    <w:p>
      <w:pPr>
        <w:spacing w:after="0" w:line="137"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Senior Unsecured Loan — Subordinated Term Loan 12.0% Cash, 2.0% PIK, Due 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11.3% Cash, Due 9/19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1.0% Libor Floor, Due 2/20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1.0% Libor Floor, Due 11/20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1.0% Libor Floor, Due 3/19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1.0% Libor Floor, Due 3/19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6.8% Cash, 1.3% Libor Floor, Due 6/19</w:t>
      </w:r>
    </w:p>
    <w:p>
      <w:pPr>
        <w:spacing w:after="0" w:line="165" w:lineRule="exact"/>
        <w:rPr>
          <w:sz w:val="20"/>
          <w:szCs w:val="20"/>
          <w:color w:val="auto"/>
        </w:rPr>
      </w:pPr>
    </w:p>
    <w:p>
      <w:pPr>
        <w:ind w:right="480"/>
        <w:spacing w:after="0" w:line="291" w:lineRule="auto"/>
        <w:rPr>
          <w:sz w:val="20"/>
          <w:szCs w:val="20"/>
          <w:color w:val="auto"/>
        </w:rPr>
      </w:pPr>
      <w:r>
        <w:rPr>
          <w:rFonts w:ascii="Arial" w:cs="Arial" w:eastAsia="Arial" w:hAnsi="Arial"/>
          <w:sz w:val="13"/>
          <w:szCs w:val="13"/>
          <w:color w:val="auto"/>
        </w:rPr>
        <w:t>Senior Secured Loan — Tranche B Term Loan 5.5% Cash, 1.3% Libor Floor, Due 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6.5% Cash, 1.0% Libor Floor, Due 8/19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1.5% Libor Floor, Due 7/16</w:t>
      </w: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80"/>
        <w:spacing w:after="0"/>
        <w:tabs>
          <w:tab w:leader="none" w:pos="1440" w:val="left"/>
          <w:tab w:leader="none" w:pos="2340" w:val="left"/>
        </w:tabs>
        <w:rPr>
          <w:sz w:val="20"/>
          <w:szCs w:val="20"/>
          <w:color w:val="auto"/>
        </w:rPr>
      </w:pPr>
      <w:r>
        <w:rPr>
          <w:rFonts w:ascii="Arial" w:cs="Arial" w:eastAsia="Arial" w:hAnsi="Arial"/>
          <w:sz w:val="14"/>
          <w:szCs w:val="14"/>
          <w:b w:val="1"/>
          <w:bCs w:val="1"/>
          <w:color w:val="auto"/>
        </w:rPr>
        <w:t>Principal</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Fair Value</w:t>
      </w:r>
      <w:r>
        <w:rPr>
          <w:rFonts w:ascii="Arial" w:cs="Arial" w:eastAsia="Arial" w:hAnsi="Arial"/>
          <w:sz w:val="21"/>
          <w:szCs w:val="21"/>
          <w:color w:val="auto"/>
          <w:vertAlign w:val="superscript"/>
        </w:rPr>
        <w:t>2</w:t>
      </w:r>
    </w:p>
    <w:p>
      <w:pPr>
        <w:spacing w:after="0" w:line="140" w:lineRule="exact"/>
        <w:rPr>
          <w:sz w:val="20"/>
          <w:szCs w:val="20"/>
          <w:color w:val="auto"/>
        </w:rPr>
      </w:pPr>
    </w:p>
    <w:p>
      <w:pPr>
        <w:spacing w:after="0"/>
        <w:tabs>
          <w:tab w:leader="none" w:pos="340" w:val="left"/>
          <w:tab w:leader="none" w:pos="1120" w:val="left"/>
          <w:tab w:leader="none" w:pos="1460" w:val="left"/>
          <w:tab w:leader="none" w:pos="2240" w:val="left"/>
          <w:tab w:leader="none" w:pos="25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3,000,000</w:t>
        <w:tab/>
        <w:t>$</w:t>
      </w:r>
      <w:r>
        <w:rPr>
          <w:sz w:val="20"/>
          <w:szCs w:val="20"/>
          <w:color w:val="auto"/>
        </w:rPr>
        <w:tab/>
      </w:r>
      <w:r>
        <w:rPr>
          <w:rFonts w:ascii="Arial" w:cs="Arial" w:eastAsia="Arial" w:hAnsi="Arial"/>
          <w:sz w:val="14"/>
          <w:szCs w:val="14"/>
          <w:color w:val="auto"/>
        </w:rPr>
        <w:t>2,970,401</w:t>
        <w:tab/>
        <w:t>$</w:t>
      </w:r>
      <w:r>
        <w:rPr>
          <w:sz w:val="20"/>
          <w:szCs w:val="20"/>
          <w:color w:val="auto"/>
        </w:rPr>
        <w:tab/>
      </w:r>
      <w:r>
        <w:rPr>
          <w:rFonts w:ascii="Arial" w:cs="Arial" w:eastAsia="Arial" w:hAnsi="Arial"/>
          <w:sz w:val="13"/>
          <w:szCs w:val="13"/>
          <w:color w:val="auto"/>
        </w:rPr>
        <w:t>2,970,000</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4,013,567</w:t>
      </w:r>
      <w:r>
        <w:rPr>
          <w:sz w:val="20"/>
          <w:szCs w:val="20"/>
          <w:color w:val="auto"/>
        </w:rPr>
        <w:tab/>
      </w:r>
      <w:r>
        <w:rPr>
          <w:rFonts w:ascii="Arial" w:cs="Arial" w:eastAsia="Arial" w:hAnsi="Arial"/>
          <w:sz w:val="14"/>
          <w:szCs w:val="14"/>
          <w:color w:val="auto"/>
        </w:rPr>
        <w:t>4,013,567</w:t>
      </w:r>
      <w:r>
        <w:rPr>
          <w:sz w:val="20"/>
          <w:szCs w:val="20"/>
          <w:color w:val="auto"/>
        </w:rPr>
        <w:tab/>
      </w:r>
      <w:r>
        <w:rPr>
          <w:rFonts w:ascii="Arial" w:cs="Arial" w:eastAsia="Arial" w:hAnsi="Arial"/>
          <w:sz w:val="13"/>
          <w:szCs w:val="13"/>
          <w:color w:val="auto"/>
        </w:rPr>
        <w:t>4,013,567</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6,700,000</w:t>
      </w:r>
      <w:r>
        <w:rPr>
          <w:sz w:val="20"/>
          <w:szCs w:val="20"/>
          <w:color w:val="auto"/>
        </w:rPr>
        <w:tab/>
      </w:r>
      <w:r>
        <w:rPr>
          <w:rFonts w:ascii="Arial" w:cs="Arial" w:eastAsia="Arial" w:hAnsi="Arial"/>
          <w:sz w:val="14"/>
          <w:szCs w:val="14"/>
          <w:color w:val="auto"/>
        </w:rPr>
        <w:t>6,636,233</w:t>
      </w:r>
      <w:r>
        <w:rPr>
          <w:sz w:val="20"/>
          <w:szCs w:val="20"/>
          <w:color w:val="auto"/>
        </w:rPr>
        <w:tab/>
      </w:r>
      <w:r>
        <w:rPr>
          <w:rFonts w:ascii="Arial" w:cs="Arial" w:eastAsia="Arial" w:hAnsi="Arial"/>
          <w:sz w:val="13"/>
          <w:szCs w:val="13"/>
          <w:color w:val="auto"/>
        </w:rPr>
        <w:t>6,700,000</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2,992,500</w:t>
      </w:r>
      <w:r>
        <w:rPr>
          <w:sz w:val="20"/>
          <w:szCs w:val="20"/>
          <w:color w:val="auto"/>
        </w:rPr>
        <w:tab/>
      </w:r>
      <w:r>
        <w:rPr>
          <w:rFonts w:ascii="Arial" w:cs="Arial" w:eastAsia="Arial" w:hAnsi="Arial"/>
          <w:sz w:val="14"/>
          <w:szCs w:val="14"/>
          <w:color w:val="auto"/>
        </w:rPr>
        <w:t>2,963,756</w:t>
      </w:r>
      <w:r>
        <w:rPr>
          <w:sz w:val="20"/>
          <w:szCs w:val="20"/>
          <w:color w:val="auto"/>
        </w:rPr>
        <w:tab/>
      </w:r>
      <w:r>
        <w:rPr>
          <w:rFonts w:ascii="Arial" w:cs="Arial" w:eastAsia="Arial" w:hAnsi="Arial"/>
          <w:sz w:val="13"/>
          <w:szCs w:val="13"/>
          <w:color w:val="auto"/>
        </w:rPr>
        <w:t>2,993,398</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2,932,317</w:t>
      </w:r>
      <w:r>
        <w:rPr>
          <w:sz w:val="20"/>
          <w:szCs w:val="20"/>
          <w:color w:val="auto"/>
        </w:rPr>
        <w:tab/>
      </w:r>
      <w:r>
        <w:rPr>
          <w:rFonts w:ascii="Arial" w:cs="Arial" w:eastAsia="Arial" w:hAnsi="Arial"/>
          <w:sz w:val="14"/>
          <w:szCs w:val="14"/>
          <w:color w:val="auto"/>
        </w:rPr>
        <w:t>2,918,945</w:t>
      </w:r>
      <w:r>
        <w:rPr>
          <w:sz w:val="20"/>
          <w:szCs w:val="20"/>
          <w:color w:val="auto"/>
        </w:rPr>
        <w:tab/>
      </w:r>
      <w:r>
        <w:rPr>
          <w:rFonts w:ascii="Arial" w:cs="Arial" w:eastAsia="Arial" w:hAnsi="Arial"/>
          <w:sz w:val="13"/>
          <w:szCs w:val="13"/>
          <w:color w:val="auto"/>
        </w:rPr>
        <w:t>2,962,652</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2,202,356</w:t>
      </w:r>
      <w:r>
        <w:rPr>
          <w:sz w:val="20"/>
          <w:szCs w:val="20"/>
          <w:color w:val="auto"/>
        </w:rPr>
        <w:tab/>
      </w:r>
      <w:r>
        <w:rPr>
          <w:rFonts w:ascii="Arial" w:cs="Arial" w:eastAsia="Arial" w:hAnsi="Arial"/>
          <w:sz w:val="14"/>
          <w:szCs w:val="14"/>
          <w:color w:val="auto"/>
        </w:rPr>
        <w:t>2,184,748</w:t>
      </w:r>
      <w:r>
        <w:rPr>
          <w:sz w:val="20"/>
          <w:szCs w:val="20"/>
          <w:color w:val="auto"/>
        </w:rPr>
        <w:tab/>
      </w:r>
      <w:r>
        <w:rPr>
          <w:rFonts w:ascii="Arial" w:cs="Arial" w:eastAsia="Arial" w:hAnsi="Arial"/>
          <w:sz w:val="13"/>
          <w:szCs w:val="13"/>
          <w:color w:val="auto"/>
        </w:rPr>
        <w:t>2,202,356</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3,457,905</w:t>
      </w:r>
      <w:r>
        <w:rPr>
          <w:sz w:val="20"/>
          <w:szCs w:val="20"/>
          <w:color w:val="auto"/>
        </w:rPr>
        <w:tab/>
      </w:r>
      <w:r>
        <w:rPr>
          <w:rFonts w:ascii="Arial" w:cs="Arial" w:eastAsia="Arial" w:hAnsi="Arial"/>
          <w:sz w:val="14"/>
          <w:szCs w:val="14"/>
          <w:color w:val="auto"/>
        </w:rPr>
        <w:t>3,438,739</w:t>
      </w:r>
      <w:r>
        <w:rPr>
          <w:sz w:val="20"/>
          <w:szCs w:val="20"/>
          <w:color w:val="auto"/>
        </w:rPr>
        <w:tab/>
      </w:r>
      <w:r>
        <w:rPr>
          <w:rFonts w:ascii="Arial" w:cs="Arial" w:eastAsia="Arial" w:hAnsi="Arial"/>
          <w:sz w:val="13"/>
          <w:szCs w:val="13"/>
          <w:color w:val="auto"/>
        </w:rPr>
        <w:t>3,457,905</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2,970,000</w:t>
      </w:r>
      <w:r>
        <w:rPr>
          <w:sz w:val="20"/>
          <w:szCs w:val="20"/>
          <w:color w:val="auto"/>
        </w:rPr>
        <w:tab/>
      </w:r>
      <w:r>
        <w:rPr>
          <w:rFonts w:ascii="Arial" w:cs="Arial" w:eastAsia="Arial" w:hAnsi="Arial"/>
          <w:sz w:val="14"/>
          <w:szCs w:val="14"/>
          <w:color w:val="auto"/>
        </w:rPr>
        <w:t>2,945,259</w:t>
      </w:r>
      <w:r>
        <w:rPr>
          <w:sz w:val="20"/>
          <w:szCs w:val="20"/>
          <w:color w:val="auto"/>
        </w:rPr>
        <w:tab/>
      </w:r>
      <w:r>
        <w:rPr>
          <w:rFonts w:ascii="Arial" w:cs="Arial" w:eastAsia="Arial" w:hAnsi="Arial"/>
          <w:sz w:val="13"/>
          <w:szCs w:val="13"/>
          <w:color w:val="auto"/>
        </w:rPr>
        <w:t>2,970,891</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3,910,711</w:t>
      </w:r>
      <w:r>
        <w:rPr>
          <w:sz w:val="20"/>
          <w:szCs w:val="20"/>
          <w:color w:val="auto"/>
        </w:rPr>
        <w:tab/>
      </w:r>
      <w:r>
        <w:rPr>
          <w:rFonts w:ascii="Arial" w:cs="Arial" w:eastAsia="Arial" w:hAnsi="Arial"/>
          <w:sz w:val="14"/>
          <w:szCs w:val="14"/>
          <w:color w:val="auto"/>
        </w:rPr>
        <w:t>3,884,908</w:t>
      </w:r>
      <w:r>
        <w:rPr>
          <w:sz w:val="20"/>
          <w:szCs w:val="20"/>
          <w:color w:val="auto"/>
        </w:rPr>
        <w:tab/>
      </w:r>
      <w:r>
        <w:rPr>
          <w:rFonts w:ascii="Arial" w:cs="Arial" w:eastAsia="Arial" w:hAnsi="Arial"/>
          <w:sz w:val="13"/>
          <w:szCs w:val="13"/>
          <w:color w:val="auto"/>
        </w:rPr>
        <w:t>3,842,293</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2,931,300</w:t>
      </w:r>
      <w:r>
        <w:rPr>
          <w:sz w:val="20"/>
          <w:szCs w:val="20"/>
          <w:color w:val="auto"/>
        </w:rPr>
        <w:tab/>
      </w:r>
      <w:r>
        <w:rPr>
          <w:rFonts w:ascii="Arial" w:cs="Arial" w:eastAsia="Arial" w:hAnsi="Arial"/>
          <w:sz w:val="14"/>
          <w:szCs w:val="14"/>
          <w:color w:val="auto"/>
        </w:rPr>
        <w:t>2,893,300</w:t>
      </w:r>
      <w:r>
        <w:rPr>
          <w:sz w:val="20"/>
          <w:szCs w:val="20"/>
          <w:color w:val="auto"/>
        </w:rPr>
        <w:tab/>
      </w:r>
      <w:r>
        <w:rPr>
          <w:rFonts w:ascii="Arial" w:cs="Arial" w:eastAsia="Arial" w:hAnsi="Arial"/>
          <w:sz w:val="13"/>
          <w:szCs w:val="13"/>
          <w:color w:val="auto"/>
        </w:rPr>
        <w:t>2,934,231</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4,729,688</w:t>
      </w:r>
      <w:r>
        <w:rPr>
          <w:sz w:val="20"/>
          <w:szCs w:val="20"/>
          <w:color w:val="auto"/>
        </w:rPr>
        <w:tab/>
      </w:r>
      <w:r>
        <w:rPr>
          <w:rFonts w:ascii="Arial" w:cs="Arial" w:eastAsia="Arial" w:hAnsi="Arial"/>
          <w:sz w:val="14"/>
          <w:szCs w:val="14"/>
          <w:color w:val="auto"/>
        </w:rPr>
        <w:t>4,713,191</w:t>
      </w:r>
      <w:r>
        <w:rPr>
          <w:sz w:val="20"/>
          <w:szCs w:val="20"/>
          <w:color w:val="auto"/>
        </w:rPr>
        <w:tab/>
      </w:r>
      <w:r>
        <w:rPr>
          <w:rFonts w:ascii="Arial" w:cs="Arial" w:eastAsia="Arial" w:hAnsi="Arial"/>
          <w:sz w:val="13"/>
          <w:szCs w:val="13"/>
          <w:color w:val="auto"/>
        </w:rPr>
        <w:t>4,728,742</w:t>
      </w:r>
    </w:p>
    <w:p>
      <w:pPr>
        <w:sectPr>
          <w:pgSz w:w="11900" w:h="16838" w:orient="portrait"/>
          <w:cols w:equalWidth="0" w:num="3">
            <w:col w:w="3640" w:space="600"/>
            <w:col w:w="3180" w:space="720"/>
            <w:col w:w="3180"/>
          </w:cols>
          <w:pgMar w:left="240" w:top="873" w:right="339" w:bottom="1440" w:gutter="0" w:footer="0" w:header="0"/>
        </w:sectPr>
      </w:pPr>
    </w:p>
    <w:bookmarkStart w:id="12" w:name="page13"/>
    <w:bookmarkEnd w:id="1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Trimaran Advisors,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3"/>
          <w:szCs w:val="13"/>
          <w:i w:val="1"/>
          <w:iCs w:val="1"/>
          <w:color w:val="auto"/>
        </w:rPr>
        <w:t>Banking, Finance, Insurance &amp; Real Estate</w:t>
      </w:r>
    </w:p>
    <w:p>
      <w:pPr>
        <w:spacing w:after="0" w:line="146" w:lineRule="exact"/>
        <w:rPr>
          <w:sz w:val="20"/>
          <w:szCs w:val="20"/>
          <w:color w:val="auto"/>
        </w:rPr>
      </w:pPr>
    </w:p>
    <w:p>
      <w:pPr>
        <w:ind w:left="180" w:right="800" w:hanging="161"/>
        <w:spacing w:after="0" w:line="203" w:lineRule="auto"/>
        <w:rPr>
          <w:sz w:val="20"/>
          <w:szCs w:val="20"/>
          <w:color w:val="auto"/>
        </w:rPr>
      </w:pPr>
      <w:r>
        <w:rPr>
          <w:rFonts w:ascii="Arial" w:cs="Arial" w:eastAsia="Arial" w:hAnsi="Arial"/>
          <w:sz w:val="14"/>
          <w:szCs w:val="14"/>
          <w:color w:val="auto"/>
        </w:rPr>
        <w:t>TriZetto Group, Inc. (TZ Merger Sub,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High Tech Industries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TUI University, LLC</w:t>
      </w:r>
      <w:r>
        <w:rPr>
          <w:rFonts w:ascii="Arial" w:cs="Arial" w:eastAsia="Arial" w:hAnsi="Arial"/>
          <w:sz w:val="21"/>
          <w:szCs w:val="21"/>
          <w:color w:val="auto"/>
          <w:vertAlign w:val="superscript"/>
        </w:rPr>
        <w:t>9</w:t>
      </w:r>
    </w:p>
    <w:p>
      <w:pPr>
        <w:jc w:val="right"/>
        <w:ind w:right="2200"/>
        <w:spacing w:after="0"/>
        <w:rPr>
          <w:sz w:val="20"/>
          <w:szCs w:val="20"/>
          <w:color w:val="auto"/>
        </w:rPr>
      </w:pPr>
      <w:r>
        <w:rPr>
          <w:rFonts w:ascii="Arial" w:cs="Arial" w:eastAsia="Arial" w:hAnsi="Arial"/>
          <w:sz w:val="14"/>
          <w:szCs w:val="14"/>
          <w:i w:val="1"/>
          <w:iCs w:val="1"/>
          <w:color w:val="auto"/>
        </w:rPr>
        <w:t>Services: Consumer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Chemicals, Plastics and Rubber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USJ-IMECO Holding Company,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84" w:lineRule="exact"/>
        <w:rPr>
          <w:sz w:val="20"/>
          <w:szCs w:val="20"/>
          <w:color w:val="auto"/>
        </w:rPr>
      </w:pPr>
    </w:p>
    <w:p>
      <w:pPr>
        <w:jc w:val="center"/>
        <w:ind w:right="1720"/>
        <w:spacing w:after="0"/>
        <w:rPr>
          <w:sz w:val="20"/>
          <w:szCs w:val="20"/>
          <w:color w:val="auto"/>
        </w:rPr>
      </w:pPr>
      <w:r>
        <w:rPr>
          <w:rFonts w:ascii="Arial" w:cs="Arial" w:eastAsia="Arial" w:hAnsi="Arial"/>
          <w:sz w:val="13"/>
          <w:szCs w:val="13"/>
          <w:color w:val="auto"/>
        </w:rPr>
        <w:t>Verdesian Life Sciences, LLC</w:t>
      </w:r>
      <w:r>
        <w:rPr>
          <w:rFonts w:ascii="Arial" w:cs="Arial" w:eastAsia="Arial" w:hAnsi="Arial"/>
          <w:sz w:val="21"/>
          <w:szCs w:val="21"/>
          <w:color w:val="auto"/>
          <w:vertAlign w:val="superscript"/>
        </w:rPr>
        <w:t>9</w:t>
      </w:r>
    </w:p>
    <w:p>
      <w:pPr>
        <w:jc w:val="center"/>
        <w:ind w:right="1720"/>
        <w:spacing w:after="0"/>
        <w:rPr>
          <w:sz w:val="20"/>
          <w:szCs w:val="20"/>
          <w:color w:val="auto"/>
        </w:rPr>
      </w:pPr>
      <w:r>
        <w:rPr>
          <w:rFonts w:ascii="Arial" w:cs="Arial" w:eastAsia="Arial" w:hAnsi="Arial"/>
          <w:sz w:val="14"/>
          <w:szCs w:val="14"/>
          <w:i w:val="1"/>
          <w:iCs w:val="1"/>
          <w:color w:val="auto"/>
        </w:rPr>
        <w:t>Environmental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Verdesian Life Sciences,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6.3%</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1.5% Libor Floor, Due 7/16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3,783,751</w:t>
            </w:r>
          </w:p>
        </w:tc>
        <w:tc>
          <w:tcPr>
            <w:tcW w:w="20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3,770,553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3,782,994</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Unsecured Loan — Revolving Credit Facility</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9.0%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11/17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4.8%</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1.3% Libor Floor, Due 5/18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3,544,969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3,551,273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3,544,969</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4"/>
                <w:szCs w:val="14"/>
                <w:color w:val="auto"/>
              </w:rPr>
              <w:t>11.0% Cash, 1.0% Libor Floor, Due 12/17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986,078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1,020,000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8.3%</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1.3% Libor Floor, Due 10/14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1,647,733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1,643,778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1,637,518</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6/20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1,004,373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992,970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3.5%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0.8% Libor Floor, Due 2/17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1,906,653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1,918,987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1,891,876</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1.5% Libor Floor, Due 6/17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2,909,626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2,907,252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2,925,760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4/20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3,970,564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3,990,000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6/20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985,000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985,000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1.0% Libor Floor, Due 6/20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2,955,000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-3001645</wp:posOffset>
            </wp:positionV>
            <wp:extent cx="724662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-2693035</wp:posOffset>
            </wp:positionV>
            <wp:extent cx="724662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-2384425</wp:posOffset>
            </wp:positionV>
            <wp:extent cx="724662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-2075815</wp:posOffset>
            </wp:positionV>
            <wp:extent cx="724662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-1767205</wp:posOffset>
            </wp:positionV>
            <wp:extent cx="724662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-1457960</wp:posOffset>
            </wp:positionV>
            <wp:extent cx="72466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-1149350</wp:posOffset>
            </wp:positionV>
            <wp:extent cx="724662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-840740</wp:posOffset>
            </wp:positionV>
            <wp:extent cx="724662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-532130</wp:posOffset>
            </wp:positionV>
            <wp:extent cx="72466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724662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-3319145</wp:posOffset>
            </wp:positionV>
            <wp:extent cx="724662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520" w:space="720"/>
            <w:col w:w="7080"/>
          </w:cols>
          <w:pgMar w:left="240" w:top="861" w:right="339" w:bottom="1440" w:gutter="0" w:footer="0" w:header="0"/>
        </w:sectPr>
      </w:pPr>
    </w:p>
    <w:bookmarkStart w:id="13" w:name="page14"/>
    <w:bookmarkEnd w:id="13"/>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5" w:lineRule="exact"/>
        <w:rPr>
          <w:sz w:val="20"/>
          <w:szCs w:val="20"/>
          <w:color w:val="auto"/>
        </w:rPr>
      </w:pPr>
    </w:p>
    <w:p>
      <w:pPr>
        <w:ind w:left="180" w:hanging="161"/>
        <w:spacing w:after="0" w:line="198" w:lineRule="auto"/>
        <w:rPr>
          <w:sz w:val="20"/>
          <w:szCs w:val="20"/>
          <w:color w:val="auto"/>
        </w:rPr>
      </w:pPr>
      <w:r>
        <w:rPr>
          <w:rFonts w:ascii="Arial" w:cs="Arial" w:eastAsia="Arial" w:hAnsi="Arial"/>
          <w:sz w:val="14"/>
          <w:szCs w:val="14"/>
          <w:color w:val="auto"/>
        </w:rPr>
        <w:t>Vestcom International, Inc. (fka Vector Investment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WideOpenWest Finance ,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47" w:lineRule="exact"/>
        <w:rPr>
          <w:sz w:val="20"/>
          <w:szCs w:val="20"/>
          <w:color w:val="auto"/>
        </w:rPr>
      </w:pPr>
    </w:p>
    <w:p>
      <w:pPr>
        <w:ind w:left="180" w:right="1640" w:hanging="161"/>
        <w:spacing w:after="0" w:line="297" w:lineRule="auto"/>
        <w:rPr>
          <w:sz w:val="20"/>
          <w:szCs w:val="20"/>
          <w:color w:val="auto"/>
        </w:rPr>
      </w:pPr>
      <w:r>
        <w:rPr>
          <w:rFonts w:ascii="Arial" w:cs="Arial" w:eastAsia="Arial" w:hAnsi="Arial"/>
          <w:sz w:val="13"/>
          <w:szCs w:val="13"/>
          <w:b w:val="1"/>
          <w:bCs w:val="1"/>
          <w:color w:val="auto"/>
        </w:rPr>
        <w:t>Total Investment in Debt Securities (99% of net asset value at fair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Senior Secured Loan — Term Loan</w:t>
      </w:r>
    </w:p>
    <w:p>
      <w:pPr>
        <w:spacing w:after="0"/>
        <w:rPr>
          <w:sz w:val="20"/>
          <w:szCs w:val="20"/>
          <w:color w:val="auto"/>
        </w:rPr>
      </w:pPr>
      <w:r>
        <w:rPr>
          <w:rFonts w:ascii="Arial" w:cs="Arial" w:eastAsia="Arial" w:hAnsi="Arial"/>
          <w:sz w:val="14"/>
          <w:szCs w:val="14"/>
          <w:color w:val="auto"/>
        </w:rPr>
        <w:t>5.5% Cash, 1.0% Libor Floor, Due 12/18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1.0% Libor Floor, Due 11/18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1.0% Libor Floor, Due 11/18</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Junior Secured Loan — Subordinated Note (Second Lien) 14.0% Cash, Due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1060"/>
        <w:spacing w:after="0" w:line="291" w:lineRule="auto"/>
        <w:rPr>
          <w:sz w:val="20"/>
          <w:szCs w:val="20"/>
          <w:color w:val="auto"/>
        </w:rPr>
      </w:pPr>
      <w:r>
        <w:rPr>
          <w:rFonts w:ascii="Arial" w:cs="Arial" w:eastAsia="Arial" w:hAnsi="Arial"/>
          <w:sz w:val="13"/>
          <w:szCs w:val="13"/>
          <w:color w:val="auto"/>
        </w:rPr>
        <w:t>Senior Secured Loan — Term B Loan 4.8% Cash, 1.0% Libor Floor, Due 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-217805</wp:posOffset>
            </wp:positionV>
            <wp:extent cx="724662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04" w:lineRule="exact"/>
        <w:rPr>
          <w:sz w:val="20"/>
          <w:szCs w:val="20"/>
          <w:color w:val="auto"/>
        </w:rPr>
      </w:pPr>
    </w:p>
    <w:p>
      <w:pPr>
        <w:ind w:right="740"/>
        <w:spacing w:after="0" w:line="253" w:lineRule="auto"/>
        <w:rPr>
          <w:sz w:val="20"/>
          <w:szCs w:val="20"/>
          <w:color w:val="auto"/>
        </w:rPr>
      </w:pPr>
      <w:r>
        <w:rPr>
          <w:rFonts w:ascii="Arial" w:cs="Arial" w:eastAsia="Arial" w:hAnsi="Arial"/>
          <w:sz w:val="14"/>
          <w:szCs w:val="14"/>
          <w:color w:val="auto"/>
        </w:rPr>
        <w:t>Senior Unsecured Bond — 11.75% - 05/2017 11.8% Cash, Due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740"/>
        <w:spacing w:after="0" w:line="253" w:lineRule="auto"/>
        <w:rPr>
          <w:sz w:val="20"/>
          <w:szCs w:val="20"/>
          <w:color w:val="auto"/>
        </w:rPr>
      </w:pPr>
      <w:r>
        <w:rPr>
          <w:rFonts w:ascii="Arial" w:cs="Arial" w:eastAsia="Arial" w:hAnsi="Arial"/>
          <w:sz w:val="14"/>
          <w:szCs w:val="14"/>
          <w:color w:val="auto"/>
        </w:rPr>
        <w:t>Senior Unsecured Bond — 11.75% - 05/2017 11.8% Cash, Due 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121920</wp:posOffset>
            </wp:positionV>
            <wp:extent cx="724662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80"/>
        <w:spacing w:after="0"/>
        <w:tabs>
          <w:tab w:leader="none" w:pos="1440" w:val="left"/>
          <w:tab w:leader="none" w:pos="2340" w:val="left"/>
        </w:tabs>
        <w:rPr>
          <w:sz w:val="20"/>
          <w:szCs w:val="20"/>
          <w:color w:val="auto"/>
        </w:rPr>
      </w:pPr>
      <w:r>
        <w:rPr>
          <w:rFonts w:ascii="Arial" w:cs="Arial" w:eastAsia="Arial" w:hAnsi="Arial"/>
          <w:sz w:val="14"/>
          <w:szCs w:val="14"/>
          <w:b w:val="1"/>
          <w:bCs w:val="1"/>
          <w:color w:val="auto"/>
        </w:rPr>
        <w:t>Principal</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Fair Value</w:t>
      </w:r>
      <w:r>
        <w:rPr>
          <w:rFonts w:ascii="Arial" w:cs="Arial" w:eastAsia="Arial" w:hAnsi="Arial"/>
          <w:sz w:val="21"/>
          <w:szCs w:val="21"/>
          <w:color w:val="auto"/>
          <w:vertAlign w:val="superscript"/>
        </w:rPr>
        <w:t>2</w:t>
      </w:r>
    </w:p>
    <w:p>
      <w:pPr>
        <w:spacing w:after="0" w:line="140" w:lineRule="exact"/>
        <w:rPr>
          <w:sz w:val="20"/>
          <w:szCs w:val="20"/>
          <w:color w:val="auto"/>
        </w:rPr>
      </w:pPr>
    </w:p>
    <w:p>
      <w:pPr>
        <w:spacing w:after="0"/>
        <w:tabs>
          <w:tab w:leader="none" w:pos="340" w:val="left"/>
          <w:tab w:leader="none" w:pos="1120" w:val="left"/>
          <w:tab w:leader="none" w:pos="1460" w:val="left"/>
          <w:tab w:leader="none" w:pos="2240" w:val="left"/>
          <w:tab w:leader="none" w:pos="25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2,866,953</w:t>
        <w:tab/>
        <w:t>$</w:t>
      </w:r>
      <w:r>
        <w:rPr>
          <w:sz w:val="20"/>
          <w:szCs w:val="20"/>
          <w:color w:val="auto"/>
        </w:rPr>
        <w:tab/>
      </w:r>
      <w:r>
        <w:rPr>
          <w:rFonts w:ascii="Arial" w:cs="Arial" w:eastAsia="Arial" w:hAnsi="Arial"/>
          <w:sz w:val="14"/>
          <w:szCs w:val="14"/>
          <w:color w:val="auto"/>
        </w:rPr>
        <w:t>2,832,592</w:t>
        <w:tab/>
        <w:t>$</w:t>
      </w:r>
      <w:r>
        <w:rPr>
          <w:sz w:val="20"/>
          <w:szCs w:val="20"/>
          <w:color w:val="auto"/>
        </w:rPr>
        <w:tab/>
      </w:r>
      <w:r>
        <w:rPr>
          <w:rFonts w:ascii="Arial" w:cs="Arial" w:eastAsia="Arial" w:hAnsi="Arial"/>
          <w:sz w:val="13"/>
          <w:szCs w:val="13"/>
          <w:color w:val="auto"/>
        </w:rPr>
        <w:t>2,867,814</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2,987,255</w:t>
      </w:r>
      <w:r>
        <w:rPr>
          <w:sz w:val="20"/>
          <w:szCs w:val="20"/>
          <w:color w:val="auto"/>
        </w:rPr>
        <w:tab/>
      </w:r>
      <w:r>
        <w:rPr>
          <w:rFonts w:ascii="Arial" w:cs="Arial" w:eastAsia="Arial" w:hAnsi="Arial"/>
          <w:sz w:val="14"/>
          <w:szCs w:val="14"/>
          <w:color w:val="auto"/>
        </w:rPr>
        <w:t>2,960,373</w:t>
      </w:r>
      <w:r>
        <w:rPr>
          <w:sz w:val="20"/>
          <w:szCs w:val="20"/>
          <w:color w:val="auto"/>
        </w:rPr>
        <w:tab/>
      </w:r>
      <w:r>
        <w:rPr>
          <w:rFonts w:ascii="Arial" w:cs="Arial" w:eastAsia="Arial" w:hAnsi="Arial"/>
          <w:sz w:val="13"/>
          <w:szCs w:val="13"/>
          <w:color w:val="auto"/>
        </w:rPr>
        <w:t>2,987,255</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3,983,007</w:t>
      </w:r>
      <w:r>
        <w:rPr>
          <w:sz w:val="20"/>
          <w:szCs w:val="20"/>
          <w:color w:val="auto"/>
        </w:rPr>
        <w:tab/>
      </w:r>
      <w:r>
        <w:rPr>
          <w:rFonts w:ascii="Arial" w:cs="Arial" w:eastAsia="Arial" w:hAnsi="Arial"/>
          <w:sz w:val="14"/>
          <w:szCs w:val="14"/>
          <w:color w:val="auto"/>
        </w:rPr>
        <w:t>3,947,998</w:t>
      </w:r>
      <w:r>
        <w:rPr>
          <w:sz w:val="20"/>
          <w:szCs w:val="20"/>
          <w:color w:val="auto"/>
        </w:rPr>
        <w:tab/>
      </w:r>
      <w:r>
        <w:rPr>
          <w:rFonts w:ascii="Arial" w:cs="Arial" w:eastAsia="Arial" w:hAnsi="Arial"/>
          <w:sz w:val="13"/>
          <w:szCs w:val="13"/>
          <w:color w:val="auto"/>
        </w:rPr>
        <w:t>3,983,007</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4,901,997</w:t>
      </w:r>
      <w:r>
        <w:rPr>
          <w:sz w:val="20"/>
          <w:szCs w:val="20"/>
          <w:color w:val="auto"/>
        </w:rPr>
        <w:tab/>
      </w:r>
      <w:r>
        <w:rPr>
          <w:rFonts w:ascii="Arial" w:cs="Arial" w:eastAsia="Arial" w:hAnsi="Arial"/>
          <w:sz w:val="14"/>
          <w:szCs w:val="14"/>
          <w:color w:val="auto"/>
        </w:rPr>
        <w:t>4,880,380</w:t>
      </w:r>
      <w:r>
        <w:rPr>
          <w:sz w:val="20"/>
          <w:szCs w:val="20"/>
          <w:color w:val="auto"/>
        </w:rPr>
        <w:tab/>
      </w:r>
      <w:r>
        <w:rPr>
          <w:rFonts w:ascii="Arial" w:cs="Arial" w:eastAsia="Arial" w:hAnsi="Arial"/>
          <w:sz w:val="13"/>
          <w:szCs w:val="13"/>
          <w:color w:val="auto"/>
        </w:rPr>
        <w:t>4,951,017</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2,969,925</w:t>
      </w:r>
      <w:r>
        <w:rPr>
          <w:sz w:val="20"/>
          <w:szCs w:val="20"/>
          <w:color w:val="auto"/>
        </w:rPr>
        <w:tab/>
      </w:r>
      <w:r>
        <w:rPr>
          <w:rFonts w:ascii="Arial" w:cs="Arial" w:eastAsia="Arial" w:hAnsi="Arial"/>
          <w:sz w:val="14"/>
          <w:szCs w:val="14"/>
          <w:color w:val="auto"/>
        </w:rPr>
        <w:t>2,988,487</w:t>
      </w:r>
      <w:r>
        <w:rPr>
          <w:sz w:val="20"/>
          <w:szCs w:val="20"/>
          <w:color w:val="auto"/>
        </w:rPr>
        <w:tab/>
      </w:r>
      <w:r>
        <w:rPr>
          <w:rFonts w:ascii="Arial" w:cs="Arial" w:eastAsia="Arial" w:hAnsi="Arial"/>
          <w:sz w:val="13"/>
          <w:szCs w:val="13"/>
          <w:color w:val="auto"/>
        </w:rPr>
        <w:t>2,982,918</w:t>
      </w:r>
    </w:p>
    <w:p>
      <w:pPr>
        <w:spacing w:after="0" w:line="325"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5,000,000</w:t>
      </w:r>
      <w:r>
        <w:rPr>
          <w:sz w:val="20"/>
          <w:szCs w:val="20"/>
          <w:color w:val="auto"/>
        </w:rPr>
        <w:tab/>
      </w:r>
      <w:r>
        <w:rPr>
          <w:rFonts w:ascii="Arial" w:cs="Arial" w:eastAsia="Arial" w:hAnsi="Arial"/>
          <w:sz w:val="14"/>
          <w:szCs w:val="14"/>
          <w:color w:val="auto"/>
        </w:rPr>
        <w:t>4,979,145</w:t>
      </w:r>
      <w:r>
        <w:rPr>
          <w:sz w:val="20"/>
          <w:szCs w:val="20"/>
          <w:color w:val="auto"/>
        </w:rPr>
        <w:tab/>
      </w:r>
      <w:r>
        <w:rPr>
          <w:rFonts w:ascii="Arial" w:cs="Arial" w:eastAsia="Arial" w:hAnsi="Arial"/>
          <w:sz w:val="13"/>
          <w:szCs w:val="13"/>
          <w:color w:val="auto"/>
        </w:rPr>
        <w:t>5,121,000</w:t>
      </w:r>
    </w:p>
    <w:p>
      <w:pPr>
        <w:spacing w:after="0" w:line="339" w:lineRule="exact"/>
        <w:rPr>
          <w:sz w:val="20"/>
          <w:szCs w:val="20"/>
          <w:color w:val="auto"/>
        </w:rPr>
      </w:pPr>
    </w:p>
    <w:p>
      <w:pPr>
        <w:jc w:val="both"/>
        <w:ind w:left="360"/>
        <w:spacing w:after="0"/>
        <w:tabs>
          <w:tab w:leader="none" w:pos="1460" w:val="left"/>
          <w:tab w:leader="none" w:pos="2580" w:val="left"/>
        </w:tabs>
        <w:rPr>
          <w:sz w:val="20"/>
          <w:szCs w:val="20"/>
          <w:color w:val="auto"/>
        </w:rPr>
      </w:pPr>
      <w:r>
        <w:rPr>
          <w:rFonts w:ascii="Arial" w:cs="Arial" w:eastAsia="Arial" w:hAnsi="Arial"/>
          <w:sz w:val="14"/>
          <w:szCs w:val="14"/>
          <w:color w:val="auto"/>
        </w:rPr>
        <w:t>3,000,000</w:t>
      </w:r>
      <w:r>
        <w:rPr>
          <w:sz w:val="20"/>
          <w:szCs w:val="20"/>
          <w:color w:val="auto"/>
        </w:rPr>
        <w:tab/>
      </w:r>
      <w:r>
        <w:rPr>
          <w:rFonts w:ascii="Arial" w:cs="Arial" w:eastAsia="Arial" w:hAnsi="Arial"/>
          <w:sz w:val="14"/>
          <w:szCs w:val="14"/>
          <w:color w:val="auto"/>
        </w:rPr>
        <w:t>2,987,487</w:t>
      </w:r>
      <w:r>
        <w:rPr>
          <w:sz w:val="20"/>
          <w:szCs w:val="20"/>
          <w:color w:val="auto"/>
        </w:rPr>
        <w:tab/>
      </w:r>
      <w:r>
        <w:rPr>
          <w:rFonts w:ascii="Arial" w:cs="Arial" w:eastAsia="Arial" w:hAnsi="Arial"/>
          <w:sz w:val="13"/>
          <w:szCs w:val="13"/>
          <w:color w:val="auto"/>
        </w:rPr>
        <w:t>3,072,600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20154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92" w:lineRule="exact"/>
        <w:rPr>
          <w:sz w:val="20"/>
          <w:szCs w:val="20"/>
          <w:color w:val="auto"/>
        </w:rPr>
      </w:pPr>
    </w:p>
    <w:p>
      <w:pPr>
        <w:spacing w:after="0"/>
        <w:tabs>
          <w:tab w:leader="none" w:pos="200" w:val="left"/>
          <w:tab w:leader="none" w:pos="1120" w:val="left"/>
          <w:tab w:leader="none" w:pos="1320" w:val="left"/>
          <w:tab w:leader="none" w:pos="2240" w:val="left"/>
          <w:tab w:leader="none" w:pos="2440" w:val="left"/>
        </w:tabs>
        <w:rPr>
          <w:sz w:val="20"/>
          <w:szCs w:val="20"/>
          <w:color w:val="auto"/>
        </w:rPr>
      </w:pPr>
      <w:r>
        <w:rPr>
          <w:rFonts w:ascii="Arial" w:cs="Arial" w:eastAsia="Arial" w:hAnsi="Arial"/>
          <w:sz w:val="14"/>
          <w:szCs w:val="14"/>
          <w:u w:val="single" w:color="auto"/>
          <w:color w:val="auto"/>
        </w:rPr>
        <w:t>$</w:t>
        <w:tab/>
        <w:t>266,037,525</w:t>
        <w:tab/>
        <w:t>$</w:t>
        <w:tab/>
        <w:t>263,906,927</w:t>
        <w:tab/>
        <w:t>$</w:t>
      </w:r>
      <w:r>
        <w:rPr>
          <w:sz w:val="20"/>
          <w:szCs w:val="20"/>
          <w:color w:val="auto"/>
        </w:rPr>
        <w:tab/>
      </w:r>
      <w:r>
        <w:rPr>
          <w:rFonts w:ascii="Arial" w:cs="Arial" w:eastAsia="Arial" w:hAnsi="Arial"/>
          <w:sz w:val="12"/>
          <w:szCs w:val="12"/>
          <w:u w:val="single" w:color="auto"/>
          <w:color w:val="auto"/>
        </w:rPr>
        <w:t>256,023,078</w:t>
      </w:r>
    </w:p>
    <w:p>
      <w:pPr>
        <w:spacing w:after="0" w:line="242" w:lineRule="exact"/>
        <w:rPr>
          <w:sz w:val="20"/>
          <w:szCs w:val="20"/>
          <w:color w:val="auto"/>
        </w:rPr>
      </w:pPr>
    </w:p>
    <w:p>
      <w:pPr>
        <w:sectPr>
          <w:pgSz w:w="11900" w:h="16838" w:orient="portrait"/>
          <w:cols w:equalWidth="0" w:num="3">
            <w:col w:w="4060" w:space="180"/>
            <w:col w:w="3360" w:space="540"/>
            <w:col w:w="3180"/>
          </w:cols>
          <w:pgMar w:left="240" w:top="873" w:right="339" w:bottom="1440" w:gutter="0" w:footer="0" w:header="0"/>
        </w:sectPr>
      </w:pP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Equity Securities Portfolio</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Aerostructures Holdings L.P.</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Aerostructures Holdings L.P.</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Diversified/Conglomerate Service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Caribe Media Inc. (fka Caribe Information Investments Incorporated)</w:t>
      </w:r>
      <w:r>
        <w:rPr>
          <w:rFonts w:ascii="Arial" w:cs="Arial" w:eastAsia="Arial" w:hAnsi="Arial"/>
          <w:sz w:val="21"/>
          <w:szCs w:val="21"/>
          <w:color w:val="auto"/>
          <w:vertAlign w:val="superscript"/>
        </w:rPr>
        <w:t>5,</w:t>
      </w:r>
    </w:p>
    <w:p>
      <w:pPr>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Printing and Publishing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Coastal Concrete Holding II, LLC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DBI Holding LLC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eInstruction Acquisition, LLC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FP WRCA Coinvestment Fund VII, Ltd.</w:t>
      </w:r>
      <w:r>
        <w:rPr>
          <w:rFonts w:ascii="Arial" w:cs="Arial" w:eastAsia="Arial" w:hAnsi="Arial"/>
          <w:sz w:val="23"/>
          <w:szCs w:val="23"/>
          <w:color w:val="auto"/>
          <w:vertAlign w:val="superscript"/>
        </w:rPr>
        <w:t>3, 5,</w:t>
      </w:r>
    </w:p>
    <w:p>
      <w:pPr>
        <w:ind w:left="180"/>
        <w:spacing w:after="0"/>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Interest/Shares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Partnership Interests</w:t>
            </w: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Series A Preferred Interests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250,961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295,379</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B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C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Common Stock 2013</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314,325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244,088</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Common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359,765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546,336</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Units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8,625,626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258,940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354,554</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Membership Units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1,079,616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Shares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1,500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2,135,490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-3104515</wp:posOffset>
            </wp:positionV>
            <wp:extent cx="724662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-2795905</wp:posOffset>
            </wp:positionV>
            <wp:extent cx="724662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-2487295</wp:posOffset>
            </wp:positionV>
            <wp:extent cx="724662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-2178685</wp:posOffset>
            </wp:positionV>
            <wp:extent cx="724662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-1870075</wp:posOffset>
            </wp:positionV>
            <wp:extent cx="724662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-1560830</wp:posOffset>
            </wp:positionV>
            <wp:extent cx="7246620" cy="317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-1149350</wp:posOffset>
            </wp:positionV>
            <wp:extent cx="724662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-840740</wp:posOffset>
            </wp:positionV>
            <wp:extent cx="724662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-532130</wp:posOffset>
            </wp:positionV>
            <wp:extent cx="724662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724662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-3422015</wp:posOffset>
            </wp:positionV>
            <wp:extent cx="72466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140"/>
            <w:col w:w="7080"/>
          </w:cols>
          <w:pgMar w:left="240" w:top="877"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3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Percentage</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020" w:type="dxa"/>
            <w:vAlign w:val="bottom"/>
            <w:gridSpan w:val="3"/>
            <w:vMerge w:val="continue"/>
          </w:tcPr>
          <w:p>
            <w:pPr>
              <w:spacing w:after="0"/>
              <w:rPr>
                <w:sz w:val="14"/>
                <w:szCs w:val="14"/>
                <w:color w:val="auto"/>
              </w:rPr>
            </w:pPr>
          </w:p>
        </w:tc>
        <w:tc>
          <w:tcPr>
            <w:tcW w:w="13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w w:val="88"/>
              </w:rPr>
              <w:t>Interest/Shares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0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8"/>
                <w:szCs w:val="18"/>
                <w:color w:val="auto"/>
                <w:vertAlign w:val="superscript"/>
              </w:rPr>
              <w:t>5, 9</w:t>
            </w:r>
          </w:p>
        </w:tc>
        <w:tc>
          <w:tcPr>
            <w:tcW w:w="1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0.2%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w w:val="93"/>
              </w:rPr>
              <w:t>Home and Office Furnishings, Housewares, and Durable Consumer</w:t>
            </w:r>
          </w:p>
        </w:tc>
        <w:tc>
          <w:tcPr>
            <w:tcW w:w="1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Products</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1,382,237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5, 9</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Class A Units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Healthcare &amp; Pharmaceuticals</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Oil and Gas</w:t>
            </w: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2,796,887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1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120" w:type="dxa"/>
            <w:vAlign w:val="bottom"/>
            <w:shd w:val="clear" w:color="auto" w:fill="CCEEFF"/>
          </w:tcPr>
          <w:p>
            <w:pPr>
              <w:spacing w:after="0"/>
              <w:rPr>
                <w:sz w:val="10"/>
                <w:szCs w:val="10"/>
                <w:color w:val="auto"/>
              </w:rPr>
            </w:pPr>
          </w:p>
        </w:tc>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(3% of net asset value at fair value)</w:t>
            </w:r>
          </w:p>
        </w:tc>
        <w:tc>
          <w:tcPr>
            <w:tcW w:w="12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16,289,233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8,758,971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020" w:type="dxa"/>
            <w:vAlign w:val="bottom"/>
            <w:gridSpan w:val="3"/>
            <w:vMerge w:val="continue"/>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4,701,455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738,158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3, 10</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1,398,172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3, 10</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3,320,000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4,484,693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1,579,404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3,378,005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1,387,164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2,008,087</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777,822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11,755,728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5,714,906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31,095,297</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27,991,513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3,524,200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2,733,495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2,716,400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1,842,675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Income 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2,761,700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1,925,496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Income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3,132,100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2,251,346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8,987,000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6,969,478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Catamaran CLO 2013-1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23.5%</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9,365,700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8,762,580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21"/>
                <w:szCs w:val="21"/>
                <w:color w:val="auto"/>
                <w:vertAlign w:val="superscript"/>
              </w:rPr>
              <w:t>3</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3,036,200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23"/>
                <w:szCs w:val="23"/>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11,464,500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9,683,361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b w:val="1"/>
                <w:bCs w:val="1"/>
                <w:color w:val="auto"/>
              </w:rPr>
              <w:t>Total Investment in CLO Subordinated Securities</w:t>
            </w: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107,129,237</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75,800,898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ectPr>
          <w:pgSz w:w="11900" w:h="16838" w:orient="portrait"/>
          <w:cols w:equalWidth="0" w:num="1">
            <w:col w:w="11420"/>
          </w:cols>
          <w:pgMar w:left="240" w:top="877"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2014-1 Ltd.</w:t>
      </w:r>
      <w:r>
        <w:rPr>
          <w:rFonts w:ascii="Arial" w:cs="Arial" w:eastAsia="Arial" w:hAnsi="Arial"/>
          <w:sz w:val="23"/>
          <w:szCs w:val="23"/>
          <w:color w:val="auto"/>
          <w:vertAlign w:val="superscript"/>
        </w:rPr>
        <w:t>3, 6</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CLO Rated-Note</w:t>
      </w:r>
    </w:p>
    <w:p>
      <w:pPr>
        <w:spacing w:after="0" w:line="163" w:lineRule="exact"/>
        <w:rPr>
          <w:sz w:val="20"/>
          <w:szCs w:val="20"/>
          <w:color w:val="auto"/>
        </w:rPr>
      </w:pPr>
    </w:p>
    <w:p>
      <w:pPr>
        <w:ind w:left="180" w:right="860" w:hanging="161"/>
        <w:spacing w:after="0" w:line="297" w:lineRule="auto"/>
        <w:rPr>
          <w:sz w:val="20"/>
          <w:szCs w:val="20"/>
          <w:color w:val="auto"/>
        </w:rPr>
      </w:pPr>
      <w:r>
        <w:rPr>
          <w:rFonts w:ascii="Arial" w:cs="Arial" w:eastAsia="Arial" w:hAnsi="Arial"/>
          <w:sz w:val="13"/>
          <w:szCs w:val="13"/>
          <w:b w:val="1"/>
          <w:bCs w:val="1"/>
          <w:color w:val="auto"/>
        </w:rPr>
        <w:t>Total Investment in CLO Fund Securities (35% of net asset value at fair value)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020" w:type="dxa"/>
            <w:vAlign w:val="bottom"/>
            <w:gridSpan w:val="3"/>
            <w:vMerge w:val="continue"/>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37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Floating - 04/2022 - B2L</w:t>
            </w: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Par Value of $10,500,000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Due 4/22</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1,327,169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Float - 12/2023 - F</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Par Value of $4,500,000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Due 12/23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3,885,051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4,290,000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Float - 04/2026 - 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Par Value of $1,525,000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Due 4/26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15.1%</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1,407,446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6,619,666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15,930,000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113,748,903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91,730,898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-805180</wp:posOffset>
            </wp:positionV>
            <wp:extent cx="724662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-410845</wp:posOffset>
            </wp:positionV>
            <wp:extent cx="724662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-205105</wp:posOffset>
            </wp:positionV>
            <wp:extent cx="724662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-1379855</wp:posOffset>
            </wp:positionV>
            <wp:extent cx="724662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400" w:space="720"/>
            <w:col w:w="7300"/>
          </w:cols>
          <w:pgMar w:left="240" w:top="877" w:right="2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3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020" w:type="dxa"/>
            <w:vAlign w:val="bottom"/>
            <w:gridSpan w:val="3"/>
            <w:vMerge w:val="continue"/>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9</w:t>
            </w: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83,924,720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75,302,000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 in Asset Manager Affiliates</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83,924,720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75,302,000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(29% of net asset value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3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Deposits and Money Market Account</w:t>
      </w:r>
    </w:p>
    <w:p>
      <w:pPr>
        <w:sectPr>
          <w:pgSz w:w="11900" w:h="16838" w:orient="portrait"/>
          <w:cols w:equalWidth="0" w:num="1">
            <w:col w:w="11420"/>
          </w:cols>
          <w:pgMar w:left="240" w:top="877"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Time Deposit and Money Market Accounts</w:t>
      </w:r>
    </w:p>
    <w:p>
      <w:pPr>
        <w:spacing w:after="0" w:line="194" w:lineRule="auto"/>
        <w:rPr>
          <w:sz w:val="20"/>
          <w:szCs w:val="20"/>
          <w:color w:val="auto"/>
        </w:rPr>
      </w:pPr>
      <w:r>
        <w:rPr>
          <w:rFonts w:ascii="Arial" w:cs="Arial" w:eastAsia="Arial" w:hAnsi="Arial"/>
          <w:sz w:val="14"/>
          <w:szCs w:val="14"/>
          <w:color w:val="auto"/>
        </w:rPr>
        <w:t>JP Morgan Business Money Market Account</w:t>
      </w:r>
      <w:r>
        <w:rPr>
          <w:rFonts w:ascii="Arial" w:cs="Arial" w:eastAsia="Arial" w:hAnsi="Arial"/>
          <w:sz w:val="23"/>
          <w:szCs w:val="23"/>
          <w:color w:val="auto"/>
          <w:vertAlign w:val="superscript"/>
        </w:rPr>
        <w:t>8, 9</w:t>
      </w:r>
    </w:p>
    <w:p>
      <w:pPr>
        <w:spacing w:after="0"/>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9</w:t>
      </w:r>
    </w:p>
    <w:p>
      <w:pPr>
        <w:spacing w:after="0" w:line="49" w:lineRule="exact"/>
        <w:rPr>
          <w:sz w:val="20"/>
          <w:szCs w:val="20"/>
          <w:color w:val="auto"/>
        </w:rPr>
      </w:pPr>
    </w:p>
    <w:p>
      <w:pPr>
        <w:ind w:left="180" w:hanging="161"/>
        <w:spacing w:after="0" w:line="299" w:lineRule="auto"/>
        <w:rPr>
          <w:sz w:val="20"/>
          <w:szCs w:val="20"/>
          <w:color w:val="auto"/>
        </w:rPr>
      </w:pPr>
      <w:r>
        <w:rPr>
          <w:rFonts w:ascii="Arial" w:cs="Arial" w:eastAsia="Arial" w:hAnsi="Arial"/>
          <w:sz w:val="14"/>
          <w:szCs w:val="14"/>
          <w:b w:val="1"/>
          <w:bCs w:val="1"/>
          <w:color w:val="auto"/>
        </w:rPr>
        <w:t>Total Investment in Time Deposit and Money Market Accounts (2% of net asset value at fair value)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color w:val="auto"/>
          <w:vertAlign w:val="superscript"/>
        </w:rPr>
        <w:t>4</w:t>
      </w:r>
    </w:p>
    <w:p>
      <w:pPr>
        <w:ind w:left="180"/>
        <w:spacing w:after="0"/>
        <w:rPr>
          <w:sz w:val="20"/>
          <w:szCs w:val="20"/>
          <w:color w:val="auto"/>
        </w:rPr>
      </w:pPr>
      <w:r>
        <w:rPr>
          <w:rFonts w:ascii="Arial" w:cs="Arial" w:eastAsia="Arial" w:hAnsi="Arial"/>
          <w:sz w:val="14"/>
          <w:szCs w:val="14"/>
          <w:b w:val="1"/>
          <w:bCs w:val="1"/>
          <w:color w:val="auto"/>
        </w:rPr>
        <w:t>(169% of net asset value at fair value)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22"/>
                <w:szCs w:val="22"/>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Par / Cost</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r>
      <w:tr>
        <w:trPr>
          <w:trHeight w:val="198"/>
        </w:trPr>
        <w:tc>
          <w:tcPr>
            <w:tcW w:w="39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0.10%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248,980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248,980</w:t>
            </w:r>
          </w:p>
        </w:tc>
      </w:tr>
      <w:tr>
        <w:trPr>
          <w:trHeight w:val="189"/>
        </w:trPr>
        <w:tc>
          <w:tcPr>
            <w:tcW w:w="39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5,361,961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5,361,961</w:t>
            </w:r>
          </w:p>
        </w:tc>
      </w:tr>
      <w:tr>
        <w:trPr>
          <w:trHeight w:val="296"/>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5,610,941</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5,610,941</w:t>
            </w:r>
          </w:p>
        </w:tc>
      </w:tr>
      <w:tr>
        <w:trPr>
          <w:trHeight w:val="507"/>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483,480,724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437,425,888</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-556895</wp:posOffset>
            </wp:positionV>
            <wp:extent cx="724662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-256540</wp:posOffset>
            </wp:positionV>
            <wp:extent cx="724662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-805180</wp:posOffset>
            </wp:positionV>
            <wp:extent cx="72466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3880" w:space="360"/>
            <w:col w:w="7180"/>
          </w:cols>
          <w:pgMar w:left="240" w:top="877"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29" w:lineRule="exact"/>
        <w:rPr>
          <w:sz w:val="20"/>
          <w:szCs w:val="20"/>
          <w:color w:val="auto"/>
        </w:rPr>
      </w:pPr>
    </w:p>
    <w:p>
      <w:pPr>
        <w:jc w:val="both"/>
        <w:ind w:left="460" w:right="20" w:hanging="430"/>
        <w:spacing w:after="0" w:line="221" w:lineRule="auto"/>
        <w:tabs>
          <w:tab w:leader="none" w:pos="46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460" w:right="20"/>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June 30, 2014. As noted in the table above, 65% (based on par) of debt securities contain LIBOR floors which range between 0.75% and 2.00%.</w:t>
      </w:r>
    </w:p>
    <w:p>
      <w:pPr>
        <w:ind w:left="460" w:hanging="430"/>
        <w:spacing w:after="0" w:line="181" w:lineRule="auto"/>
        <w:tabs>
          <w:tab w:leader="none" w:pos="46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June 30, 2014, as determined by the Company’s Board of Directors.</w:t>
      </w:r>
    </w:p>
    <w:p>
      <w:pPr>
        <w:ind w:left="460" w:hanging="430"/>
        <w:spacing w:after="0" w:line="180" w:lineRule="auto"/>
        <w:tabs>
          <w:tab w:leader="none" w:pos="46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3" w:lineRule="exact"/>
        <w:rPr>
          <w:sz w:val="20"/>
          <w:szCs w:val="20"/>
          <w:color w:val="auto"/>
        </w:rPr>
      </w:pPr>
    </w:p>
    <w:p>
      <w:pPr>
        <w:ind w:left="460" w:right="520" w:hanging="430"/>
        <w:spacing w:after="0" w:line="214" w:lineRule="auto"/>
        <w:tabs>
          <w:tab w:leader="none" w:pos="46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$483 million. The aggregate gross unrealized appreciation is approximately $16 million, the aggregate gross unrealized depreciation is approximately $62 million, and the net unrealized depreciation is</w:t>
      </w:r>
    </w:p>
    <w:p>
      <w:pPr>
        <w:ind w:left="460"/>
        <w:spacing w:after="0"/>
        <w:rPr>
          <w:sz w:val="20"/>
          <w:szCs w:val="20"/>
          <w:color w:val="auto"/>
        </w:rPr>
      </w:pPr>
      <w:r>
        <w:rPr>
          <w:rFonts w:ascii="Arial" w:cs="Arial" w:eastAsia="Arial" w:hAnsi="Arial"/>
          <w:sz w:val="18"/>
          <w:szCs w:val="18"/>
          <w:color w:val="auto"/>
        </w:rPr>
        <w:t>approximately $46 million.</w:t>
      </w:r>
    </w:p>
    <w:p>
      <w:pPr>
        <w:ind w:left="460" w:hanging="430"/>
        <w:spacing w:after="0" w:line="180" w:lineRule="auto"/>
        <w:tabs>
          <w:tab w:leader="none" w:pos="46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Non-income producing.</w:t>
      </w:r>
    </w:p>
    <w:p>
      <w:pPr>
        <w:ind w:left="460" w:hanging="430"/>
        <w:spacing w:after="0" w:line="181" w:lineRule="auto"/>
        <w:tabs>
          <w:tab w:leader="none" w:pos="46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60" w:hanging="430"/>
        <w:spacing w:after="0" w:line="180" w:lineRule="auto"/>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60" w:hanging="430"/>
        <w:spacing w:after="0" w:line="180"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60" w:hanging="430"/>
        <w:spacing w:after="0" w:line="181" w:lineRule="auto"/>
        <w:tabs>
          <w:tab w:leader="none" w:pos="4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460" w:hanging="430"/>
        <w:spacing w:after="0" w:line="180" w:lineRule="auto"/>
        <w:tabs>
          <w:tab w:leader="none" w:pos="46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As of June 30, 2014, this CLO Fund Security was not providing a dividend distribution.</w:t>
      </w:r>
    </w:p>
    <w:p>
      <w:pPr>
        <w:spacing w:after="0" w:line="2" w:lineRule="exact"/>
        <w:rPr>
          <w:rFonts w:ascii="Arial" w:cs="Arial" w:eastAsia="Arial" w:hAnsi="Arial"/>
          <w:sz w:val="25"/>
          <w:szCs w:val="25"/>
          <w:color w:val="auto"/>
          <w:vertAlign w:val="superscript"/>
        </w:rPr>
      </w:pPr>
    </w:p>
    <w:p>
      <w:pPr>
        <w:ind w:left="460" w:right="720" w:hanging="430"/>
        <w:spacing w:after="0" w:line="187" w:lineRule="auto"/>
        <w:tabs>
          <w:tab w:leader="none" w:pos="4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As of June 30, 2014, investment was owned by KCAP Senior Funding I, LLC and has been pledged to secure KCAP Senior Funding I, LLC’s obligation.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877" w:right="3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Advantage Sales &amp; Marketing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Alaska Communications Systems Holdings, Inc. </w:t>
      </w:r>
      <w:r>
        <w:rPr>
          <w:rFonts w:ascii="Arial" w:cs="Arial" w:eastAsia="Arial" w:hAnsi="Arial"/>
          <w:sz w:val="19"/>
          <w:szCs w:val="19"/>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Apria Healthcare Group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ARSloane Acquisition,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34" w:lineRule="exact"/>
        <w:rPr>
          <w:sz w:val="20"/>
          <w:szCs w:val="20"/>
          <w:color w:val="auto"/>
        </w:rPr>
      </w:pPr>
    </w:p>
    <w:p>
      <w:pPr>
        <w:ind w:left="180" w:right="840" w:hanging="161"/>
        <w:spacing w:after="0" w:line="221" w:lineRule="auto"/>
        <w:rPr>
          <w:sz w:val="20"/>
          <w:szCs w:val="20"/>
          <w:color w:val="auto"/>
        </w:rPr>
      </w:pPr>
      <w:r>
        <w:rPr>
          <w:rFonts w:ascii="Arial" w:cs="Arial" w:eastAsia="Arial" w:hAnsi="Arial"/>
          <w:sz w:val="13"/>
          <w:szCs w:val="13"/>
          <w:color w:val="auto"/>
        </w:rPr>
        <w:t>Asurion, LLC (fka Asurion Corporation)</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Banking, Finance, Insurance &amp; Real Estate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right="600"/>
        <w:spacing w:after="0" w:line="237" w:lineRule="auto"/>
        <w:rPr>
          <w:sz w:val="20"/>
          <w:szCs w:val="20"/>
          <w:color w:val="auto"/>
        </w:rPr>
      </w:pPr>
      <w:r>
        <w:rPr>
          <w:rFonts w:ascii="Arial" w:cs="Arial" w:eastAsia="Arial" w:hAnsi="Arial"/>
          <w:sz w:val="14"/>
          <w:szCs w:val="14"/>
          <w:color w:val="auto"/>
        </w:rPr>
        <w:t>First Lien Bond — 10.5% - 06/2019 - 00753CAE2 10.5% Cash, Due 6/19</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2013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4.3% Cash, Due 12/17</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Due 10/16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6.8% Cash, Due 4/20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U.S. Term 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4.0% Cash, Due 9/19</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LC-3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3.7% Cash, Due 7/16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U.S. Term C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3.7% Cash, Due 7/16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U.S. Term 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4.0% Cash, Due 9/19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Tranche B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7.5% Cash, Due 10/19</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Senior Secured Loan — Incremental Tranche B-1 Term Loan 4.5% Cash, Due 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2,948,332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2,546,400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1,989,952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1,996,642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2,001,892</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2,358,409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2,362,064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2,357,702</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2,997,209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2,985,000</w:t>
            </w:r>
          </w:p>
        </w:tc>
      </w:tr>
      <w:tr>
        <w:trPr>
          <w:trHeight w:val="44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850,000</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856,173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856,374</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61,707</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61,967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61,861</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938,293</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942,256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940,639</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1,158,352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1,158,625</w:t>
            </w:r>
          </w:p>
        </w:tc>
      </w:tr>
      <w:tr>
        <w:trPr>
          <w:trHeight w:val="486"/>
        </w:trPr>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997,500</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987,913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997,898</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2,000,806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1,983,168</w:t>
            </w:r>
          </w:p>
        </w:tc>
      </w:tr>
    </w:tbl>
    <w:p>
      <w:pPr>
        <w:spacing w:after="0" w:line="200" w:lineRule="exact"/>
        <w:rPr>
          <w:sz w:val="20"/>
          <w:szCs w:val="20"/>
          <w:color w:val="auto"/>
        </w:rPr>
      </w:pPr>
    </w:p>
    <w:p>
      <w:pPr>
        <w:sectPr>
          <w:pgSz w:w="11900" w:h="16838" w:orient="portrait"/>
          <w:cols w:equalWidth="0" w:num="3">
            <w:col w:w="3520" w:space="720"/>
            <w:col w:w="3540" w:space="360"/>
            <w:col w:w="3180"/>
          </w:cols>
          <w:pgMar w:left="240" w:top="877" w:right="339" w:bottom="1440" w:gutter="0" w:footer="0" w:header="0"/>
          <w:type w:val="continuous"/>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19" w:name="page20"/>
    <w:bookmarkEnd w:id="1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BarBri, Inc. (Gemini Holdings,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134" w:lineRule="exact"/>
        <w:rPr>
          <w:sz w:val="20"/>
          <w:szCs w:val="20"/>
          <w:color w:val="auto"/>
        </w:rPr>
      </w:pPr>
    </w:p>
    <w:p>
      <w:pPr>
        <w:ind w:left="180" w:right="2600" w:hanging="172"/>
        <w:spacing w:after="0" w:line="188" w:lineRule="auto"/>
        <w:tabs>
          <w:tab w:leader="none" w:pos="342"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Industries, LLC</w:t>
      </w:r>
      <w:r>
        <w:rPr>
          <w:rFonts w:ascii="Arial" w:cs="Arial" w:eastAsia="Arial" w:hAnsi="Arial"/>
          <w:sz w:val="20"/>
          <w:szCs w:val="20"/>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Automotive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Caribe Media Inc. (fka Caribe Information Investments Incorporated)</w:t>
      </w:r>
      <w:r>
        <w:rPr>
          <w:rFonts w:ascii="Arial" w:cs="Arial" w:eastAsia="Arial" w:hAnsi="Arial"/>
          <w:sz w:val="23"/>
          <w:szCs w:val="23"/>
          <w:color w:val="auto"/>
          <w:vertAlign w:val="superscript"/>
        </w:rPr>
        <w:t>9</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76" w:lineRule="exact"/>
        <w:rPr>
          <w:sz w:val="20"/>
          <w:szCs w:val="20"/>
          <w:color w:val="auto"/>
        </w:rPr>
      </w:pPr>
    </w:p>
    <w:p>
      <w:pPr>
        <w:jc w:val="right"/>
        <w:ind w:right="2220"/>
        <w:spacing w:after="0"/>
        <w:rPr>
          <w:sz w:val="20"/>
          <w:szCs w:val="20"/>
          <w:color w:val="auto"/>
        </w:rPr>
      </w:pPr>
      <w:r>
        <w:rPr>
          <w:rFonts w:ascii="Arial" w:cs="Arial" w:eastAsia="Arial" w:hAnsi="Arial"/>
          <w:sz w:val="13"/>
          <w:szCs w:val="13"/>
          <w:color w:val="auto"/>
        </w:rPr>
        <w:t>Carolina Beverage Group LLC</w:t>
      </w:r>
      <w:r>
        <w:rPr>
          <w:rFonts w:ascii="Arial" w:cs="Arial" w:eastAsia="Arial" w:hAnsi="Arial"/>
          <w:sz w:val="21"/>
          <w:szCs w:val="21"/>
          <w:color w:val="auto"/>
          <w:vertAlign w:val="superscript"/>
        </w:rPr>
        <w:t>9</w:t>
      </w:r>
    </w:p>
    <w:p>
      <w:pPr>
        <w:jc w:val="right"/>
        <w:ind w:right="222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134" w:lineRule="exact"/>
        <w:rPr>
          <w:sz w:val="20"/>
          <w:szCs w:val="20"/>
          <w:color w:val="auto"/>
        </w:rPr>
      </w:pPr>
    </w:p>
    <w:p>
      <w:pPr>
        <w:ind w:left="180" w:right="560" w:hanging="161"/>
        <w:spacing w:after="0" w:line="203" w:lineRule="auto"/>
        <w:rPr>
          <w:sz w:val="20"/>
          <w:szCs w:val="20"/>
          <w:color w:val="auto"/>
        </w:rPr>
      </w:pPr>
      <w:r>
        <w:rPr>
          <w:rFonts w:ascii="Arial" w:cs="Arial" w:eastAsia="Arial" w:hAnsi="Arial"/>
          <w:sz w:val="14"/>
          <w:szCs w:val="14"/>
          <w:color w:val="auto"/>
        </w:rPr>
        <w:t>Clover Technologies Group, LLC (Clover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CoActive Technologies LLC (fka CoActive Technologies,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Preferred,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6/18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718,182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718,182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713,514</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5.3%</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7/19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2,986,055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3,000,900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 B</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2,887,500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2,878,820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2,888,366</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Delayed Draw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8/19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1,582,475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1,575,088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1,582,316</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U.S. Term B Loans</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5.3%</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8/19</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2,191,119</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2,180,891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2,190,900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New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4,003,966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3,991,995</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4"/>
                <w:szCs w:val="14"/>
                <w:color w:val="auto"/>
              </w:rPr>
              <w:t>10.0% Cash, Due 11/14</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379,763</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379,763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379,193</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w w:val="98"/>
              </w:rPr>
              <w:t>Senior Secured Bond — 10.625% - 08/2018 - 143818AA0 144A</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4"/>
                <w:szCs w:val="14"/>
                <w:color w:val="auto"/>
              </w:rPr>
              <w:t>10.6% Cash, Due 8/18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1,519,072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1,619,550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5.3%</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10/20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1,983,766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2,025,553</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6.8%</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2,850,292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2,883,914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2,850,291</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7.0% PIK, Due 1/15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2,063,007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1,987,358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1,863,721</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Preferred Stock — 12.000% - 12/2049 - Series A Income</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gridSpan w:val="4"/>
          </w:tcPr>
          <w:p>
            <w:pPr>
              <w:spacing w:after="0" w:line="149" w:lineRule="exact"/>
              <w:rPr>
                <w:sz w:val="20"/>
                <w:szCs w:val="20"/>
                <w:color w:val="auto"/>
              </w:rPr>
            </w:pPr>
            <w:r>
              <w:rPr>
                <w:rFonts w:ascii="Arial" w:cs="Arial" w:eastAsia="Arial" w:hAnsi="Arial"/>
                <w:sz w:val="14"/>
                <w:szCs w:val="14"/>
                <w:color w:val="auto"/>
              </w:rPr>
              <w:t>Preferred Securities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gridSpan w:val="4"/>
          </w:tcPr>
          <w:p>
            <w:pPr>
              <w:spacing w:after="0"/>
              <w:rPr>
                <w:sz w:val="20"/>
                <w:szCs w:val="20"/>
                <w:color w:val="auto"/>
              </w:rPr>
            </w:pPr>
            <w:r>
              <w:rPr>
                <w:rFonts w:ascii="Arial" w:cs="Arial" w:eastAsia="Arial" w:hAnsi="Arial"/>
                <w:sz w:val="14"/>
                <w:szCs w:val="14"/>
                <w:color w:val="auto"/>
              </w:rPr>
              <w:t>10.0% Cash, 2.0% PIK, Due 12/49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-3379470</wp:posOffset>
            </wp:positionV>
            <wp:extent cx="724662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-3070225</wp:posOffset>
            </wp:positionV>
            <wp:extent cx="724662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-2761615</wp:posOffset>
            </wp:positionV>
            <wp:extent cx="7246620" cy="214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-2453005</wp:posOffset>
            </wp:positionV>
            <wp:extent cx="72466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7246620" cy="214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-1835785</wp:posOffset>
            </wp:positionV>
            <wp:extent cx="7246620"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-1526540</wp:posOffset>
            </wp:positionV>
            <wp:extent cx="724662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-1217930</wp:posOffset>
            </wp:positionV>
            <wp:extent cx="724662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-909320</wp:posOffset>
            </wp:positionV>
            <wp:extent cx="724662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-600710</wp:posOffset>
            </wp:positionV>
            <wp:extent cx="72466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-292100</wp:posOffset>
            </wp:positionV>
            <wp:extent cx="7246620" cy="283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-3696335</wp:posOffset>
            </wp:positionV>
            <wp:extent cx="7246620"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160"/>
            <w:col w:w="7080"/>
          </w:cols>
          <w:pgMar w:left="240" w:top="861"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1" w:right="339" w:bottom="1440" w:gutter="0" w:footer="0" w:header="0"/>
          <w:type w:val="continuous"/>
        </w:sectPr>
      </w:pPr>
    </w:p>
    <w:bookmarkStart w:id="20" w:name="page21"/>
    <w:bookmarkEnd w:id="2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CSM Bakery Supplies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CSM Bakery Supplies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Del Monte Foods Company</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Drew Marine Group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Fender Musical Instruments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Hotel, Gaming &amp; Leisure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FHC Health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34" w:lineRule="exact"/>
        <w:rPr>
          <w:sz w:val="20"/>
          <w:szCs w:val="20"/>
          <w:color w:val="auto"/>
        </w:rPr>
      </w:pPr>
    </w:p>
    <w:p>
      <w:pPr>
        <w:ind w:left="180" w:right="840" w:hanging="161"/>
        <w:spacing w:after="0" w:line="221" w:lineRule="auto"/>
        <w:rPr>
          <w:sz w:val="20"/>
          <w:szCs w:val="20"/>
          <w:color w:val="auto"/>
        </w:rPr>
      </w:pPr>
      <w:r>
        <w:rPr>
          <w:rFonts w:ascii="Arial" w:cs="Arial" w:eastAsia="Arial" w:hAnsi="Arial"/>
          <w:sz w:val="13"/>
          <w:szCs w:val="13"/>
          <w:color w:val="auto"/>
        </w:rPr>
        <w:t>First American Payment Systems, L.P.</w:t>
      </w:r>
      <w:r>
        <w:rPr>
          <w:rFonts w:ascii="Arial" w:cs="Arial" w:eastAsia="Arial" w:hAnsi="Arial"/>
          <w:sz w:val="21"/>
          <w:szCs w:val="21"/>
          <w:color w:val="auto"/>
          <w:vertAlign w:val="superscript"/>
        </w:rPr>
        <w:t>9</w:t>
      </w:r>
      <w:r>
        <w:rPr>
          <w:rFonts w:ascii="Arial" w:cs="Arial" w:eastAsia="Arial" w:hAnsi="Arial"/>
          <w:sz w:val="13"/>
          <w:szCs w:val="13"/>
          <w:color w:val="auto"/>
        </w:rPr>
        <w:t xml:space="preserve"> </w:t>
      </w:r>
      <w:r>
        <w:rPr>
          <w:rFonts w:ascii="Arial" w:cs="Arial" w:eastAsia="Arial" w:hAnsi="Arial"/>
          <w:sz w:val="13"/>
          <w:szCs w:val="13"/>
          <w:i w:val="1"/>
          <w:iCs w:val="1"/>
          <w:color w:val="auto"/>
        </w:rPr>
        <w:t>Banking, Finance, Insurance &amp; Real Estate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First Data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134" w:lineRule="exact"/>
        <w:rPr>
          <w:sz w:val="20"/>
          <w:szCs w:val="20"/>
          <w:color w:val="auto"/>
        </w:rPr>
      </w:pPr>
    </w:p>
    <w:p>
      <w:pPr>
        <w:ind w:left="180" w:right="360" w:hanging="161"/>
        <w:spacing w:after="0" w:line="203" w:lineRule="auto"/>
        <w:rPr>
          <w:sz w:val="20"/>
          <w:szCs w:val="20"/>
          <w:color w:val="auto"/>
        </w:rPr>
      </w:pPr>
      <w:r>
        <w:rPr>
          <w:rFonts w:ascii="Arial" w:cs="Arial" w:eastAsia="Arial" w:hAnsi="Arial"/>
          <w:sz w:val="14"/>
          <w:szCs w:val="14"/>
          <w:color w:val="auto"/>
        </w:rPr>
        <w:t>Flexera Software LLC (fka Flexera Software,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High Tech Industries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Fram Group Holdings Inc./Prestone Holdings Inc.</w:t>
      </w:r>
      <w:r>
        <w:rPr>
          <w:rFonts w:ascii="Arial" w:cs="Arial" w:eastAsia="Arial" w:hAnsi="Arial"/>
          <w:sz w:val="21"/>
          <w:szCs w:val="21"/>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Freescale Semiconductor, Inc.</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8.5% Cash, Due 7/21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3,018,871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3,001,500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4.8% Cash, Due 7/20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3,657,500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3,655,989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3,659,329</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4.0% Cash, Due 3/18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2,789,388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2,783,753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2,803,321</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8.0% Cash, Due 5/21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2,493,817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2,493,750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8.0% Cash, Due 6/18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1,898,703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1,835,507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1,893,577</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Initial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5.8% Cash, Due 4/19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2,421,986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2,434,723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2,463,620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5.8% Cash, Due 1/18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3,864,809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3,900,000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10.8% Cash, Due 4/19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2,951,174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2,999,400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2018 Dollar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4.2% Cash, Due 3/18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1,875,135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2,006,520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5.0% Cash, Due 3/19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2,722,955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2,734,588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2,725,133</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4"/>
                <w:szCs w:val="14"/>
                <w:color w:val="auto"/>
              </w:rPr>
              <w:t>6.5% Cash, Due 7/17</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966,900</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970,557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966,610</w:t>
            </w:r>
          </w:p>
        </w:tc>
        <w:tc>
          <w:tcPr>
            <w:tcW w:w="0" w:type="dxa"/>
            <w:vAlign w:val="bottom"/>
          </w:tcPr>
          <w:p>
            <w:pPr>
              <w:spacing w:after="0"/>
              <w:rPr>
                <w:sz w:val="1"/>
                <w:szCs w:val="1"/>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color w:val="auto"/>
                <w:w w:val="98"/>
              </w:rPr>
              <w:t>Senior Subordinated Bond — 10.125% - 12/2016 - 35687MAP2</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900" w:type="dxa"/>
            <w:vAlign w:val="bottom"/>
            <w:gridSpan w:val="3"/>
          </w:tcPr>
          <w:p>
            <w:pPr>
              <w:spacing w:after="0"/>
              <w:rPr>
                <w:sz w:val="20"/>
                <w:szCs w:val="20"/>
                <w:color w:val="auto"/>
              </w:rPr>
            </w:pPr>
            <w:r>
              <w:rPr>
                <w:rFonts w:ascii="Arial" w:cs="Arial" w:eastAsia="Arial" w:hAnsi="Arial"/>
                <w:sz w:val="14"/>
                <w:szCs w:val="14"/>
                <w:color w:val="auto"/>
              </w:rPr>
              <w:t>10.1% Cash, Due 12/16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1,036,000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1,037,707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1,051,540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-3284855</wp:posOffset>
            </wp:positionV>
            <wp:extent cx="7246620"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-2976245</wp:posOffset>
            </wp:positionV>
            <wp:extent cx="724662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-2667635</wp:posOffset>
            </wp:positionV>
            <wp:extent cx="72466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-2358390</wp:posOffset>
            </wp:positionV>
            <wp:extent cx="7246620"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-2049780</wp:posOffset>
            </wp:positionV>
            <wp:extent cx="724662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-1741170</wp:posOffset>
            </wp:positionV>
            <wp:extent cx="724662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-1432560</wp:posOffset>
            </wp:positionV>
            <wp:extent cx="724662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-1123950</wp:posOffset>
            </wp:positionV>
            <wp:extent cx="72466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-814705</wp:posOffset>
            </wp:positionV>
            <wp:extent cx="724662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-506095</wp:posOffset>
            </wp:positionV>
            <wp:extent cx="7246620"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-197485</wp:posOffset>
            </wp:positionV>
            <wp:extent cx="724662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-3602355</wp:posOffset>
            </wp:positionV>
            <wp:extent cx="7246620"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520" w:space="720"/>
            <w:col w:w="7080"/>
          </w:cols>
          <w:pgMar w:left="240" w:top="861" w:right="33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Grande Communications Networks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Retail</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Hargray Communications Group, Inc. (HCP Acquisition LLC)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Broadcasting &amp; Subscription</w:t>
      </w:r>
    </w:p>
    <w:p>
      <w:pPr>
        <w:spacing w:after="0" w:line="126" w:lineRule="exact"/>
        <w:rPr>
          <w:sz w:val="20"/>
          <w:szCs w:val="20"/>
          <w:color w:val="auto"/>
        </w:rPr>
      </w:pPr>
    </w:p>
    <w:p>
      <w:pPr>
        <w:ind w:left="180" w:right="120" w:hanging="161"/>
        <w:spacing w:after="0" w:line="203"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right="1040"/>
        <w:spacing w:after="0" w:line="237" w:lineRule="auto"/>
        <w:rPr>
          <w:sz w:val="20"/>
          <w:szCs w:val="20"/>
          <w:color w:val="auto"/>
        </w:rPr>
      </w:pPr>
      <w:r>
        <w:rPr>
          <w:rFonts w:ascii="Arial" w:cs="Arial" w:eastAsia="Arial" w:hAnsi="Arial"/>
          <w:sz w:val="14"/>
          <w:szCs w:val="14"/>
          <w:color w:val="auto"/>
        </w:rPr>
        <w:t>Senior Secured Loan — Initial Term Loan 4.8% Cash, Due 10/19</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First Lien Tranche A Credit-Linked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83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4"/>
          <w:szCs w:val="14"/>
          <w:color w:val="auto"/>
        </w:rPr>
        <w:t>Deposit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7.8% Cash, Due 6/11</w:t>
      </w:r>
    </w:p>
    <w:p>
      <w:pPr>
        <w:spacing w:after="0" w:line="124"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Senior Secured Loan — First Lien Tranche B Term Loan 7.8% Cash, Due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11.8% Cash, Due 6/12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9.0% Cash, Due 11/20</w:t>
      </w:r>
    </w:p>
    <w:p>
      <w:pPr>
        <w:spacing w:after="0" w:line="165" w:lineRule="exact"/>
        <w:rPr>
          <w:sz w:val="20"/>
          <w:szCs w:val="20"/>
          <w:color w:val="auto"/>
        </w:rPr>
      </w:pPr>
    </w:p>
    <w:p>
      <w:pPr>
        <w:ind w:right="1040"/>
        <w:spacing w:after="0" w:line="253" w:lineRule="auto"/>
        <w:rPr>
          <w:sz w:val="20"/>
          <w:szCs w:val="20"/>
          <w:color w:val="auto"/>
        </w:rPr>
      </w:pPr>
      <w:r>
        <w:rPr>
          <w:rFonts w:ascii="Arial" w:cs="Arial" w:eastAsia="Arial" w:hAnsi="Arial"/>
          <w:sz w:val="14"/>
          <w:szCs w:val="14"/>
          <w:color w:val="auto"/>
        </w:rPr>
        <w:t>Senior Secured Loan — Initial Term Loan 4.5% Cash, Due 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B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8.5% PIK, Due 1/18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13.8% PIK, Due 7/18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Due 2/18</w:t>
      </w:r>
    </w:p>
    <w:p>
      <w:pPr>
        <w:spacing w:after="0" w:line="165" w:lineRule="exact"/>
        <w:rPr>
          <w:sz w:val="20"/>
          <w:szCs w:val="20"/>
          <w:color w:val="auto"/>
        </w:rPr>
      </w:pPr>
    </w:p>
    <w:p>
      <w:pPr>
        <w:ind w:right="1040"/>
        <w:spacing w:after="0" w:line="253" w:lineRule="auto"/>
        <w:rPr>
          <w:sz w:val="20"/>
          <w:szCs w:val="20"/>
          <w:color w:val="auto"/>
        </w:rPr>
      </w:pPr>
      <w:r>
        <w:rPr>
          <w:rFonts w:ascii="Arial" w:cs="Arial" w:eastAsia="Arial" w:hAnsi="Arial"/>
          <w:sz w:val="14"/>
          <w:szCs w:val="14"/>
          <w:color w:val="auto"/>
        </w:rPr>
        <w:t>Senior Secured Loan — Initial Term Loan 4.8% Cash, Due 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660"/>
        <w:spacing w:after="0" w:line="253" w:lineRule="auto"/>
        <w:rPr>
          <w:sz w:val="20"/>
          <w:szCs w:val="20"/>
          <w:color w:val="auto"/>
        </w:rPr>
      </w:pPr>
      <w:r>
        <w:rPr>
          <w:rFonts w:ascii="Arial" w:cs="Arial" w:eastAsia="Arial" w:hAnsi="Arial"/>
          <w:sz w:val="14"/>
          <w:szCs w:val="14"/>
          <w:color w:val="auto"/>
        </w:rPr>
        <w:t>Senior Secured Loan — Tranche B-3 Term Loan 7.0% Cash, Due 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7.0% Cash, Due 2/15</w:t>
      </w: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3,711,259</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3,711,065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3,471,698</w:t>
            </w:r>
          </w:p>
        </w:tc>
      </w:tr>
      <w:tr>
        <w:trPr>
          <w:trHeight w:val="594"/>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1,257,143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1,224,101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37,714</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2,694,857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2,624,028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80,846</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2,715,997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30,015</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3,924,752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3,991,600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3,980,000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3,985,209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3,980,398</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2,977,500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2,928,848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2,813,738</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7,000,000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6,865,363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6,817,300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1,421,105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1,377,305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1,332,286</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2,957,575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2,986,194</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3,456,250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3,424,170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3,488,341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4,074,074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4,049,553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3,911,111</w:t>
            </w:r>
          </w:p>
        </w:tc>
      </w:tr>
    </w:tbl>
    <w:p>
      <w:pPr>
        <w:sectPr>
          <w:pgSz w:w="11900" w:h="16838" w:orient="portrait"/>
          <w:cols w:equalWidth="0" w:num="3">
            <w:col w:w="3860" w:space="380"/>
            <w:col w:w="3480" w:space="420"/>
            <w:col w:w="3180"/>
          </w:cols>
          <w:pgMar w:left="240" w:top="873" w:right="339" w:bottom="1440" w:gutter="0" w:footer="0" w:header="0"/>
        </w:sectPr>
      </w:pPr>
    </w:p>
    <w:bookmarkStart w:id="22" w:name="page23"/>
    <w:bookmarkEnd w:id="2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Iasis Healthcare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Landslide Holdings, Inc. (Crimson Acquisition Corp.)</w:t>
      </w:r>
      <w:r>
        <w:rPr>
          <w:rFonts w:ascii="Arial" w:cs="Arial" w:eastAsia="Arial" w:hAnsi="Arial"/>
          <w:sz w:val="21"/>
          <w:szCs w:val="21"/>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7, 9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LTS Buyer LLC (Sidera Networks,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Unsecured Bond — 8.375% - 05/2019 - 45072PAD4</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8.4%</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2,892,521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3,187,500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4"/>
                <w:szCs w:val="14"/>
                <w:color w:val="auto"/>
              </w:rPr>
              <w:t>12.0% Cash, Due 5/15</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247,636</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228,563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9/15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1,214,195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1,214,195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1,214,195</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9/15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2,925,620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2,925,620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2,925,620</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4.8%</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2,692,152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2,679,887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2,696,459</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Dollar Term D-1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1,989,979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2,003,621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2,003,661</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Dollar Term D-1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1,994,979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2,012,272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2,008,695</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5.3%</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8/19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3,482,500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3,492,130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3,483,893</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1/10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3,034,968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3,034,968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40,669</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B Loan (First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4/20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3,980,000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3,974,154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4,003,024</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6.0%</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3,980,000</w:t>
            </w:r>
          </w:p>
        </w:tc>
        <w:tc>
          <w:tcPr>
            <w:tcW w:w="20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3,944,023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3,980,796</w:t>
            </w:r>
          </w:p>
        </w:tc>
        <w:tc>
          <w:tcPr>
            <w:tcW w:w="0" w:type="dxa"/>
            <w:vAlign w:val="bottom"/>
          </w:tcPr>
          <w:p>
            <w:pPr>
              <w:spacing w:after="0"/>
              <w:rPr>
                <w:sz w:val="1"/>
                <w:szCs w:val="1"/>
                <w:color w:val="auto"/>
              </w:rPr>
            </w:pPr>
          </w:p>
        </w:tc>
      </w:tr>
      <w:tr>
        <w:trPr>
          <w:trHeight w:val="263"/>
        </w:trPr>
        <w:tc>
          <w:tcPr>
            <w:tcW w:w="390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6.5%</w:t>
            </w: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Cash, Due 12/19</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3,960,421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3,999,200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-3310890</wp:posOffset>
            </wp:positionV>
            <wp:extent cx="724662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-3001645</wp:posOffset>
            </wp:positionV>
            <wp:extent cx="724662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-2693035</wp:posOffset>
            </wp:positionV>
            <wp:extent cx="724662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-2384425</wp:posOffset>
            </wp:positionV>
            <wp:extent cx="724662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-2075815</wp:posOffset>
            </wp:positionV>
            <wp:extent cx="724662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-1767205</wp:posOffset>
            </wp:positionV>
            <wp:extent cx="7246620"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-1457960</wp:posOffset>
            </wp:positionV>
            <wp:extent cx="724662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-1149350</wp:posOffset>
            </wp:positionV>
            <wp:extent cx="7246620"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-840740</wp:posOffset>
            </wp:positionV>
            <wp:extent cx="724662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-532130</wp:posOffset>
            </wp:positionV>
            <wp:extent cx="724662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724662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-3627755</wp:posOffset>
            </wp:positionV>
            <wp:extent cx="7246620"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520" w:space="720"/>
            <w:col w:w="7080"/>
          </w:cols>
          <w:pgMar w:left="240" w:top="861" w:right="339" w:bottom="1440" w:gutter="0" w:footer="0" w:header="0"/>
        </w:sectPr>
      </w:pPr>
    </w:p>
    <w:bookmarkStart w:id="23" w:name="page24"/>
    <w:bookmarkEnd w:id="23"/>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5" w:lineRule="exact"/>
        <w:rPr>
          <w:sz w:val="20"/>
          <w:szCs w:val="20"/>
          <w:color w:val="auto"/>
        </w:rPr>
      </w:pPr>
    </w:p>
    <w:p>
      <w:pPr>
        <w:ind w:left="180" w:right="340" w:hanging="161"/>
        <w:spacing w:after="0" w:line="198" w:lineRule="auto"/>
        <w:rPr>
          <w:sz w:val="20"/>
          <w:szCs w:val="20"/>
          <w:color w:val="auto"/>
        </w:rPr>
      </w:pPr>
      <w:r>
        <w:rPr>
          <w:rFonts w:ascii="Arial" w:cs="Arial" w:eastAsia="Arial" w:hAnsi="Arial"/>
          <w:sz w:val="14"/>
          <w:szCs w:val="14"/>
          <w:color w:val="auto"/>
        </w:rPr>
        <w:t>Michael Foods Group, Inc. (f/k/a M-Foods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Beverage, Food and Tobacco</w:t>
      </w:r>
    </w:p>
    <w:p>
      <w:pPr>
        <w:spacing w:after="0" w:line="86" w:lineRule="exact"/>
        <w:rPr>
          <w:sz w:val="20"/>
          <w:szCs w:val="20"/>
          <w:color w:val="auto"/>
        </w:rPr>
      </w:pPr>
    </w:p>
    <w:p>
      <w:pPr>
        <w:jc w:val="right"/>
        <w:ind w:right="2120"/>
        <w:spacing w:after="0"/>
        <w:rPr>
          <w:sz w:val="20"/>
          <w:szCs w:val="20"/>
          <w:color w:val="auto"/>
        </w:rPr>
      </w:pPr>
      <w:r>
        <w:rPr>
          <w:rFonts w:ascii="Arial" w:cs="Arial" w:eastAsia="Arial" w:hAnsi="Arial"/>
          <w:sz w:val="13"/>
          <w:szCs w:val="13"/>
          <w:color w:val="auto"/>
        </w:rPr>
        <w:t>Nellson Nutraceutical, LLC</w:t>
      </w:r>
      <w:r>
        <w:rPr>
          <w:rFonts w:ascii="Arial" w:cs="Arial" w:eastAsia="Arial" w:hAnsi="Arial"/>
          <w:sz w:val="20"/>
          <w:szCs w:val="20"/>
          <w:color w:val="auto"/>
          <w:vertAlign w:val="superscript"/>
        </w:rPr>
        <w:t>9, 11</w:t>
      </w:r>
    </w:p>
    <w:p>
      <w:pPr>
        <w:jc w:val="right"/>
        <w:ind w:right="210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Ozburn-Hessey Holding Company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Retail</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Pharmaceutical Product Development, Inc. (Jaguar Holdings,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Puerto Rico Cable Acquisition Company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Puerto Rico Cable Acquisition Company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 L.P.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Utilities: Electric</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Spin Holdco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right="1020"/>
        <w:spacing w:after="0" w:line="237" w:lineRule="auto"/>
        <w:rPr>
          <w:sz w:val="20"/>
          <w:szCs w:val="20"/>
          <w:color w:val="auto"/>
        </w:rPr>
      </w:pPr>
      <w:r>
        <w:rPr>
          <w:rFonts w:ascii="Arial" w:cs="Arial" w:eastAsia="Arial" w:hAnsi="Arial"/>
          <w:sz w:val="14"/>
          <w:szCs w:val="14"/>
          <w:color w:val="auto"/>
        </w:rPr>
        <w:t>Senior Secured Loan — Term B Facility 4.3% Cash, Due 2/18</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6.8% Cash, Due 8/18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6.8% Cash, Due 5/19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New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4.0% Cash, Due 11/17</w:t>
      </w:r>
    </w:p>
    <w:p>
      <w:pPr>
        <w:spacing w:after="0" w:line="165" w:lineRule="exact"/>
        <w:rPr>
          <w:sz w:val="20"/>
          <w:szCs w:val="20"/>
          <w:color w:val="auto"/>
        </w:rPr>
      </w:pPr>
    </w:p>
    <w:p>
      <w:pPr>
        <w:ind w:right="980"/>
        <w:spacing w:after="0" w:line="253" w:lineRule="auto"/>
        <w:rPr>
          <w:sz w:val="20"/>
          <w:szCs w:val="20"/>
          <w:color w:val="auto"/>
        </w:rPr>
      </w:pPr>
      <w:r>
        <w:rPr>
          <w:rFonts w:ascii="Arial" w:cs="Arial" w:eastAsia="Arial" w:hAnsi="Arial"/>
          <w:sz w:val="14"/>
          <w:szCs w:val="14"/>
          <w:color w:val="auto"/>
        </w:rPr>
        <w:t>Senior Secured Loan — 2013 Term Loan 4.0% Cash, Due 12/18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Due 7/18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Due 7/18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Due 11/20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Due 3/19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5.0% Cash, Due 3/19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Initial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7246620"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4.3% Cash, Due 11/19</w:t>
      </w: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1260" w:val="left"/>
          <w:tab w:leader="none" w:pos="2160" w:val="left"/>
        </w:tabs>
        <w:rPr>
          <w:sz w:val="20"/>
          <w:szCs w:val="20"/>
          <w:color w:val="auto"/>
        </w:rPr>
      </w:pPr>
      <w:r>
        <w:rPr>
          <w:rFonts w:ascii="Arial" w:cs="Arial" w:eastAsia="Arial" w:hAnsi="Arial"/>
          <w:sz w:val="14"/>
          <w:szCs w:val="14"/>
          <w:b w:val="1"/>
          <w:bCs w:val="1"/>
          <w:color w:val="auto"/>
        </w:rPr>
        <w:t>Principal</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Fair Value</w:t>
      </w:r>
      <w:r>
        <w:rPr>
          <w:rFonts w:ascii="Arial" w:cs="Arial" w:eastAsia="Arial" w:hAnsi="Arial"/>
          <w:sz w:val="21"/>
          <w:szCs w:val="21"/>
          <w:color w:val="auto"/>
          <w:vertAlign w:val="superscript"/>
        </w:rPr>
        <w:t>2</w:t>
      </w:r>
    </w:p>
    <w:p>
      <w:pPr>
        <w:spacing w:after="0" w:line="140"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1,751,716</w:t>
      </w:r>
      <w:r>
        <w:rPr>
          <w:sz w:val="20"/>
          <w:szCs w:val="20"/>
          <w:color w:val="auto"/>
        </w:rPr>
        <w:tab/>
      </w:r>
      <w:r>
        <w:rPr>
          <w:rFonts w:ascii="Arial" w:cs="Arial" w:eastAsia="Arial" w:hAnsi="Arial"/>
          <w:sz w:val="14"/>
          <w:szCs w:val="14"/>
          <w:color w:val="auto"/>
        </w:rPr>
        <w:t>1,761,555</w:t>
      </w:r>
      <w:r>
        <w:rPr>
          <w:sz w:val="20"/>
          <w:szCs w:val="20"/>
          <w:color w:val="auto"/>
        </w:rPr>
        <w:tab/>
      </w:r>
      <w:r>
        <w:rPr>
          <w:rFonts w:ascii="Arial" w:cs="Arial" w:eastAsia="Arial" w:hAnsi="Arial"/>
          <w:sz w:val="13"/>
          <w:szCs w:val="13"/>
          <w:color w:val="auto"/>
        </w:rPr>
        <w:t>1,753,116</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1,995,000</w:t>
      </w:r>
      <w:r>
        <w:rPr>
          <w:sz w:val="20"/>
          <w:szCs w:val="20"/>
          <w:color w:val="auto"/>
        </w:rPr>
        <w:tab/>
      </w:r>
      <w:r>
        <w:rPr>
          <w:rFonts w:ascii="Arial" w:cs="Arial" w:eastAsia="Arial" w:hAnsi="Arial"/>
          <w:sz w:val="14"/>
          <w:szCs w:val="14"/>
          <w:color w:val="auto"/>
        </w:rPr>
        <w:t>1,981,056</w:t>
      </w:r>
      <w:r>
        <w:rPr>
          <w:sz w:val="20"/>
          <w:szCs w:val="20"/>
          <w:color w:val="auto"/>
        </w:rPr>
        <w:tab/>
      </w:r>
      <w:r>
        <w:rPr>
          <w:rFonts w:ascii="Arial" w:cs="Arial" w:eastAsia="Arial" w:hAnsi="Arial"/>
          <w:sz w:val="13"/>
          <w:szCs w:val="13"/>
          <w:color w:val="auto"/>
        </w:rPr>
        <w:t>1,995,000</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3,548,085</w:t>
      </w:r>
      <w:r>
        <w:rPr>
          <w:sz w:val="20"/>
          <w:szCs w:val="20"/>
          <w:color w:val="auto"/>
        </w:rPr>
        <w:tab/>
      </w:r>
      <w:r>
        <w:rPr>
          <w:rFonts w:ascii="Arial" w:cs="Arial" w:eastAsia="Arial" w:hAnsi="Arial"/>
          <w:sz w:val="14"/>
          <w:szCs w:val="14"/>
          <w:color w:val="auto"/>
        </w:rPr>
        <w:t>3,536,235</w:t>
      </w:r>
      <w:r>
        <w:rPr>
          <w:sz w:val="20"/>
          <w:szCs w:val="20"/>
          <w:color w:val="auto"/>
        </w:rPr>
        <w:tab/>
      </w:r>
      <w:r>
        <w:rPr>
          <w:rFonts w:ascii="Arial" w:cs="Arial" w:eastAsia="Arial" w:hAnsi="Arial"/>
          <w:sz w:val="13"/>
          <w:szCs w:val="13"/>
          <w:color w:val="auto"/>
        </w:rPr>
        <w:t>3,549,504</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1,979,592</w:t>
      </w:r>
      <w:r>
        <w:rPr>
          <w:sz w:val="20"/>
          <w:szCs w:val="20"/>
          <w:color w:val="auto"/>
        </w:rPr>
        <w:tab/>
      </w:r>
      <w:r>
        <w:rPr>
          <w:rFonts w:ascii="Arial" w:cs="Arial" w:eastAsia="Arial" w:hAnsi="Arial"/>
          <w:sz w:val="14"/>
          <w:szCs w:val="14"/>
          <w:color w:val="auto"/>
        </w:rPr>
        <w:t>1,987,274</w:t>
      </w:r>
      <w:r>
        <w:rPr>
          <w:sz w:val="20"/>
          <w:szCs w:val="20"/>
          <w:color w:val="auto"/>
        </w:rPr>
        <w:tab/>
      </w:r>
      <w:r>
        <w:rPr>
          <w:rFonts w:ascii="Arial" w:cs="Arial" w:eastAsia="Arial" w:hAnsi="Arial"/>
          <w:sz w:val="13"/>
          <w:szCs w:val="13"/>
          <w:color w:val="auto"/>
        </w:rPr>
        <w:t>1,992,746</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3,517,594</w:t>
      </w:r>
      <w:r>
        <w:rPr>
          <w:sz w:val="20"/>
          <w:szCs w:val="20"/>
          <w:color w:val="auto"/>
        </w:rPr>
        <w:tab/>
      </w:r>
      <w:r>
        <w:rPr>
          <w:rFonts w:ascii="Arial" w:cs="Arial" w:eastAsia="Arial" w:hAnsi="Arial"/>
          <w:sz w:val="14"/>
          <w:szCs w:val="14"/>
          <w:color w:val="auto"/>
        </w:rPr>
        <w:t>3,529,732</w:t>
      </w:r>
      <w:r>
        <w:rPr>
          <w:sz w:val="20"/>
          <w:szCs w:val="20"/>
          <w:color w:val="auto"/>
        </w:rPr>
        <w:tab/>
      </w:r>
      <w:r>
        <w:rPr>
          <w:rFonts w:ascii="Arial" w:cs="Arial" w:eastAsia="Arial" w:hAnsi="Arial"/>
          <w:sz w:val="13"/>
          <w:szCs w:val="13"/>
          <w:color w:val="auto"/>
        </w:rPr>
        <w:t>3,546,526</w:t>
      </w:r>
    </w:p>
    <w:p>
      <w:pPr>
        <w:spacing w:after="0" w:line="325" w:lineRule="exact"/>
        <w:rPr>
          <w:sz w:val="20"/>
          <w:szCs w:val="20"/>
          <w:color w:val="auto"/>
        </w:rPr>
      </w:pPr>
    </w:p>
    <w:p>
      <w:pPr>
        <w:ind w:left="280"/>
        <w:spacing w:after="0"/>
        <w:tabs>
          <w:tab w:leader="none" w:pos="1380" w:val="left"/>
          <w:tab w:leader="none" w:pos="2500" w:val="left"/>
        </w:tabs>
        <w:rPr>
          <w:sz w:val="20"/>
          <w:szCs w:val="20"/>
          <w:color w:val="auto"/>
        </w:rPr>
      </w:pPr>
      <w:r>
        <w:rPr>
          <w:rFonts w:ascii="Arial" w:cs="Arial" w:eastAsia="Arial" w:hAnsi="Arial"/>
          <w:sz w:val="14"/>
          <w:szCs w:val="14"/>
          <w:color w:val="auto"/>
        </w:rPr>
        <w:t>980,693</w:t>
      </w:r>
      <w:r>
        <w:rPr>
          <w:sz w:val="20"/>
          <w:szCs w:val="20"/>
          <w:color w:val="auto"/>
        </w:rPr>
        <w:tab/>
      </w:r>
      <w:r>
        <w:rPr>
          <w:rFonts w:ascii="Arial" w:cs="Arial" w:eastAsia="Arial" w:hAnsi="Arial"/>
          <w:sz w:val="14"/>
          <w:szCs w:val="14"/>
          <w:color w:val="auto"/>
        </w:rPr>
        <w:t>982,374</w:t>
      </w:r>
      <w:r>
        <w:rPr>
          <w:sz w:val="20"/>
          <w:szCs w:val="20"/>
          <w:color w:val="auto"/>
        </w:rPr>
        <w:tab/>
      </w:r>
      <w:r>
        <w:rPr>
          <w:rFonts w:ascii="Arial" w:cs="Arial" w:eastAsia="Arial" w:hAnsi="Arial"/>
          <w:sz w:val="13"/>
          <w:szCs w:val="13"/>
          <w:color w:val="auto"/>
        </w:rPr>
        <w:t>981,086</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2,942,080</w:t>
      </w:r>
      <w:r>
        <w:rPr>
          <w:sz w:val="20"/>
          <w:szCs w:val="20"/>
          <w:color w:val="auto"/>
        </w:rPr>
        <w:tab/>
      </w:r>
      <w:r>
        <w:rPr>
          <w:rFonts w:ascii="Arial" w:cs="Arial" w:eastAsia="Arial" w:hAnsi="Arial"/>
          <w:sz w:val="14"/>
          <w:szCs w:val="14"/>
          <w:color w:val="auto"/>
        </w:rPr>
        <w:t>2,928,491</w:t>
      </w:r>
      <w:r>
        <w:rPr>
          <w:sz w:val="20"/>
          <w:szCs w:val="20"/>
          <w:color w:val="auto"/>
        </w:rPr>
        <w:tab/>
      </w:r>
      <w:r>
        <w:rPr>
          <w:rFonts w:ascii="Arial" w:cs="Arial" w:eastAsia="Arial" w:hAnsi="Arial"/>
          <w:sz w:val="13"/>
          <w:szCs w:val="13"/>
          <w:color w:val="auto"/>
        </w:rPr>
        <w:t>2,943,257</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3,000,000</w:t>
      </w:r>
      <w:r>
        <w:rPr>
          <w:sz w:val="20"/>
          <w:szCs w:val="20"/>
          <w:color w:val="auto"/>
        </w:rPr>
        <w:tab/>
      </w:r>
      <w:r>
        <w:rPr>
          <w:rFonts w:ascii="Arial" w:cs="Arial" w:eastAsia="Arial" w:hAnsi="Arial"/>
          <w:sz w:val="14"/>
          <w:szCs w:val="14"/>
          <w:color w:val="auto"/>
        </w:rPr>
        <w:t>2,985,253</w:t>
      </w:r>
      <w:r>
        <w:rPr>
          <w:sz w:val="20"/>
          <w:szCs w:val="20"/>
          <w:color w:val="auto"/>
        </w:rPr>
        <w:tab/>
      </w:r>
      <w:r>
        <w:rPr>
          <w:rFonts w:ascii="Arial" w:cs="Arial" w:eastAsia="Arial" w:hAnsi="Arial"/>
          <w:sz w:val="13"/>
          <w:szCs w:val="13"/>
          <w:color w:val="auto"/>
        </w:rPr>
        <w:t>3,005,625</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2,213,423</w:t>
      </w:r>
      <w:r>
        <w:rPr>
          <w:sz w:val="20"/>
          <w:szCs w:val="20"/>
          <w:color w:val="auto"/>
        </w:rPr>
        <w:tab/>
      </w:r>
      <w:r>
        <w:rPr>
          <w:rFonts w:ascii="Arial" w:cs="Arial" w:eastAsia="Arial" w:hAnsi="Arial"/>
          <w:sz w:val="14"/>
          <w:szCs w:val="14"/>
          <w:color w:val="auto"/>
        </w:rPr>
        <w:t>2,193,867</w:t>
      </w:r>
      <w:r>
        <w:rPr>
          <w:sz w:val="20"/>
          <w:szCs w:val="20"/>
          <w:color w:val="auto"/>
        </w:rPr>
        <w:tab/>
      </w:r>
      <w:r>
        <w:rPr>
          <w:rFonts w:ascii="Arial" w:cs="Arial" w:eastAsia="Arial" w:hAnsi="Arial"/>
          <w:sz w:val="13"/>
          <w:szCs w:val="13"/>
          <w:color w:val="auto"/>
        </w:rPr>
        <w:t>2,213,645</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3,475,281</w:t>
      </w:r>
      <w:r>
        <w:rPr>
          <w:sz w:val="20"/>
          <w:szCs w:val="20"/>
          <w:color w:val="auto"/>
        </w:rPr>
        <w:tab/>
      </w:r>
      <w:r>
        <w:rPr>
          <w:rFonts w:ascii="Arial" w:cs="Arial" w:eastAsia="Arial" w:hAnsi="Arial"/>
          <w:sz w:val="14"/>
          <w:szCs w:val="14"/>
          <w:color w:val="auto"/>
        </w:rPr>
        <w:t>3,454,967</w:t>
      </w:r>
      <w:r>
        <w:rPr>
          <w:sz w:val="20"/>
          <w:szCs w:val="20"/>
          <w:color w:val="auto"/>
        </w:rPr>
        <w:tab/>
      </w:r>
      <w:r>
        <w:rPr>
          <w:rFonts w:ascii="Arial" w:cs="Arial" w:eastAsia="Arial" w:hAnsi="Arial"/>
          <w:sz w:val="13"/>
          <w:szCs w:val="13"/>
          <w:color w:val="auto"/>
        </w:rPr>
        <w:t>3,475,629</w:t>
      </w:r>
    </w:p>
    <w:p>
      <w:pPr>
        <w:spacing w:after="0" w:line="325" w:lineRule="exact"/>
        <w:rPr>
          <w:sz w:val="20"/>
          <w:szCs w:val="20"/>
          <w:color w:val="auto"/>
        </w:rPr>
      </w:pPr>
    </w:p>
    <w:p>
      <w:pPr>
        <w:ind w:left="180"/>
        <w:spacing w:after="0"/>
        <w:tabs>
          <w:tab w:leader="none" w:pos="1280" w:val="left"/>
          <w:tab w:leader="none" w:pos="2400" w:val="left"/>
        </w:tabs>
        <w:rPr>
          <w:sz w:val="20"/>
          <w:szCs w:val="20"/>
          <w:color w:val="auto"/>
        </w:rPr>
      </w:pPr>
      <w:r>
        <w:rPr>
          <w:rFonts w:ascii="Arial" w:cs="Arial" w:eastAsia="Arial" w:hAnsi="Arial"/>
          <w:sz w:val="14"/>
          <w:szCs w:val="14"/>
          <w:color w:val="auto"/>
        </w:rPr>
        <w:t>1,246,875</w:t>
      </w:r>
      <w:r>
        <w:rPr>
          <w:sz w:val="20"/>
          <w:szCs w:val="20"/>
          <w:color w:val="auto"/>
        </w:rPr>
        <w:tab/>
      </w:r>
      <w:r>
        <w:rPr>
          <w:rFonts w:ascii="Arial" w:cs="Arial" w:eastAsia="Arial" w:hAnsi="Arial"/>
          <w:sz w:val="14"/>
          <w:szCs w:val="14"/>
          <w:color w:val="auto"/>
        </w:rPr>
        <w:t>1,245,425</w:t>
      </w:r>
      <w:r>
        <w:rPr>
          <w:sz w:val="20"/>
          <w:szCs w:val="20"/>
          <w:color w:val="auto"/>
        </w:rPr>
        <w:tab/>
      </w:r>
      <w:r>
        <w:rPr>
          <w:rFonts w:ascii="Arial" w:cs="Arial" w:eastAsia="Arial" w:hAnsi="Arial"/>
          <w:sz w:val="13"/>
          <w:szCs w:val="13"/>
          <w:color w:val="auto"/>
        </w:rPr>
        <w:t>1,255,454</w:t>
      </w:r>
    </w:p>
    <w:p>
      <w:pPr>
        <w:sectPr>
          <w:pgSz w:w="11900" w:h="16838" w:orient="portrait"/>
          <w:cols w:equalWidth="0" w:num="3">
            <w:col w:w="3960" w:space="280"/>
            <w:col w:w="3360" w:space="720"/>
            <w:col w:w="3000"/>
          </w:cols>
          <w:pgMar w:left="240" w:top="873" w:right="339" w:bottom="1440" w:gutter="0" w:footer="0" w:header="0"/>
        </w:sectPr>
      </w:pPr>
    </w:p>
    <w:bookmarkStart w:id="24" w:name="page25"/>
    <w:bookmarkEnd w:id="24"/>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Spin Holdco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Stafford Logistics, Inc.(dba Custom Ecology,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Steinway Musical Instruments,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Hotel, Gaming &amp; Leisure</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Sun Products Corporation, The (fka Huish Detergents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goods: Non-durable</w:t>
      </w:r>
    </w:p>
    <w:p>
      <w:pPr>
        <w:spacing w:after="0" w:line="126" w:lineRule="exact"/>
        <w:rPr>
          <w:sz w:val="20"/>
          <w:szCs w:val="20"/>
          <w:color w:val="auto"/>
        </w:rPr>
      </w:pPr>
    </w:p>
    <w:p>
      <w:pPr>
        <w:ind w:left="180" w:right="820" w:hanging="161"/>
        <w:spacing w:after="0" w:line="221" w:lineRule="auto"/>
        <w:rPr>
          <w:sz w:val="20"/>
          <w:szCs w:val="20"/>
          <w:color w:val="auto"/>
        </w:rPr>
      </w:pPr>
      <w:r>
        <w:rPr>
          <w:rFonts w:ascii="Arial" w:cs="Arial" w:eastAsia="Arial" w:hAnsi="Arial"/>
          <w:sz w:val="13"/>
          <w:szCs w:val="13"/>
          <w:color w:val="auto"/>
        </w:rPr>
        <w:t>TPF II LC, LLC (TPF II Rolling Hills, LLC)</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Utilities: Electric</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Trimaran Advisors,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TriZetto Group, Inc. (TZ Merger Sub,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jc w:val="right"/>
        <w:ind w:right="2360"/>
        <w:spacing w:after="0"/>
        <w:rPr>
          <w:sz w:val="20"/>
          <w:szCs w:val="20"/>
          <w:color w:val="auto"/>
        </w:rPr>
      </w:pPr>
      <w:r>
        <w:rPr>
          <w:rFonts w:ascii="Arial" w:cs="Arial" w:eastAsia="Arial" w:hAnsi="Arial"/>
          <w:sz w:val="13"/>
          <w:szCs w:val="13"/>
          <w:color w:val="auto"/>
        </w:rPr>
        <w:t>TUI University, LLC</w:t>
      </w:r>
      <w:r>
        <w:rPr>
          <w:rFonts w:ascii="Arial" w:cs="Arial" w:eastAsia="Arial" w:hAnsi="Arial"/>
          <w:sz w:val="21"/>
          <w:szCs w:val="21"/>
          <w:color w:val="auto"/>
          <w:vertAlign w:val="superscript"/>
        </w:rPr>
        <w:t>9</w:t>
      </w:r>
    </w:p>
    <w:p>
      <w:pPr>
        <w:jc w:val="right"/>
        <w:ind w:right="2400"/>
        <w:spacing w:after="0"/>
        <w:rPr>
          <w:sz w:val="20"/>
          <w:szCs w:val="20"/>
          <w:color w:val="auto"/>
        </w:rPr>
      </w:pPr>
      <w:r>
        <w:rPr>
          <w:rFonts w:ascii="Arial" w:cs="Arial" w:eastAsia="Arial" w:hAnsi="Arial"/>
          <w:sz w:val="14"/>
          <w:szCs w:val="14"/>
          <w:i w:val="1"/>
          <w:iCs w:val="1"/>
          <w:color w:val="auto"/>
        </w:rPr>
        <w:t>Services: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Senior Secured Loan — Initial Term Loan (First Lien)</w:t>
      </w:r>
    </w:p>
    <w:p>
      <w:pPr>
        <w:spacing w:after="0"/>
        <w:rPr>
          <w:sz w:val="20"/>
          <w:szCs w:val="20"/>
          <w:color w:val="auto"/>
        </w:rPr>
      </w:pPr>
      <w:r>
        <w:rPr>
          <w:rFonts w:ascii="Arial" w:cs="Arial" w:eastAsia="Arial" w:hAnsi="Arial"/>
          <w:sz w:val="14"/>
          <w:szCs w:val="14"/>
          <w:color w:val="auto"/>
        </w:rPr>
        <w:t>4.3% Cash, Due 11/19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6.8% Cash, Due 6/19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9.3% Cash, Due 9/20</w:t>
      </w:r>
    </w:p>
    <w:p>
      <w:pPr>
        <w:spacing w:after="0" w:line="16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Senior Secured Loan — Tranche B Term Loan 5.5% Cash, Due 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6.5% Cash, Due 8/19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Due 7/16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6.3% Cash, Due 7/16</w:t>
      </w:r>
    </w:p>
    <w:p>
      <w:pPr>
        <w:spacing w:after="0" w:line="165"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Senior Unsecured Loan — Revolving Credit Facility 9.0% Cash, Due 11/17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4.8% Cash, Due 5/18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11.0% Cash, Due 12/17</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7.3% Cash, Due 10/14</w:t>
      </w: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2,743,125</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2,742,255</w:t>
            </w:r>
          </w:p>
        </w:tc>
        <w:tc>
          <w:tcPr>
            <w:tcW w:w="920" w:type="dxa"/>
            <w:vAlign w:val="bottom"/>
          </w:tcPr>
          <w:p>
            <w:pPr>
              <w:jc w:val="right"/>
              <w:spacing w:after="0"/>
              <w:rPr>
                <w:sz w:val="20"/>
                <w:szCs w:val="20"/>
                <w:color w:val="auto"/>
              </w:rPr>
            </w:pPr>
            <w:r>
              <w:rPr>
                <w:rFonts w:ascii="Arial" w:cs="Arial" w:eastAsia="Arial" w:hAnsi="Arial"/>
                <w:sz w:val="14"/>
                <w:szCs w:val="14"/>
                <w:color w:val="auto"/>
              </w:rPr>
              <w:t>2,761,998</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2,957,663</w:t>
            </w:r>
          </w:p>
        </w:tc>
        <w:tc>
          <w:tcPr>
            <w:tcW w:w="920" w:type="dxa"/>
            <w:vAlign w:val="bottom"/>
          </w:tcPr>
          <w:p>
            <w:pPr>
              <w:jc w:val="right"/>
              <w:spacing w:after="0"/>
              <w:rPr>
                <w:sz w:val="20"/>
                <w:szCs w:val="20"/>
                <w:color w:val="auto"/>
              </w:rPr>
            </w:pPr>
            <w:r>
              <w:rPr>
                <w:rFonts w:ascii="Arial" w:cs="Arial" w:eastAsia="Arial" w:hAnsi="Arial"/>
                <w:sz w:val="14"/>
                <w:szCs w:val="14"/>
                <w:color w:val="auto"/>
              </w:rPr>
              <w:t>2,985,896</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990,403</w:t>
            </w:r>
          </w:p>
        </w:tc>
        <w:tc>
          <w:tcPr>
            <w:tcW w:w="920" w:type="dxa"/>
            <w:vAlign w:val="bottom"/>
          </w:tcPr>
          <w:p>
            <w:pPr>
              <w:jc w:val="right"/>
              <w:spacing w:after="0"/>
              <w:rPr>
                <w:sz w:val="20"/>
                <w:szCs w:val="20"/>
                <w:color w:val="auto"/>
              </w:rPr>
            </w:pPr>
            <w:r>
              <w:rPr>
                <w:rFonts w:ascii="Arial" w:cs="Arial" w:eastAsia="Arial" w:hAnsi="Arial"/>
                <w:sz w:val="14"/>
                <w:szCs w:val="14"/>
                <w:color w:val="auto"/>
              </w:rPr>
              <w:t>1,001,900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3,970,000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3,941,540</w:t>
            </w:r>
          </w:p>
        </w:tc>
        <w:tc>
          <w:tcPr>
            <w:tcW w:w="920" w:type="dxa"/>
            <w:vAlign w:val="bottom"/>
          </w:tcPr>
          <w:p>
            <w:pPr>
              <w:jc w:val="right"/>
              <w:spacing w:after="0"/>
              <w:rPr>
                <w:sz w:val="20"/>
                <w:szCs w:val="20"/>
                <w:color w:val="auto"/>
              </w:rPr>
            </w:pPr>
            <w:r>
              <w:rPr>
                <w:rFonts w:ascii="Arial" w:cs="Arial" w:eastAsia="Arial" w:hAnsi="Arial"/>
                <w:sz w:val="14"/>
                <w:szCs w:val="14"/>
                <w:color w:val="auto"/>
              </w:rPr>
              <w:t>3,780,433</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2,985,000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2,942,573</w:t>
            </w:r>
          </w:p>
        </w:tc>
        <w:tc>
          <w:tcPr>
            <w:tcW w:w="920" w:type="dxa"/>
            <w:vAlign w:val="bottom"/>
          </w:tcPr>
          <w:p>
            <w:pPr>
              <w:jc w:val="right"/>
              <w:spacing w:after="0"/>
              <w:rPr>
                <w:sz w:val="20"/>
                <w:szCs w:val="20"/>
                <w:color w:val="auto"/>
              </w:rPr>
            </w:pPr>
            <w:r>
              <w:rPr>
                <w:rFonts w:ascii="Arial" w:cs="Arial" w:eastAsia="Arial" w:hAnsi="Arial"/>
                <w:sz w:val="14"/>
                <w:szCs w:val="14"/>
                <w:color w:val="auto"/>
              </w:rPr>
              <w:t>2,987,985</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4,864,844</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4,843,792</w:t>
            </w:r>
          </w:p>
        </w:tc>
        <w:tc>
          <w:tcPr>
            <w:tcW w:w="920" w:type="dxa"/>
            <w:vAlign w:val="bottom"/>
          </w:tcPr>
          <w:p>
            <w:pPr>
              <w:jc w:val="right"/>
              <w:spacing w:after="0"/>
              <w:rPr>
                <w:sz w:val="20"/>
                <w:szCs w:val="20"/>
                <w:color w:val="auto"/>
              </w:rPr>
            </w:pPr>
            <w:r>
              <w:rPr>
                <w:rFonts w:ascii="Arial" w:cs="Arial" w:eastAsia="Arial" w:hAnsi="Arial"/>
                <w:sz w:val="14"/>
                <w:szCs w:val="14"/>
                <w:color w:val="auto"/>
              </w:rPr>
              <w:t>4,863,871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3,891,875</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3,875,033</w:t>
            </w:r>
          </w:p>
        </w:tc>
        <w:tc>
          <w:tcPr>
            <w:tcW w:w="920" w:type="dxa"/>
            <w:vAlign w:val="bottom"/>
          </w:tcPr>
          <w:p>
            <w:pPr>
              <w:jc w:val="right"/>
              <w:spacing w:after="0"/>
              <w:rPr>
                <w:sz w:val="20"/>
                <w:szCs w:val="20"/>
                <w:color w:val="auto"/>
              </w:rPr>
            </w:pPr>
            <w:r>
              <w:rPr>
                <w:rFonts w:ascii="Arial" w:cs="Arial" w:eastAsia="Arial" w:hAnsi="Arial"/>
                <w:sz w:val="14"/>
                <w:szCs w:val="14"/>
                <w:color w:val="auto"/>
              </w:rPr>
              <w:t>3,891,097</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23,000,000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23,000,000</w:t>
            </w:r>
          </w:p>
        </w:tc>
        <w:tc>
          <w:tcPr>
            <w:tcW w:w="920" w:type="dxa"/>
            <w:vAlign w:val="bottom"/>
          </w:tcPr>
          <w:p>
            <w:pPr>
              <w:jc w:val="right"/>
              <w:spacing w:after="0"/>
              <w:rPr>
                <w:sz w:val="20"/>
                <w:szCs w:val="20"/>
                <w:color w:val="auto"/>
              </w:rPr>
            </w:pPr>
            <w:r>
              <w:rPr>
                <w:rFonts w:ascii="Arial" w:cs="Arial" w:eastAsia="Arial" w:hAnsi="Arial"/>
                <w:sz w:val="14"/>
                <w:szCs w:val="14"/>
                <w:color w:val="auto"/>
              </w:rPr>
              <w:t>23,000,000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3,676,604</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3,684,234</w:t>
            </w:r>
          </w:p>
        </w:tc>
        <w:tc>
          <w:tcPr>
            <w:tcW w:w="920" w:type="dxa"/>
            <w:vAlign w:val="bottom"/>
          </w:tcPr>
          <w:p>
            <w:pPr>
              <w:jc w:val="right"/>
              <w:spacing w:after="0"/>
              <w:rPr>
                <w:sz w:val="20"/>
                <w:szCs w:val="20"/>
                <w:color w:val="auto"/>
              </w:rPr>
            </w:pPr>
            <w:r>
              <w:rPr>
                <w:rFonts w:ascii="Arial" w:cs="Arial" w:eastAsia="Arial" w:hAnsi="Arial"/>
                <w:sz w:val="14"/>
                <w:szCs w:val="14"/>
                <w:color w:val="auto"/>
              </w:rPr>
              <w:t>3,639,857</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10,400,000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10,234,558</w:t>
            </w:r>
          </w:p>
        </w:tc>
        <w:tc>
          <w:tcPr>
            <w:tcW w:w="920" w:type="dxa"/>
            <w:vAlign w:val="bottom"/>
          </w:tcPr>
          <w:p>
            <w:pPr>
              <w:jc w:val="right"/>
              <w:spacing w:after="0"/>
              <w:rPr>
                <w:sz w:val="20"/>
                <w:szCs w:val="20"/>
                <w:color w:val="auto"/>
              </w:rPr>
            </w:pPr>
            <w:r>
              <w:rPr>
                <w:rFonts w:ascii="Arial" w:cs="Arial" w:eastAsia="Arial" w:hAnsi="Arial"/>
                <w:sz w:val="14"/>
                <w:szCs w:val="14"/>
                <w:color w:val="auto"/>
              </w:rPr>
              <w:t>10,608,000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1,647,733</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1,637,909</w:t>
            </w:r>
          </w:p>
        </w:tc>
        <w:tc>
          <w:tcPr>
            <w:tcW w:w="920" w:type="dxa"/>
            <w:vAlign w:val="bottom"/>
          </w:tcPr>
          <w:p>
            <w:pPr>
              <w:jc w:val="right"/>
              <w:spacing w:after="0"/>
              <w:rPr>
                <w:sz w:val="20"/>
                <w:szCs w:val="20"/>
                <w:color w:val="auto"/>
              </w:rPr>
            </w:pPr>
            <w:r>
              <w:rPr>
                <w:rFonts w:ascii="Arial" w:cs="Arial" w:eastAsia="Arial" w:hAnsi="Arial"/>
                <w:sz w:val="14"/>
                <w:szCs w:val="14"/>
                <w:color w:val="auto"/>
              </w:rPr>
              <w:t>1,614,779</w:t>
            </w:r>
          </w:p>
        </w:tc>
      </w:tr>
    </w:tbl>
    <w:p>
      <w:pPr>
        <w:sectPr>
          <w:pgSz w:w="11900" w:h="16838" w:orient="portrait"/>
          <w:cols w:equalWidth="0" w:num="3">
            <w:col w:w="3640" w:space="600"/>
            <w:col w:w="3180" w:space="720"/>
            <w:col w:w="3180"/>
          </w:cols>
          <w:pgMar w:left="240" w:top="873" w:right="339" w:bottom="1440" w:gutter="0" w:footer="0" w:header="0"/>
        </w:sectPr>
      </w:pPr>
    </w:p>
    <w:bookmarkStart w:id="25" w:name="page26"/>
    <w:bookmarkEnd w:id="25"/>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Media: Broadcasting &amp; Subscription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Chemicals, Plastics and Rubber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Vertafore, Inc.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134" w:lineRule="exact"/>
        <w:rPr>
          <w:sz w:val="20"/>
          <w:szCs w:val="20"/>
          <w:color w:val="auto"/>
        </w:rPr>
      </w:pPr>
    </w:p>
    <w:p>
      <w:pPr>
        <w:ind w:left="180" w:hanging="161"/>
        <w:spacing w:after="0" w:line="203" w:lineRule="auto"/>
        <w:rPr>
          <w:sz w:val="20"/>
          <w:szCs w:val="20"/>
          <w:color w:val="auto"/>
        </w:rPr>
      </w:pPr>
      <w:r>
        <w:rPr>
          <w:rFonts w:ascii="Arial" w:cs="Arial" w:eastAsia="Arial" w:hAnsi="Arial"/>
          <w:sz w:val="14"/>
          <w:szCs w:val="14"/>
          <w:color w:val="auto"/>
        </w:rPr>
        <w:t>Vestcom International, Inc. (fka Vector Investment Holdings, Inc.)</w:t>
      </w:r>
      <w:r>
        <w:rPr>
          <w:rFonts w:ascii="Arial" w:cs="Arial" w:eastAsia="Arial" w:hAnsi="Arial"/>
          <w:sz w:val="23"/>
          <w:szCs w:val="23"/>
          <w:color w:val="auto"/>
          <w:vertAlign w:val="superscript"/>
        </w:rPr>
        <w:t>9, 11</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Rate¹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-3175</wp:posOffset>
            </wp:positionV>
            <wp:extent cx="7246620" cy="2228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Junior Secured Loan — Term Loan (Second Lien)</w:t>
      </w:r>
    </w:p>
    <w:p>
      <w:pPr>
        <w:spacing w:after="0"/>
        <w:rPr>
          <w:sz w:val="20"/>
          <w:szCs w:val="20"/>
          <w:color w:val="auto"/>
        </w:rPr>
      </w:pPr>
      <w:r>
        <w:rPr>
          <w:rFonts w:ascii="Arial" w:cs="Arial" w:eastAsia="Arial" w:hAnsi="Arial"/>
          <w:sz w:val="14"/>
          <w:szCs w:val="14"/>
          <w:color w:val="auto"/>
        </w:rPr>
        <w:t>7.0% Cash, Due 6/20</w:t>
      </w:r>
    </w:p>
    <w:p>
      <w:pPr>
        <w:spacing w:after="0" w:line="165" w:lineRule="exact"/>
        <w:rPr>
          <w:sz w:val="20"/>
          <w:szCs w:val="20"/>
          <w:color w:val="auto"/>
        </w:rPr>
      </w:pPr>
    </w:p>
    <w:p>
      <w:pPr>
        <w:ind w:right="1300"/>
        <w:spacing w:after="0" w:line="253" w:lineRule="auto"/>
        <w:rPr>
          <w:sz w:val="20"/>
          <w:szCs w:val="20"/>
          <w:color w:val="auto"/>
        </w:rPr>
      </w:pPr>
      <w:r>
        <w:rPr>
          <w:rFonts w:ascii="Arial" w:cs="Arial" w:eastAsia="Arial" w:hAnsi="Arial"/>
          <w:sz w:val="14"/>
          <w:szCs w:val="14"/>
          <w:color w:val="auto"/>
        </w:rPr>
        <w:t>Senior Secured Loan — Term Loan 3.5% Cash, Due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1160"/>
        <w:spacing w:after="0" w:line="253" w:lineRule="auto"/>
        <w:rPr>
          <w:sz w:val="20"/>
          <w:szCs w:val="20"/>
          <w:color w:val="auto"/>
        </w:rPr>
      </w:pPr>
      <w:r>
        <w:rPr>
          <w:rFonts w:ascii="Arial" w:cs="Arial" w:eastAsia="Arial" w:hAnsi="Arial"/>
          <w:sz w:val="14"/>
          <w:szCs w:val="14"/>
          <w:color w:val="auto"/>
        </w:rPr>
        <w:t>Senior Secured Loan — Term B Loan 5.0% Cash, Due 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-89535</wp:posOffset>
            </wp:positionV>
            <wp:extent cx="7246620"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4.3% Cash, Due 10/19</w:t>
      </w:r>
    </w:p>
    <w:p>
      <w:pPr>
        <w:spacing w:after="0" w:line="165" w:lineRule="exact"/>
        <w:rPr>
          <w:sz w:val="20"/>
          <w:szCs w:val="20"/>
          <w:color w:val="auto"/>
        </w:rPr>
      </w:pPr>
    </w:p>
    <w:p>
      <w:pPr>
        <w:ind w:right="1300"/>
        <w:spacing w:after="0" w:line="253" w:lineRule="auto"/>
        <w:rPr>
          <w:sz w:val="20"/>
          <w:szCs w:val="20"/>
          <w:color w:val="auto"/>
        </w:rPr>
      </w:pPr>
      <w:r>
        <w:rPr>
          <w:rFonts w:ascii="Arial" w:cs="Arial" w:eastAsia="Arial" w:hAnsi="Arial"/>
          <w:sz w:val="14"/>
          <w:szCs w:val="14"/>
          <w:color w:val="auto"/>
        </w:rPr>
        <w:t>Senior Secured Loan — Term Loan 7.0% Cash, Due 12/18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1300"/>
        <w:spacing w:after="0" w:line="253" w:lineRule="auto"/>
        <w:rPr>
          <w:sz w:val="20"/>
          <w:szCs w:val="20"/>
          <w:color w:val="auto"/>
        </w:rPr>
      </w:pPr>
      <w:r>
        <w:rPr>
          <w:rFonts w:ascii="Arial" w:cs="Arial" w:eastAsia="Arial" w:hAnsi="Arial"/>
          <w:sz w:val="14"/>
          <w:szCs w:val="14"/>
          <w:color w:val="auto"/>
        </w:rPr>
        <w:t>Senior Secured Loan — Term Loan 6.3% Cash, Due 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ind w:right="1300"/>
        <w:spacing w:after="0" w:line="253" w:lineRule="auto"/>
        <w:rPr>
          <w:sz w:val="20"/>
          <w:szCs w:val="20"/>
          <w:color w:val="auto"/>
        </w:rPr>
      </w:pPr>
      <w:r>
        <w:rPr>
          <w:rFonts w:ascii="Arial" w:cs="Arial" w:eastAsia="Arial" w:hAnsi="Arial"/>
          <w:sz w:val="14"/>
          <w:szCs w:val="14"/>
          <w:color w:val="auto"/>
        </w:rPr>
        <w:t>Senior Secured Loan — Term Loan 6.3% Cash, Due 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Junior Secured Loan — Subordinated Note (Second Lien) 14.0% Cash, Due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-203200</wp:posOffset>
            </wp:positionV>
            <wp:extent cx="724662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22"/>
                <w:szCs w:val="22"/>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r>
      <w:tr>
        <w:trPr>
          <w:trHeight w:val="346"/>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1,004,735</w:t>
            </w:r>
          </w:p>
        </w:tc>
        <w:tc>
          <w:tcPr>
            <w:tcW w:w="920" w:type="dxa"/>
            <w:vAlign w:val="bottom"/>
          </w:tcPr>
          <w:p>
            <w:pPr>
              <w:jc w:val="right"/>
              <w:spacing w:after="0"/>
              <w:rPr>
                <w:sz w:val="20"/>
                <w:szCs w:val="20"/>
                <w:color w:val="auto"/>
              </w:rPr>
            </w:pPr>
            <w:r>
              <w:rPr>
                <w:rFonts w:ascii="Arial" w:cs="Arial" w:eastAsia="Arial" w:hAnsi="Arial"/>
                <w:sz w:val="14"/>
                <w:szCs w:val="14"/>
                <w:color w:val="auto"/>
              </w:rPr>
              <w:t>1,030,005</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1,965,101</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1,980,166</w:t>
            </w:r>
          </w:p>
        </w:tc>
        <w:tc>
          <w:tcPr>
            <w:tcW w:w="920" w:type="dxa"/>
            <w:vAlign w:val="bottom"/>
          </w:tcPr>
          <w:p>
            <w:pPr>
              <w:jc w:val="right"/>
              <w:spacing w:after="0"/>
              <w:rPr>
                <w:sz w:val="20"/>
                <w:szCs w:val="20"/>
                <w:color w:val="auto"/>
              </w:rPr>
            </w:pPr>
            <w:r>
              <w:rPr>
                <w:rFonts w:ascii="Arial" w:cs="Arial" w:eastAsia="Arial" w:hAnsi="Arial"/>
                <w:sz w:val="14"/>
                <w:szCs w:val="14"/>
                <w:color w:val="auto"/>
              </w:rPr>
              <w:t>1,975,379</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2,924,675</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2,921,597</w:t>
            </w:r>
          </w:p>
        </w:tc>
        <w:tc>
          <w:tcPr>
            <w:tcW w:w="920" w:type="dxa"/>
            <w:vAlign w:val="bottom"/>
          </w:tcPr>
          <w:p>
            <w:pPr>
              <w:jc w:val="right"/>
              <w:spacing w:after="0"/>
              <w:rPr>
                <w:sz w:val="20"/>
                <w:szCs w:val="20"/>
                <w:color w:val="auto"/>
              </w:rPr>
            </w:pPr>
            <w:r>
              <w:rPr>
                <w:rFonts w:ascii="Arial" w:cs="Arial" w:eastAsia="Arial" w:hAnsi="Arial"/>
                <w:sz w:val="14"/>
                <w:szCs w:val="14"/>
                <w:color w:val="auto"/>
              </w:rPr>
              <w:t>2,906,601</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1,202,077</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1,201,491</w:t>
            </w:r>
          </w:p>
        </w:tc>
        <w:tc>
          <w:tcPr>
            <w:tcW w:w="920" w:type="dxa"/>
            <w:vAlign w:val="bottom"/>
          </w:tcPr>
          <w:p>
            <w:pPr>
              <w:jc w:val="right"/>
              <w:spacing w:after="0"/>
              <w:rPr>
                <w:sz w:val="20"/>
                <w:szCs w:val="20"/>
                <w:color w:val="auto"/>
              </w:rPr>
            </w:pPr>
            <w:r>
              <w:rPr>
                <w:rFonts w:ascii="Arial" w:cs="Arial" w:eastAsia="Arial" w:hAnsi="Arial"/>
                <w:sz w:val="14"/>
                <w:szCs w:val="14"/>
                <w:color w:val="auto"/>
              </w:rPr>
              <w:t>1,203,039</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2,977,500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2,939,085</w:t>
            </w:r>
          </w:p>
        </w:tc>
        <w:tc>
          <w:tcPr>
            <w:tcW w:w="920" w:type="dxa"/>
            <w:vAlign w:val="bottom"/>
          </w:tcPr>
          <w:p>
            <w:pPr>
              <w:jc w:val="right"/>
              <w:spacing w:after="0"/>
              <w:rPr>
                <w:sz w:val="20"/>
                <w:szCs w:val="20"/>
                <w:color w:val="auto"/>
              </w:rPr>
            </w:pPr>
            <w:r>
              <w:rPr>
                <w:rFonts w:ascii="Arial" w:cs="Arial" w:eastAsia="Arial" w:hAnsi="Arial"/>
                <w:sz w:val="14"/>
                <w:szCs w:val="14"/>
                <w:color w:val="auto"/>
              </w:rPr>
              <w:t>2,978,095</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990,219</w:t>
            </w:r>
          </w:p>
        </w:tc>
        <w:tc>
          <w:tcPr>
            <w:tcW w:w="920" w:type="dxa"/>
            <w:vAlign w:val="bottom"/>
          </w:tcPr>
          <w:p>
            <w:pPr>
              <w:jc w:val="right"/>
              <w:spacing w:after="0"/>
              <w:rPr>
                <w:sz w:val="20"/>
                <w:szCs w:val="20"/>
                <w:color w:val="auto"/>
              </w:rPr>
            </w:pPr>
            <w:r>
              <w:rPr>
                <w:rFonts w:ascii="Arial" w:cs="Arial" w:eastAsia="Arial" w:hAnsi="Arial"/>
                <w:sz w:val="14"/>
                <w:szCs w:val="14"/>
                <w:color w:val="auto"/>
              </w:rPr>
              <w:t>990,000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3,960,876</w:t>
            </w:r>
          </w:p>
        </w:tc>
        <w:tc>
          <w:tcPr>
            <w:tcW w:w="920" w:type="dxa"/>
            <w:vAlign w:val="bottom"/>
          </w:tcPr>
          <w:p>
            <w:pPr>
              <w:jc w:val="right"/>
              <w:spacing w:after="0"/>
              <w:rPr>
                <w:sz w:val="20"/>
                <w:szCs w:val="20"/>
                <w:color w:val="auto"/>
              </w:rPr>
            </w:pPr>
            <w:r>
              <w:rPr>
                <w:rFonts w:ascii="Arial" w:cs="Arial" w:eastAsia="Arial" w:hAnsi="Arial"/>
                <w:sz w:val="14"/>
                <w:szCs w:val="14"/>
                <w:color w:val="auto"/>
              </w:rPr>
              <w:t>3,960,000</w:t>
            </w:r>
          </w:p>
        </w:tc>
      </w:tr>
      <w:tr>
        <w:trPr>
          <w:trHeight w:val="486"/>
        </w:trPr>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6,648,596</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6,614,827</w:t>
            </w:r>
          </w:p>
        </w:tc>
        <w:tc>
          <w:tcPr>
            <w:tcW w:w="920" w:type="dxa"/>
            <w:vAlign w:val="bottom"/>
          </w:tcPr>
          <w:p>
            <w:pPr>
              <w:jc w:val="right"/>
              <w:spacing w:after="0"/>
              <w:rPr>
                <w:sz w:val="20"/>
                <w:szCs w:val="20"/>
                <w:color w:val="auto"/>
              </w:rPr>
            </w:pPr>
            <w:r>
              <w:rPr>
                <w:rFonts w:ascii="Arial" w:cs="Arial" w:eastAsia="Arial" w:hAnsi="Arial"/>
                <w:sz w:val="14"/>
                <w:szCs w:val="14"/>
                <w:color w:val="auto"/>
              </w:rPr>
              <w:t>6,715,082</w:t>
            </w:r>
          </w:p>
        </w:tc>
      </w:tr>
    </w:tbl>
    <w:p>
      <w:pPr>
        <w:spacing w:after="0" w:line="200" w:lineRule="exact"/>
        <w:rPr>
          <w:sz w:val="20"/>
          <w:szCs w:val="20"/>
          <w:color w:val="auto"/>
        </w:rPr>
      </w:pPr>
    </w:p>
    <w:p>
      <w:pPr>
        <w:sectPr>
          <w:pgSz w:w="11900" w:h="16838" w:orient="portrait"/>
          <w:cols w:equalWidth="0" w:num="3">
            <w:col w:w="4060" w:space="180"/>
            <w:col w:w="3360" w:space="540"/>
            <w:col w:w="3180"/>
          </w:cols>
          <w:pgMar w:left="240" w:top="873"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3" w:right="339" w:bottom="1440" w:gutter="0" w:footer="0" w:header="0"/>
          <w:type w:val="continuous"/>
        </w:sectPr>
      </w:pPr>
    </w:p>
    <w:bookmarkStart w:id="26" w:name="page27"/>
    <w:bookmarkEnd w:id="26"/>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 Principal Business</w:t>
      </w:r>
    </w:p>
    <w:p>
      <w:pPr>
        <w:spacing w:after="0" w:line="197" w:lineRule="auto"/>
        <w:rPr>
          <w:sz w:val="20"/>
          <w:szCs w:val="20"/>
          <w:color w:val="auto"/>
        </w:rPr>
      </w:pPr>
      <w:r>
        <w:rPr>
          <w:rFonts w:ascii="Arial" w:cs="Arial" w:eastAsia="Arial" w:hAnsi="Arial"/>
          <w:sz w:val="14"/>
          <w:szCs w:val="14"/>
          <w:color w:val="auto"/>
        </w:rPr>
        <w:t>WideOpenWest Finance , LLC</w:t>
      </w:r>
      <w:r>
        <w:rPr>
          <w:rFonts w:ascii="Arial" w:cs="Arial" w:eastAsia="Arial" w:hAnsi="Arial"/>
          <w:sz w:val="23"/>
          <w:szCs w:val="23"/>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9, 11</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WTG Holdings III Corp.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147" w:lineRule="exact"/>
        <w:rPr>
          <w:sz w:val="20"/>
          <w:szCs w:val="20"/>
          <w:color w:val="auto"/>
        </w:rPr>
      </w:pPr>
    </w:p>
    <w:p>
      <w:pPr>
        <w:ind w:left="180" w:right="920" w:hanging="161"/>
        <w:spacing w:after="0" w:line="342" w:lineRule="auto"/>
        <w:rPr>
          <w:sz w:val="20"/>
          <w:szCs w:val="20"/>
          <w:color w:val="auto"/>
        </w:rPr>
      </w:pPr>
      <w:r>
        <w:rPr>
          <w:rFonts w:ascii="Arial" w:cs="Arial" w:eastAsia="Arial" w:hAnsi="Arial"/>
          <w:sz w:val="12"/>
          <w:szCs w:val="12"/>
          <w:b w:val="1"/>
          <w:bCs w:val="1"/>
          <w:color w:val="auto"/>
        </w:rPr>
        <w:t>Total Investment in Debt Securities (107%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0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Interest Rate¹ / Maturity</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37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Term B Loan</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4.8% Cash, Due 4/19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2,984,962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3,005,566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3,005,111</w:t>
            </w:r>
          </w:p>
        </w:tc>
        <w:tc>
          <w:tcPr>
            <w:tcW w:w="0" w:type="dxa"/>
            <w:vAlign w:val="bottom"/>
          </w:tcPr>
          <w:p>
            <w:pPr>
              <w:spacing w:after="0"/>
              <w:rPr>
                <w:sz w:val="1"/>
                <w:szCs w:val="1"/>
                <w:color w:val="auto"/>
              </w:rPr>
            </w:pPr>
          </w:p>
        </w:tc>
      </w:tr>
      <w:tr>
        <w:trPr>
          <w:trHeight w:val="263"/>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Senior Unsecured Bond — 11.75% - 05/2017</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11.8% Cash, Due 5/17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4,977,052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5,121,000</w:t>
            </w:r>
          </w:p>
        </w:tc>
        <w:tc>
          <w:tcPr>
            <w:tcW w:w="0" w:type="dxa"/>
            <w:vAlign w:val="bottom"/>
          </w:tcPr>
          <w:p>
            <w:pPr>
              <w:spacing w:after="0"/>
              <w:rPr>
                <w:sz w:val="1"/>
                <w:szCs w:val="1"/>
                <w:color w:val="auto"/>
              </w:rPr>
            </w:pPr>
          </w:p>
        </w:tc>
      </w:tr>
      <w:tr>
        <w:trPr>
          <w:trHeight w:val="263"/>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Senior Unsecured Bond — 11.75% - 05/2017</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11.8% Cash, Due 5/17</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2,986,231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3,072,600</w:t>
            </w:r>
          </w:p>
        </w:tc>
        <w:tc>
          <w:tcPr>
            <w:tcW w:w="0" w:type="dxa"/>
            <w:vAlign w:val="bottom"/>
          </w:tcPr>
          <w:p>
            <w:pPr>
              <w:spacing w:after="0"/>
              <w:rPr>
                <w:sz w:val="1"/>
                <w:szCs w:val="1"/>
                <w:color w:val="auto"/>
              </w:rPr>
            </w:pPr>
          </w:p>
        </w:tc>
      </w:tr>
      <w:tr>
        <w:trPr>
          <w:trHeight w:val="263"/>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Junior Secured Loan — Term Loan (Second Lien)</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20" w:type="dxa"/>
            <w:vAlign w:val="bottom"/>
            <w:gridSpan w:val="3"/>
          </w:tcPr>
          <w:p>
            <w:pPr>
              <w:ind w:left="120"/>
              <w:spacing w:after="0"/>
              <w:rPr>
                <w:sz w:val="20"/>
                <w:szCs w:val="20"/>
                <w:color w:val="auto"/>
              </w:rPr>
            </w:pPr>
            <w:r>
              <w:rPr>
                <w:rFonts w:ascii="Arial" w:cs="Arial" w:eastAsia="Arial" w:hAnsi="Arial"/>
                <w:sz w:val="14"/>
                <w:szCs w:val="14"/>
                <w:color w:val="auto"/>
              </w:rPr>
              <w:t>8.5% Cash, Due 1/22</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3,980,000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3,980,000</w:t>
            </w:r>
          </w:p>
        </w:tc>
        <w:tc>
          <w:tcPr>
            <w:tcW w:w="0" w:type="dxa"/>
            <w:vAlign w:val="bottom"/>
          </w:tcPr>
          <w:p>
            <w:pPr>
              <w:spacing w:after="0"/>
              <w:rPr>
                <w:sz w:val="1"/>
                <w:szCs w:val="1"/>
                <w:color w:val="auto"/>
              </w:rPr>
            </w:pPr>
          </w:p>
        </w:tc>
      </w:tr>
      <w:tr>
        <w:trPr>
          <w:trHeight w:val="39"/>
        </w:trPr>
        <w:tc>
          <w:tcPr>
            <w:tcW w:w="1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276,978,279</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275,213,594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266,830,427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-1148715</wp:posOffset>
            </wp:positionV>
            <wp:extent cx="724662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-840105</wp:posOffset>
            </wp:positionV>
            <wp:extent cx="7246620"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-530860</wp:posOffset>
            </wp:positionV>
            <wp:extent cx="7246620"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-205105</wp:posOffset>
            </wp:positionV>
            <wp:extent cx="7246620" cy="1974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-1465580</wp:posOffset>
            </wp:positionV>
            <wp:extent cx="7246620" cy="2228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400" w:space="720"/>
            <w:col w:w="7300"/>
          </w:cols>
          <w:pgMar w:left="240" w:top="861"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Equity Securities Portfolio</w:t>
      </w:r>
    </w:p>
    <w:p>
      <w:pPr>
        <w:sectPr>
          <w:pgSz w:w="11900" w:h="16838" w:orient="portrait"/>
          <w:cols w:equalWidth="0" w:num="1">
            <w:col w:w="11420"/>
          </w:cols>
          <w:pgMar w:left="240" w:top="877" w:right="239" w:bottom="1440" w:gutter="0" w:footer="0" w:header="0"/>
        </w:sect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Aerostructures Holdings L.P.</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Aerostructures Holdings L.P.</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Banking, Finance, Insurance &amp; Real Estate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Caribe Media Inc. (fka Caribe Information Investments Incorporated)</w:t>
      </w:r>
      <w:r>
        <w:rPr>
          <w:rFonts w:ascii="Arial" w:cs="Arial" w:eastAsia="Arial" w:hAnsi="Arial"/>
          <w:sz w:val="21"/>
          <w:szCs w:val="21"/>
          <w:color w:val="auto"/>
          <w:vertAlign w:val="superscript"/>
        </w:rPr>
        <w:t>5,</w:t>
      </w:r>
    </w:p>
    <w:p>
      <w:pPr>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Media: Advertising, Printing &amp; Publishing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Coastal Concrete Holding II, LLC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eInstruction Acquisition, LLC</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FP WRCA Coinvestment Fund VII, Ltd.</w:t>
      </w:r>
      <w:r>
        <w:rPr>
          <w:rFonts w:ascii="Arial" w:cs="Arial" w:eastAsia="Arial" w:hAnsi="Arial"/>
          <w:sz w:val="23"/>
          <w:szCs w:val="23"/>
          <w:color w:val="auto"/>
          <w:vertAlign w:val="superscript"/>
        </w:rPr>
        <w:t>3, 5,</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3"/>
          <w:szCs w:val="23"/>
          <w:color w:val="auto"/>
          <w:vertAlign w:val="superscript"/>
        </w:rPr>
        <w:t>5, 9</w:t>
      </w:r>
    </w:p>
    <w:p>
      <w:pPr>
        <w:ind w:left="180"/>
        <w:spacing w:after="0"/>
        <w:rPr>
          <w:sz w:val="20"/>
          <w:szCs w:val="20"/>
          <w:color w:val="auto"/>
        </w:rPr>
      </w:pPr>
      <w:r>
        <w:rPr>
          <w:rFonts w:ascii="Arial" w:cs="Arial" w:eastAsia="Arial" w:hAnsi="Arial"/>
          <w:sz w:val="14"/>
          <w:szCs w:val="14"/>
          <w:i w:val="1"/>
          <w:iCs w:val="1"/>
          <w:color w:val="auto"/>
        </w:rPr>
        <w:t>Hotel, Gaming &amp; Leisure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Interest/Shares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Partnership Interests</w:t>
            </w: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Series A Preferred Interests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250,961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207,988</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B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C Warrants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Common Stock 2013</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314,325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309,363</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Common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359,765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692,710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Units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8,625,626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Membership Units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1,079,617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Class A Shares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1,500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1,735,604</w:t>
            </w:r>
          </w:p>
        </w:tc>
        <w:tc>
          <w:tcPr>
            <w:tcW w:w="0" w:type="dxa"/>
            <w:vAlign w:val="bottom"/>
          </w:tcPr>
          <w:p>
            <w:pPr>
              <w:spacing w:after="0"/>
              <w:rPr>
                <w:sz w:val="1"/>
                <w:szCs w:val="1"/>
                <w:color w:val="auto"/>
              </w:rPr>
            </w:pPr>
          </w:p>
        </w:tc>
      </w:tr>
      <w:tr>
        <w:trPr>
          <w:trHeight w:val="297"/>
        </w:trPr>
        <w:tc>
          <w:tcPr>
            <w:tcW w:w="3900" w:type="dxa"/>
            <w:vAlign w:val="bottom"/>
            <w:gridSpan w:val="3"/>
          </w:tcPr>
          <w:p>
            <w:pPr>
              <w:spacing w:after="0"/>
              <w:rPr>
                <w:sz w:val="20"/>
                <w:szCs w:val="20"/>
                <w:color w:val="auto"/>
              </w:rPr>
            </w:pPr>
            <w:r>
              <w:rPr>
                <w:rFonts w:ascii="Arial" w:cs="Arial" w:eastAsia="Arial" w:hAnsi="Arial"/>
                <w:sz w:val="14"/>
                <w:szCs w:val="14"/>
                <w:color w:val="auto"/>
              </w:rPr>
              <w:t>Common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-3104515</wp:posOffset>
            </wp:positionV>
            <wp:extent cx="7246620"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-2795905</wp:posOffset>
            </wp:positionV>
            <wp:extent cx="724662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-2487295</wp:posOffset>
            </wp:positionV>
            <wp:extent cx="724662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-2178685</wp:posOffset>
            </wp:positionV>
            <wp:extent cx="7246620"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-1870075</wp:posOffset>
            </wp:positionV>
            <wp:extent cx="7246620"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-1560830</wp:posOffset>
            </wp:positionV>
            <wp:extent cx="7246620" cy="3175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-1149350</wp:posOffset>
            </wp:positionV>
            <wp:extent cx="7246620"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-840740</wp:posOffset>
            </wp:positionV>
            <wp:extent cx="724662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-532130</wp:posOffset>
            </wp:positionV>
            <wp:extent cx="7246620" cy="214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7246620" cy="214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-3422015</wp:posOffset>
            </wp:positionV>
            <wp:extent cx="7246620" cy="222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100" w:space="140"/>
            <w:col w:w="71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3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Percentage</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020" w:type="dxa"/>
            <w:vAlign w:val="bottom"/>
            <w:gridSpan w:val="3"/>
            <w:vMerge w:val="continue"/>
          </w:tcPr>
          <w:p>
            <w:pPr>
              <w:spacing w:after="0"/>
              <w:rPr>
                <w:sz w:val="14"/>
                <w:szCs w:val="14"/>
                <w:color w:val="auto"/>
              </w:rPr>
            </w:pPr>
          </w:p>
        </w:tc>
        <w:tc>
          <w:tcPr>
            <w:tcW w:w="13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w w:val="88"/>
              </w:rPr>
              <w:t>Interest/Shares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0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8"/>
                <w:szCs w:val="18"/>
                <w:color w:val="auto"/>
                <w:vertAlign w:val="superscript"/>
              </w:rPr>
              <w:t>5, 9</w:t>
            </w:r>
          </w:p>
        </w:tc>
        <w:tc>
          <w:tcPr>
            <w:tcW w:w="1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Consumer goods: Durable</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7.8%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1,581,481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Consumer goods: Durable</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3,725,390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4,152,689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Energy: Oil &amp; Gas</w:t>
            </w: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2,322,563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1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120" w:type="dxa"/>
            <w:vAlign w:val="bottom"/>
            <w:shd w:val="clear" w:color="auto" w:fill="CCEEFF"/>
          </w:tcPr>
          <w:p>
            <w:pPr>
              <w:spacing w:after="0"/>
              <w:rPr>
                <w:sz w:val="10"/>
                <w:szCs w:val="10"/>
                <w:color w:val="auto"/>
              </w:rPr>
            </w:pPr>
          </w:p>
        </w:tc>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(4% of net asset value at fair value)</w:t>
            </w:r>
          </w:p>
        </w:tc>
        <w:tc>
          <w:tcPr>
            <w:tcW w:w="12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18,755,684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11,006,398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Equity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020" w:type="dxa"/>
            <w:vAlign w:val="bottom"/>
            <w:gridSpan w:val="3"/>
            <w:vMerge w:val="continue"/>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4,715,553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1,052,164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3, 10</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1,618,611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325,000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3, 10</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3,320,000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4,499,793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1,478,978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3,390,005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1,230,731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2,023,287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829,739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Securities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11,770,993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5,932,163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31,064,973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27,758,379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Preferred Shares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3,542,300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2,519,210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2,721,500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1,844,276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Income 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2,784,200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1,981,948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Income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3,133,900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2,513,261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3, 6</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8,943,900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6,846,520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3"/>
                <w:szCs w:val="13"/>
                <w:color w:val="auto"/>
              </w:rPr>
              <w:t>Catamaran CLO 2013-1 Ltd.</w:t>
            </w:r>
            <w:r>
              <w:rPr>
                <w:rFonts w:ascii="Arial" w:cs="Arial" w:eastAsia="Arial" w:hAnsi="Arial"/>
                <w:sz w:val="21"/>
                <w:szCs w:val="21"/>
                <w:color w:val="auto"/>
                <w:vertAlign w:val="superscript"/>
              </w:rPr>
              <w:t>3, 6</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23.5%</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9,960,400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8,225,100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23"/>
                <w:szCs w:val="23"/>
                <w:color w:val="auto"/>
                <w:vertAlign w:val="superscript"/>
              </w:rPr>
              <w:t>3</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Subordinated Notes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3,063,200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2,973,750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 in CLO Equity Securities</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96,552,615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65,512,219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ectPr>
          <w:pgSz w:w="11900" w:h="16838" w:orient="portrait"/>
          <w:cols w:equalWidth="0" w:num="1">
            <w:col w:w="11420"/>
          </w:cols>
          <w:pgMar w:left="240" w:top="877"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3, 6</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CLO Rated-Note</w:t>
      </w:r>
    </w:p>
    <w:p>
      <w:pPr>
        <w:spacing w:after="0" w:line="163" w:lineRule="exact"/>
        <w:rPr>
          <w:sz w:val="20"/>
          <w:szCs w:val="20"/>
          <w:color w:val="auto"/>
        </w:rPr>
      </w:pPr>
    </w:p>
    <w:p>
      <w:pPr>
        <w:ind w:left="180" w:right="980" w:hanging="161"/>
        <w:spacing w:after="0" w:line="297" w:lineRule="auto"/>
        <w:rPr>
          <w:sz w:val="20"/>
          <w:szCs w:val="20"/>
          <w:color w:val="auto"/>
        </w:rPr>
      </w:pPr>
      <w:r>
        <w:rPr>
          <w:rFonts w:ascii="Arial" w:cs="Arial" w:eastAsia="Arial" w:hAnsi="Arial"/>
          <w:sz w:val="13"/>
          <w:szCs w:val="13"/>
          <w:b w:val="1"/>
          <w:bCs w:val="1"/>
          <w:color w:val="auto"/>
        </w:rPr>
        <w:t>Total Investment in CLO Fund Securities (32% of net asset value at fair value)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Percentage</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28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Interest</w:t>
            </w: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Floating - 04/2022 - B2L - 48602NAA8</w:t>
            </w: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Par Value of $10,500,000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.0%, Due 4/22</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  $</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1,300,937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9,740,000</w:t>
            </w:r>
          </w:p>
        </w:tc>
        <w:tc>
          <w:tcPr>
            <w:tcW w:w="0" w:type="dxa"/>
            <w:vAlign w:val="bottom"/>
          </w:tcPr>
          <w:p>
            <w:pPr>
              <w:spacing w:after="0"/>
              <w:rPr>
                <w:sz w:val="1"/>
                <w:szCs w:val="1"/>
                <w:color w:val="auto"/>
              </w:rPr>
            </w:pPr>
          </w:p>
        </w:tc>
      </w:tr>
      <w:tr>
        <w:trPr>
          <w:trHeight w:val="149"/>
        </w:trPr>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Float - 12/2023 - F - 14889CAE0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Par Value of $4,500,000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gridSpan w:val="3"/>
          </w:tcPr>
          <w:p>
            <w:pPr>
              <w:spacing w:after="0"/>
              <w:rPr>
                <w:sz w:val="20"/>
                <w:szCs w:val="20"/>
                <w:color w:val="auto"/>
              </w:rPr>
            </w:pPr>
            <w:r>
              <w:rPr>
                <w:rFonts w:ascii="Arial" w:cs="Arial" w:eastAsia="Arial" w:hAnsi="Arial"/>
                <w:sz w:val="14"/>
                <w:szCs w:val="14"/>
                <w:color w:val="auto"/>
              </w:rPr>
              <w:t>.0%, Due 12/23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42.9%</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3,843,398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4,200,001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5,144,335</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13,940,001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101,696,950</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79,452,220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-513715</wp:posOffset>
            </wp:positionV>
            <wp:extent cx="724662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-307975</wp:posOffset>
            </wp:positionV>
            <wp:extent cx="724662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-1097280</wp:posOffset>
            </wp:positionV>
            <wp:extent cx="7246620" cy="291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520" w:space="720"/>
            <w:col w:w="7180"/>
          </w:cols>
          <w:pgMar w:left="240" w:top="877" w:right="2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4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3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4020" w:type="dxa"/>
            <w:vAlign w:val="bottom"/>
            <w:gridSpan w:val="3"/>
            <w:vMerge w:val="continue"/>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9</w:t>
            </w: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83,378,741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76,148,000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 in Asset Manager Affiliates</w:t>
            </w:r>
          </w:p>
        </w:tc>
        <w:tc>
          <w:tcPr>
            <w:tcW w:w="12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83,378,741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76,148,000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(30% of net asset value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3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Deposits and Money Market Account</w:t>
      </w:r>
    </w:p>
    <w:p>
      <w:pPr>
        <w:sectPr>
          <w:pgSz w:w="11900" w:h="16838" w:orient="portrait"/>
          <w:cols w:equalWidth="0" w:num="1">
            <w:col w:w="11420"/>
          </w:cols>
          <w:pgMar w:left="240" w:top="877"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Time Deposit and Money Market Accounts</w:t>
      </w:r>
    </w:p>
    <w:p>
      <w:pPr>
        <w:spacing w:after="0" w:line="194" w:lineRule="auto"/>
        <w:rPr>
          <w:sz w:val="20"/>
          <w:szCs w:val="20"/>
          <w:color w:val="auto"/>
        </w:rPr>
      </w:pPr>
      <w:r>
        <w:rPr>
          <w:rFonts w:ascii="Arial" w:cs="Arial" w:eastAsia="Arial" w:hAnsi="Arial"/>
          <w:sz w:val="14"/>
          <w:szCs w:val="14"/>
          <w:color w:val="auto"/>
        </w:rPr>
        <w:t>JP Morgan Business Money Market Account</w:t>
      </w:r>
      <w:r>
        <w:rPr>
          <w:rFonts w:ascii="Arial" w:cs="Arial" w:eastAsia="Arial" w:hAnsi="Arial"/>
          <w:sz w:val="23"/>
          <w:szCs w:val="23"/>
          <w:color w:val="auto"/>
          <w:vertAlign w:val="superscript"/>
        </w:rPr>
        <w:t>8, 9</w:t>
      </w:r>
    </w:p>
    <w:p>
      <w:pPr>
        <w:spacing w:after="0"/>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9</w:t>
      </w:r>
    </w:p>
    <w:p>
      <w:pPr>
        <w:spacing w:after="0" w:line="76" w:lineRule="exact"/>
        <w:rPr>
          <w:sz w:val="20"/>
          <w:szCs w:val="20"/>
          <w:color w:val="auto"/>
        </w:rPr>
      </w:pPr>
    </w:p>
    <w:p>
      <w:pPr>
        <w:ind w:left="180" w:hanging="161"/>
        <w:spacing w:after="0" w:line="299" w:lineRule="auto"/>
        <w:rPr>
          <w:sz w:val="20"/>
          <w:szCs w:val="20"/>
          <w:color w:val="auto"/>
        </w:rPr>
      </w:pPr>
      <w:r>
        <w:rPr>
          <w:rFonts w:ascii="Arial" w:cs="Arial" w:eastAsia="Arial" w:hAnsi="Arial"/>
          <w:sz w:val="14"/>
          <w:szCs w:val="14"/>
          <w:b w:val="1"/>
          <w:bCs w:val="1"/>
          <w:color w:val="auto"/>
        </w:rPr>
        <w:t>Total Investment in Time Deposit and Money Market Accounts (3% of net asset value at fair value)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color w:val="auto"/>
          <w:vertAlign w:val="superscript"/>
        </w:rPr>
        <w:t>4</w:t>
      </w:r>
    </w:p>
    <w:p>
      <w:pPr>
        <w:ind w:left="180"/>
        <w:spacing w:after="0"/>
        <w:rPr>
          <w:sz w:val="20"/>
          <w:szCs w:val="20"/>
          <w:color w:val="auto"/>
        </w:rPr>
      </w:pPr>
      <w:r>
        <w:rPr>
          <w:rFonts w:ascii="Arial" w:cs="Arial" w:eastAsia="Arial" w:hAnsi="Arial"/>
          <w:sz w:val="14"/>
          <w:szCs w:val="14"/>
          <w:b w:val="1"/>
          <w:bCs w:val="1"/>
          <w:color w:val="auto"/>
        </w:rPr>
        <w:t>(176% of net asset value at fair value)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22"/>
                <w:szCs w:val="22"/>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Par / Cost</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23"/>
                <w:szCs w:val="23"/>
                <w:color w:val="auto"/>
                <w:w w:val="92"/>
                <w:vertAlign w:val="superscript"/>
              </w:rPr>
              <w:t>2</w:t>
            </w:r>
          </w:p>
        </w:tc>
      </w:tr>
      <w:tr>
        <w:trPr>
          <w:trHeight w:val="198"/>
        </w:trPr>
        <w:tc>
          <w:tcPr>
            <w:tcW w:w="39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237,088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237,088</w:t>
            </w:r>
          </w:p>
        </w:tc>
      </w:tr>
      <w:tr>
        <w:trPr>
          <w:trHeight w:val="188"/>
        </w:trPr>
        <w:tc>
          <w:tcPr>
            <w:tcW w:w="390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6,875,861</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6,875,861</w:t>
            </w:r>
          </w:p>
        </w:tc>
      </w:tr>
      <w:tr>
        <w:trPr>
          <w:trHeight w:val="30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7,112,949</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7,112,949</w:t>
            </w:r>
          </w:p>
        </w:tc>
      </w:tr>
      <w:tr>
        <w:trPr>
          <w:trHeight w:val="507"/>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486,157,918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440,549,994</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-565150</wp:posOffset>
            </wp:positionV>
            <wp:extent cx="724662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-256540</wp:posOffset>
            </wp:positionV>
            <wp:extent cx="7246620" cy="946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-822960</wp:posOffset>
            </wp:positionV>
            <wp:extent cx="72466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3880" w:space="360"/>
            <w:col w:w="7180"/>
          </w:cols>
          <w:pgMar w:left="240" w:top="877"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1" w:lineRule="exact"/>
        <w:rPr>
          <w:sz w:val="20"/>
          <w:szCs w:val="20"/>
          <w:color w:val="auto"/>
        </w:rPr>
      </w:pPr>
    </w:p>
    <w:p>
      <w:pPr>
        <w:ind w:left="460" w:hanging="430"/>
        <w:spacing w:after="0"/>
        <w:tabs>
          <w:tab w:leader="none" w:pos="46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 an alternate Base Rate (commonly based on the Federal Funds Rate or the Prime Rate), which typically resets semi-annually, quarterly, or monthly.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each such loan, the Company has provided the weighted average annual stated interest rate in effect at December 31, 2013.</w:t>
      </w:r>
    </w:p>
    <w:p>
      <w:pPr>
        <w:ind w:left="460" w:hanging="430"/>
        <w:spacing w:after="0" w:line="180" w:lineRule="auto"/>
        <w:tabs>
          <w:tab w:leader="none" w:pos="46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Reflects the fair market value of all investments as of December 31, 2013, as determined by the Company’s Board of Directors.</w:t>
      </w:r>
    </w:p>
    <w:p>
      <w:pPr>
        <w:ind w:left="460" w:hanging="430"/>
        <w:spacing w:after="0" w:line="181" w:lineRule="auto"/>
        <w:tabs>
          <w:tab w:leader="none" w:pos="46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460" w:hanging="430"/>
        <w:spacing w:after="0" w:line="180" w:lineRule="auto"/>
        <w:tabs>
          <w:tab w:leader="none" w:pos="46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$486 million. The aggregate gross unrealized appreciation is</w:t>
      </w:r>
    </w:p>
    <w:p>
      <w:pPr>
        <w:spacing w:after="0" w:line="2" w:lineRule="exact"/>
        <w:rPr>
          <w:sz w:val="20"/>
          <w:szCs w:val="20"/>
          <w:color w:val="auto"/>
        </w:rPr>
      </w:pPr>
    </w:p>
    <w:p>
      <w:pPr>
        <w:ind w:left="460" w:right="920"/>
        <w:spacing w:after="0" w:line="249" w:lineRule="auto"/>
        <w:rPr>
          <w:sz w:val="20"/>
          <w:szCs w:val="20"/>
          <w:color w:val="auto"/>
        </w:rPr>
      </w:pPr>
      <w:r>
        <w:rPr>
          <w:rFonts w:ascii="Arial" w:cs="Arial" w:eastAsia="Arial" w:hAnsi="Arial"/>
          <w:sz w:val="18"/>
          <w:szCs w:val="18"/>
          <w:color w:val="auto"/>
        </w:rPr>
        <w:t>approximately $15 million, the aggregate gross unrealized depreciation is approximately $61 million, and the net unrealized depreciation is approximately $46 million.</w:t>
      </w:r>
    </w:p>
    <w:p>
      <w:pPr>
        <w:ind w:left="460" w:hanging="430"/>
        <w:spacing w:after="0" w:line="181" w:lineRule="auto"/>
        <w:tabs>
          <w:tab w:leader="none" w:pos="46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spacing w:after="0" w:line="2" w:lineRule="exact"/>
        <w:rPr>
          <w:sz w:val="20"/>
          <w:szCs w:val="20"/>
          <w:color w:val="auto"/>
        </w:rPr>
      </w:pPr>
    </w:p>
    <w:p>
      <w:pPr>
        <w:jc w:val="center"/>
        <w:ind w:left="5620" w:right="780" w:hanging="5590"/>
        <w:spacing w:after="0" w:line="600" w:lineRule="auto"/>
        <w:tabs>
          <w:tab w:leader="none" w:pos="463"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An affiliate CLO Fund managed by an Asset Manager Affiliate (as such term is defined in the notes to the consolidated financial statements).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0" w:name="page31"/>
    <w:bookmarkEnd w:id="30"/>
    <w:p>
      <w:pPr>
        <w:ind w:left="430" w:hanging="430"/>
        <w:spacing w:after="0"/>
        <w:tabs>
          <w:tab w:leader="none" w:pos="43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ind w:left="430" w:hanging="430"/>
        <w:spacing w:after="0" w:line="180" w:lineRule="auto"/>
        <w:tabs>
          <w:tab w:leader="none" w:pos="43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30" w:hanging="430"/>
        <w:spacing w:after="0" w:line="180" w:lineRule="auto"/>
        <w:tabs>
          <w:tab w:leader="none" w:pos="43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430" w:hanging="430"/>
        <w:spacing w:after="0" w:line="181" w:lineRule="auto"/>
        <w:tabs>
          <w:tab w:leader="none" w:pos="43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As of December 31, 2013, this CLO Fund Security was not providing a dividend distribution.</w:t>
      </w:r>
    </w:p>
    <w:p>
      <w:pPr>
        <w:spacing w:after="0" w:line="1" w:lineRule="exact"/>
        <w:rPr>
          <w:rFonts w:ascii="Arial" w:cs="Arial" w:eastAsia="Arial" w:hAnsi="Arial"/>
          <w:sz w:val="25"/>
          <w:szCs w:val="25"/>
          <w:color w:val="auto"/>
          <w:vertAlign w:val="superscript"/>
        </w:rPr>
      </w:pPr>
    </w:p>
    <w:p>
      <w:pPr>
        <w:ind w:left="430" w:hanging="430"/>
        <w:spacing w:after="0" w:line="187" w:lineRule="auto"/>
        <w:tabs>
          <w:tab w:leader="none" w:pos="43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As of December 31, 2013, investment was owned by KCAP Senior Funding I, LLC and has been pledged to secure KCAP Senior Funding I, LLC’s obligations.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8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90"/>
          </w:cols>
          <w:pgMar w:left="270" w:top="767" w:right="5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7"/>
        </w:trPr>
        <w:tc>
          <w:tcPr>
            <w:tcW w:w="6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60"/>
              <w:spacing w:after="0"/>
              <w:rPr>
                <w:sz w:val="20"/>
                <w:szCs w:val="20"/>
                <w:color w:val="auto"/>
              </w:rPr>
            </w:pPr>
            <w:r>
              <w:rPr>
                <w:rFonts w:ascii="Arial" w:cs="Arial" w:eastAsia="Arial" w:hAnsi="Arial"/>
                <w:sz w:val="18"/>
                <w:szCs w:val="18"/>
                <w:color w:val="auto"/>
              </w:rPr>
              <w:t>Net asset value, at beginning of period</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7.51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57"/>
        </w:trPr>
        <w:tc>
          <w:tcPr>
            <w:tcW w:w="6660" w:type="dxa"/>
            <w:vAlign w:val="bottom"/>
          </w:tcPr>
          <w:p>
            <w:pPr>
              <w:ind w:left="220"/>
              <w:spacing w:after="0" w:line="256" w:lineRule="exact"/>
              <w:rPr>
                <w:sz w:val="20"/>
                <w:szCs w:val="20"/>
                <w:color w:val="auto"/>
              </w:rPr>
            </w:pPr>
            <w:r>
              <w:rPr>
                <w:rFonts w:ascii="Arial" w:cs="Arial" w:eastAsia="Arial" w:hAnsi="Arial"/>
                <w:sz w:val="18"/>
                <w:szCs w:val="18"/>
                <w:color w:val="auto"/>
              </w:rPr>
              <w:t>Net realized gain (losses) from investments</w:t>
            </w:r>
            <w:r>
              <w:rPr>
                <w:rFonts w:ascii="Arial" w:cs="Arial" w:eastAsia="Arial" w:hAnsi="Arial"/>
                <w:sz w:val="29"/>
                <w:szCs w:val="29"/>
                <w:color w:val="auto"/>
                <w:vertAlign w:val="superscript"/>
              </w:rPr>
              <w:t>1</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2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0"/>
        </w:trPr>
        <w:tc>
          <w:tcPr>
            <w:tcW w:w="6660" w:type="dxa"/>
            <w:vAlign w:val="bottom"/>
          </w:tcPr>
          <w:p>
            <w:pPr>
              <w:ind w:left="380"/>
              <w:spacing w:after="0"/>
              <w:rPr>
                <w:sz w:val="20"/>
                <w:szCs w:val="20"/>
                <w:color w:val="auto"/>
              </w:rPr>
            </w:pPr>
            <w:r>
              <w:rPr>
                <w:rFonts w:ascii="Arial" w:cs="Arial" w:eastAsia="Arial" w:hAnsi="Arial"/>
                <w:sz w:val="18"/>
                <w:szCs w:val="18"/>
                <w:color w:val="auto"/>
              </w:rPr>
              <w:t>Net increase in net assets resulting from operations</w:t>
            </w:r>
          </w:p>
        </w:tc>
        <w:tc>
          <w:tcPr>
            <w:tcW w:w="1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(decrease) in net assets resulting from distributions: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Distribution of net investment income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 of capital</w:t>
            </w: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6660" w:type="dxa"/>
            <w:vAlign w:val="bottom"/>
          </w:tcPr>
          <w:p>
            <w:pPr>
              <w:ind w:left="380"/>
              <w:spacing w:after="0"/>
              <w:rPr>
                <w:sz w:val="20"/>
                <w:szCs w:val="20"/>
                <w:color w:val="auto"/>
              </w:rPr>
            </w:pPr>
            <w:r>
              <w:rPr>
                <w:rFonts w:ascii="Arial" w:cs="Arial" w:eastAsia="Arial" w:hAnsi="Arial"/>
                <w:sz w:val="18"/>
                <w:szCs w:val="18"/>
                <w:color w:val="auto"/>
              </w:rPr>
              <w:t>Net decrease in net assets resulting from distributions</w:t>
            </w:r>
          </w:p>
        </w:tc>
        <w:tc>
          <w:tcPr>
            <w:tcW w:w="1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(decrease) increase in net assets relating to stock-based transactions: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Offering of common stock</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under dividend reinvestment plan</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in net assets relating to stock-based transactions</w:t>
            </w:r>
          </w:p>
        </w:tc>
        <w:tc>
          <w:tcPr>
            <w:tcW w:w="1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 value, end of period</w:t>
            </w:r>
          </w:p>
        </w:tc>
        <w:tc>
          <w:tcPr>
            <w:tcW w:w="1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40"/>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Ratio/Supplemental Data:</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 share market value at beginning of period</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6660" w:type="dxa"/>
            <w:vAlign w:val="bottom"/>
          </w:tcPr>
          <w:p>
            <w:pPr>
              <w:ind w:left="60"/>
              <w:spacing w:after="0"/>
              <w:rPr>
                <w:sz w:val="20"/>
                <w:szCs w:val="20"/>
                <w:color w:val="auto"/>
              </w:rPr>
            </w:pPr>
            <w:r>
              <w:rPr>
                <w:rFonts w:ascii="Arial" w:cs="Arial" w:eastAsia="Arial" w:hAnsi="Arial"/>
                <w:sz w:val="18"/>
                <w:szCs w:val="18"/>
                <w:color w:val="auto"/>
              </w:rPr>
              <w:t>Per share market value at end of period</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8.49</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660" w:type="dxa"/>
            <w:vAlign w:val="bottom"/>
          </w:tcPr>
          <w:p>
            <w:pPr>
              <w:ind w:left="60"/>
              <w:spacing w:after="0"/>
              <w:rPr>
                <w:sz w:val="20"/>
                <w:szCs w:val="20"/>
                <w:color w:val="auto"/>
              </w:rPr>
            </w:pPr>
            <w:r>
              <w:rPr>
                <w:rFonts w:ascii="Arial" w:cs="Arial" w:eastAsia="Arial" w:hAnsi="Arial"/>
                <w:sz w:val="18"/>
                <w:szCs w:val="18"/>
                <w:color w:val="auto"/>
              </w:rPr>
              <w:t>Shares outstanding at end of period</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33,725,223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33,298,674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assets at end of period</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258,514,055</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274,307,840</w:t>
            </w:r>
          </w:p>
        </w:tc>
        <w:tc>
          <w:tcPr>
            <w:tcW w:w="0" w:type="dxa"/>
            <w:vAlign w:val="bottom"/>
          </w:tcPr>
          <w:p>
            <w:pPr>
              <w:spacing w:after="0"/>
              <w:rPr>
                <w:sz w:val="1"/>
                <w:szCs w:val="1"/>
                <w:color w:val="auto"/>
              </w:rPr>
            </w:pPr>
          </w:p>
        </w:tc>
      </w:tr>
      <w:tr>
        <w:trPr>
          <w:trHeight w:val="257"/>
        </w:trPr>
        <w:tc>
          <w:tcPr>
            <w:tcW w:w="6660" w:type="dxa"/>
            <w:vAlign w:val="bottom"/>
          </w:tcPr>
          <w:p>
            <w:pPr>
              <w:ind w:left="60"/>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par debt outstanding</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195,658,000</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104,537,912</w:t>
            </w:r>
          </w:p>
        </w:tc>
        <w:tc>
          <w:tcPr>
            <w:tcW w:w="0" w:type="dxa"/>
            <w:vAlign w:val="bottom"/>
          </w:tcPr>
          <w:p>
            <w:pPr>
              <w:spacing w:after="0"/>
              <w:rPr>
                <w:sz w:val="1"/>
                <w:szCs w:val="1"/>
                <w:color w:val="auto"/>
              </w:rPr>
            </w:pPr>
          </w:p>
        </w:tc>
      </w:tr>
      <w:tr>
        <w:trPr>
          <w:trHeight w:val="216"/>
        </w:trPr>
        <w:tc>
          <w:tcPr>
            <w:tcW w:w="6660" w:type="dxa"/>
            <w:vAlign w:val="bottom"/>
          </w:tcPr>
          <w:p>
            <w:pPr>
              <w:ind w:left="40"/>
              <w:spacing w:after="0"/>
              <w:rPr>
                <w:sz w:val="20"/>
                <w:szCs w:val="20"/>
                <w:color w:val="auto"/>
              </w:rPr>
            </w:pPr>
            <w:r>
              <w:rPr>
                <w:rFonts w:ascii="Arial" w:cs="Arial" w:eastAsia="Arial" w:hAnsi="Arial"/>
                <w:sz w:val="18"/>
                <w:szCs w:val="18"/>
                <w:color w:val="auto"/>
              </w:rPr>
              <w:t>Average par debt outstanding per share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coverage ratio</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57"/>
        </w:trPr>
        <w:tc>
          <w:tcPr>
            <w:tcW w:w="6660" w:type="dxa"/>
            <w:vAlign w:val="bottom"/>
          </w:tcPr>
          <w:p>
            <w:pPr>
              <w:ind w:left="60"/>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6660" w:type="dxa"/>
            <w:vAlign w:val="bottom"/>
          </w:tcPr>
          <w:p>
            <w:pPr>
              <w:ind w:left="60"/>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29"/>
                <w:szCs w:val="29"/>
                <w:color w:val="auto"/>
                <w:vertAlign w:val="superscript"/>
              </w:rPr>
              <w:t>5</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6" w:lineRule="exact"/>
        <w:rPr>
          <w:sz w:val="20"/>
          <w:szCs w:val="20"/>
          <w:color w:val="auto"/>
        </w:rPr>
      </w:pPr>
    </w:p>
    <w:p>
      <w:pPr>
        <w:ind w:right="120" w:firstLine="8"/>
        <w:spacing w:after="0" w:line="194" w:lineRule="auto"/>
        <w:tabs>
          <w:tab w:leader="none" w:pos="34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(including any return of capital), divided by the beginning net asset value per share.</w:t>
      </w:r>
    </w:p>
    <w:p>
      <w:pPr>
        <w:spacing w:after="0" w:line="27" w:lineRule="exact"/>
        <w:rPr>
          <w:sz w:val="20"/>
          <w:szCs w:val="20"/>
          <w:color w:val="auto"/>
        </w:rPr>
      </w:pPr>
    </w:p>
    <w:p>
      <w:pPr>
        <w:ind w:right="180" w:firstLine="8"/>
        <w:spacing w:after="0" w:line="194" w:lineRule="auto"/>
        <w:tabs>
          <w:tab w:leader="none" w:pos="342"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market price over the beginning of period price per share plus distributions (including any return of capital), divided by the beginning price.</w:t>
      </w:r>
    </w:p>
    <w:p>
      <w:pPr>
        <w:ind w:left="360" w:hanging="352"/>
        <w:spacing w:after="0" w:line="184" w:lineRule="auto"/>
        <w:tabs>
          <w:tab w:leader="none" w:pos="3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520" w:firstLine="272"/>
        <w:spacing w:after="0" w:line="277" w:lineRule="auto"/>
        <w:rPr>
          <w:sz w:val="20"/>
          <w:szCs w:val="20"/>
          <w:color w:val="auto"/>
        </w:rPr>
      </w:pPr>
      <w:r>
        <w:rPr>
          <w:rFonts w:ascii="Arial" w:cs="Arial" w:eastAsia="Arial" w:hAnsi="Arial"/>
          <w:sz w:val="18"/>
          <w:szCs w:val="18"/>
          <w:color w:val="auto"/>
        </w:rPr>
        <w:t>KCAP Financial, Inc. (“KCAP” or the “Company”) is an internally managed, non-diversified closed-end investment company that is regulated as a business development company (“BDC”) under the Investment Company Act of 1940 (the “1940 Act”).</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three principal areas of investment:</w:t>
      </w:r>
    </w:p>
    <w:p>
      <w:pPr>
        <w:spacing w:after="0" w:line="225" w:lineRule="exact"/>
        <w:rPr>
          <w:sz w:val="20"/>
          <w:szCs w:val="20"/>
          <w:color w:val="auto"/>
        </w:rPr>
      </w:pPr>
    </w:p>
    <w:p>
      <w:pPr>
        <w:jc w:val="both"/>
        <w:ind w:right="60" w:firstLine="272"/>
        <w:spacing w:after="0" w:line="308" w:lineRule="auto"/>
        <w:rPr>
          <w:sz w:val="20"/>
          <w:szCs w:val="20"/>
          <w:color w:val="auto"/>
        </w:rPr>
      </w:pPr>
      <w:r>
        <w:rPr>
          <w:rFonts w:ascii="Arial" w:cs="Arial" w:eastAsia="Arial" w:hAnsi="Arial"/>
          <w:sz w:val="17"/>
          <w:szCs w:val="17"/>
          <w:color w:val="auto"/>
        </w:rPr>
        <w:t>First, we originate, structure, and invest in senior secured term loans and mezzanine debt primarily in privately-held middle market companies (the “Debt Securities Portfolio”). In addition, from time to time we may invest in the equity securities of privately held middle market companies.</w:t>
      </w:r>
    </w:p>
    <w:p>
      <w:pPr>
        <w:spacing w:after="0" w:line="147" w:lineRule="exact"/>
        <w:rPr>
          <w:sz w:val="20"/>
          <w:szCs w:val="20"/>
          <w:color w:val="auto"/>
        </w:rPr>
      </w:pPr>
    </w:p>
    <w:p>
      <w:pPr>
        <w:ind w:right="540" w:firstLine="272"/>
        <w:spacing w:after="0" w:line="277" w:lineRule="auto"/>
        <w:rPr>
          <w:sz w:val="20"/>
          <w:szCs w:val="20"/>
          <w:color w:val="auto"/>
        </w:rPr>
      </w:pPr>
      <w:r>
        <w:rPr>
          <w:rFonts w:ascii="Arial" w:cs="Arial" w:eastAsia="Arial" w:hAnsi="Arial"/>
          <w:sz w:val="18"/>
          <w:szCs w:val="18"/>
          <w:color w:val="auto"/>
        </w:rPr>
        <w:t>Second, we have invested in asset management companies (Katonah Debt Advisors, L.L.C. and Trimaran Advisors, L.L.C., collectively the “Asset Manager Affiliates”) which manage collateralized loan obligations (“CLOs”).</w:t>
      </w:r>
    </w:p>
    <w:p>
      <w:pPr>
        <w:spacing w:after="0" w:line="170"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Third, we invest in debt and subordinated securities issued by CLOs (“CLO Fund Securities”). These CLO Fund Securities are primarily managed by our Asset Manager Affiliates, but from time-to-time we make investments in CLO Fund Securities managed by other asset managers. The CLOs typically invest in broadly syndicated loans, high-yield bonds and other credit instruments.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ind w:left="340" w:right="7820" w:hanging="332"/>
        <w:spacing w:after="0" w:line="503" w:lineRule="auto"/>
        <w:tabs>
          <w:tab w:leader="none" w:pos="19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60" w:firstLine="414"/>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consolidated financial statements and notes thereto in the Company’s Form 10-K for the year ended December 31, 2013, as filed with the U.S. Securities and Exchange Commission (the “Commission” or the “SEC”).</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year’s presentation.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3" w:name="page34"/>
    <w:bookmarkEnd w:id="33"/>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6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addition, in accordance with Rules 3-09, Rule 4-08(g) and 1-02 of Regulation S-X promulgated by the SEC, additional financial information with respect to two of the CLO Funds in which the Company has an investment, Katonah 2007-I CLO Ltd. (“Katonah 2007-I CLO”) and Katonah X CLO Ltd. (“Katonah X CLO”), are required to be included in the Company’s SEC filings. The additional financial information regarding the Asset Manager Affiliates, Katonah 2007-I CLO (pursuant to Rule 3-09) and Katonah X CLO (pursuant to Rule 4-08(g)) is set forth in Note 5 to these consolidated financial statements.</w:t>
      </w:r>
    </w:p>
    <w:p>
      <w:pPr>
        <w:spacing w:after="0" w:line="15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June 2013, the FASB issued Accounting Standards Update 2013-08 “Financial Services-Investment Companies (Topic 946) Amendments to the Scope, Measurement, and Disclosure Requirements” (“ASU 2013-08”). ASU 2013-08 clarifies the characteristics of an investment company and requires reporting entities to disclose information about the following items: (i) the type and amount of financial support provided to investee companies, including situations in which the Company assisted an investee in obtaining financial support, (ii) the primary reasons for providing the financial support, (iii) the type and amount of financial support the Company is contractually required to provide to an investee, but has not yet provided, and (iv) the primary reasons for the contractual requirement to provide the financial support. The Company adopted ASU 2013-08 during the six months ended June 30, 2014 as the amendments in ASU 2013-08 effective January 1, 2014.</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six months ended June 30, 2014, the Company invested $88 million in portfolio companies to support their growth objectives. None of this support was contractually obligated. See also Note 8 – Commitments and Contingencies. As of June 30, 2014, the Company holds loans it has made to 80 investee companies with aggregate principal amounts of $236 million. The details of such loans have been disclosed on the consolidated schedule of investments as well as in Note 4 – Investments and Fair Value Measurements.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six month period ended June 30, 2014, the Company did not make any such introductions or lead any syndicates.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jc w:val="both"/>
        <w:ind w:right="280" w:firstLine="414"/>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Interest income is recorded on an accrual basis and includes the accretion of discounts and amortization of premiums.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premiums to par value on debt securities purchased are accreted into or amortized as a reduction of interest income over the life of the respective debt security using the effective yield method. The amortized cost of debt securities represents the original cost adjusted for the accretion of discounts and amortization of premiums, if any.</w:t>
      </w:r>
    </w:p>
    <w:p>
      <w:pPr>
        <w:spacing w:after="0" w:line="187" w:lineRule="exact"/>
        <w:rPr>
          <w:sz w:val="20"/>
          <w:szCs w:val="20"/>
          <w:color w:val="auto"/>
        </w:rPr>
      </w:pPr>
    </w:p>
    <w:p>
      <w:pPr>
        <w:ind w:right="40" w:firstLine="414"/>
        <w:spacing w:after="0" w:line="259" w:lineRule="auto"/>
        <w:rPr>
          <w:sz w:val="20"/>
          <w:szCs w:val="20"/>
          <w:color w:val="auto"/>
        </w:rPr>
      </w:pPr>
      <w:r>
        <w:rPr>
          <w:rFonts w:ascii="Arial" w:cs="Arial" w:eastAsia="Arial" w:hAnsi="Arial"/>
          <w:sz w:val="18"/>
          <w:szCs w:val="18"/>
          <w:color w:val="auto"/>
        </w:rPr>
        <w:t>Generally, when interest and/or principal payments on a debt security become past due, or if the Company otherwise does not expect the borrower to be able to service its debt and other obligations, the Company will place the debt security on non-accrual status and will generally cease recognizing interest income on that debt security for financial reporting purposes until all principal and interest have been brought current through payment or due to restructuring such that the interest income is deemed to be collectible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firstLine="41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that have a market price not readily available are valued by the Board of Directors based on detailed analyses prepared by management, the Valuation Committee of the Board of Directors, and, in certain circumstances, third parties with valuation expertise. Valuations are conducted by management and approved by the Board of Directors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78" w:lineRule="exact"/>
        <w:rPr>
          <w:sz w:val="20"/>
          <w:szCs w:val="20"/>
          <w:color w:val="auto"/>
        </w:rPr>
      </w:pPr>
    </w:p>
    <w:p>
      <w:pPr>
        <w:ind w:right="200" w:firstLine="414"/>
        <w:spacing w:after="0" w:line="286" w:lineRule="auto"/>
        <w:rPr>
          <w:sz w:val="20"/>
          <w:szCs w:val="20"/>
          <w:color w:val="auto"/>
        </w:rPr>
      </w:pPr>
      <w:r>
        <w:rPr>
          <w:rFonts w:ascii="Arial" w:cs="Arial" w:eastAsia="Arial" w:hAnsi="Arial"/>
          <w:sz w:val="17"/>
          <w:szCs w:val="17"/>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The guidance also required that purchases, sales, issuances and settlements be presented gross in the Level III reconciliation.</w:t>
      </w:r>
    </w:p>
    <w:p>
      <w:pPr>
        <w:spacing w:after="0" w:line="166" w:lineRule="exact"/>
        <w:rPr>
          <w:sz w:val="20"/>
          <w:szCs w:val="20"/>
          <w:color w:val="auto"/>
        </w:rPr>
      </w:pPr>
    </w:p>
    <w:p>
      <w:pPr>
        <w:ind w:right="500" w:firstLine="41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18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performs third party valuations of the Company’s investments in material illiquid securities such that they are reviewed at least once during a trailing 12 month period. These third party valuation estimates are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80" w:firstLine="41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taking into account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relies on several techniques for valuing its portfolio of investments, including:</w:t>
      </w:r>
    </w:p>
    <w:p>
      <w:pPr>
        <w:spacing w:after="0" w:line="225" w:lineRule="exact"/>
        <w:rPr>
          <w:sz w:val="20"/>
          <w:szCs w:val="20"/>
          <w:color w:val="auto"/>
        </w:rPr>
      </w:pPr>
    </w:p>
    <w:p>
      <w:pPr>
        <w:ind w:left="420" w:right="240" w:firstLine="2"/>
        <w:spacing w:after="0" w:line="264" w:lineRule="auto"/>
        <w:tabs>
          <w:tab w:leader="none" w:pos="6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Value” – when there is no liquid public market, the investment is carried at fair value based on the enterprise value of the portfolio company, which is determined using (i) valuation data from publicly traded comparables, and (ii) a discounted cash flow analysis based on projected performance of an investment.</w:t>
      </w:r>
    </w:p>
    <w:p>
      <w:pPr>
        <w:spacing w:after="0" w:line="181" w:lineRule="exact"/>
        <w:rPr>
          <w:rFonts w:ascii="Arial" w:cs="Arial" w:eastAsia="Arial" w:hAnsi="Arial"/>
          <w:sz w:val="18"/>
          <w:szCs w:val="18"/>
          <w:color w:val="auto"/>
        </w:rPr>
      </w:pPr>
    </w:p>
    <w:p>
      <w:pPr>
        <w:ind w:left="420" w:right="40" w:firstLine="2"/>
        <w:spacing w:after="0" w:line="264"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“Income Approach” – 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w:t>
      </w:r>
    </w:p>
    <w:p>
      <w:pPr>
        <w:spacing w:after="0" w:line="181" w:lineRule="exact"/>
        <w:rPr>
          <w:rFonts w:ascii="Arial" w:cs="Arial" w:eastAsia="Arial" w:hAnsi="Arial"/>
          <w:sz w:val="18"/>
          <w:szCs w:val="18"/>
          <w:color w:val="auto"/>
        </w:rPr>
      </w:pPr>
    </w:p>
    <w:p>
      <w:pPr>
        <w:ind w:left="420" w:right="80" w:firstLine="2"/>
        <w:spacing w:after="0" w:line="308"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“Market Approach” – if market quotations are readily available, valuations are based upon the closing public market prices on the balance sheet date. Securities that carry certain restrictions on sale are typically valued at a discount from the public market value of the security.</w:t>
      </w:r>
    </w:p>
    <w:p>
      <w:pPr>
        <w:spacing w:after="0" w:line="146" w:lineRule="exact"/>
        <w:rPr>
          <w:rFonts w:ascii="Arial" w:cs="Arial" w:eastAsia="Arial" w:hAnsi="Arial"/>
          <w:sz w:val="17"/>
          <w:szCs w:val="17"/>
          <w:color w:val="auto"/>
        </w:rPr>
      </w:pPr>
    </w:p>
    <w:p>
      <w:pPr>
        <w:ind w:left="420" w:right="220" w:firstLine="2"/>
        <w:spacing w:after="0" w:line="277" w:lineRule="auto"/>
        <w:tabs>
          <w:tab w:leader="none" w:pos="6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“Discounted Cash Flow” - a discounted cash flow model is based on the net present value of future cash flows, discounted at a rate appropriate for each cash flow.</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The Company values its debt securities using primarily Enterprise Value, Income Approach and Market Approach.</w:t>
      </w:r>
    </w:p>
    <w:p>
      <w:pPr>
        <w:spacing w:after="0" w:line="225" w:lineRule="exact"/>
        <w:rPr>
          <w:sz w:val="20"/>
          <w:szCs w:val="20"/>
          <w:color w:val="auto"/>
        </w:rPr>
      </w:pPr>
    </w:p>
    <w:p>
      <w:pPr>
        <w:ind w:right="100" w:firstLine="414"/>
        <w:spacing w:after="0" w:line="255" w:lineRule="auto"/>
        <w:rPr>
          <w:sz w:val="20"/>
          <w:szCs w:val="20"/>
          <w:color w:val="auto"/>
        </w:rPr>
      </w:pPr>
      <w:r>
        <w:rPr>
          <w:rFonts w:ascii="Arial" w:cs="Arial" w:eastAsia="Arial" w:hAnsi="Arial"/>
          <w:sz w:val="18"/>
          <w:szCs w:val="18"/>
          <w:color w:val="auto"/>
        </w:rPr>
        <w:t>To the extent that the Company’s investments are exchange traded and are priced or have sufficient price indications from normal 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89" w:lineRule="exact"/>
        <w:rPr>
          <w:sz w:val="20"/>
          <w:szCs w:val="20"/>
          <w:color w:val="auto"/>
        </w:rPr>
      </w:pPr>
    </w:p>
    <w:p>
      <w:pPr>
        <w:ind w:right="40" w:firstLine="414"/>
        <w:spacing w:after="0" w:line="268" w:lineRule="auto"/>
        <w:rPr>
          <w:sz w:val="20"/>
          <w:szCs w:val="20"/>
          <w:color w:val="auto"/>
        </w:rPr>
      </w:pPr>
      <w:r>
        <w:rPr>
          <w:rFonts w:ascii="Arial" w:cs="Arial" w:eastAsia="Arial" w:hAnsi="Arial"/>
          <w:sz w:val="17"/>
          <w:szCs w:val="17"/>
          <w:color w:val="auto"/>
        </w:rPr>
        <w:t>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83"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w:t>
      </w:r>
    </w:p>
    <w:p>
      <w:pPr>
        <w:spacing w:after="0" w:line="193" w:lineRule="exact"/>
        <w:rPr>
          <w:sz w:val="20"/>
          <w:szCs w:val="20"/>
          <w:color w:val="auto"/>
        </w:rPr>
      </w:pPr>
    </w:p>
    <w:p>
      <w:pPr>
        <w:ind w:right="80" w:firstLine="41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as described in Note 4 below,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65"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(as described below). Any change in value from period to period is recognized as net change in unrealized appreciation or depreciation.</w:t>
      </w:r>
    </w:p>
    <w:p>
      <w:pPr>
        <w:spacing w:after="0" w:line="193"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credit instruments issued by corporations.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6" w:name="page37"/>
    <w:bookmarkEnd w:id="36"/>
    <w:p>
      <w:pPr>
        <w:ind w:right="120" w:firstLine="41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2014 and 2013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12,252,662</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8,528,825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15,694,256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15,742,105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decrease in net assets allocated to unvested share awards</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(115,402)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(47,138)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(138,230)</w:t>
            </w: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Notes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1,122,357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2,144,100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Amortization of Capitalized Costs on Convertible Notes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104,430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92,360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206,867</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13,313,740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9,696,404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17,906,993</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18,321,772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computation</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33,405,189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33,040,155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33,371,764</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31,163,596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stock options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Convertible Notes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6,306,217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6,338,639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6,306,217</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6,843,429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diluted shares computation</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39,723,264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39,395,124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39,689,884</w:t>
            </w: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38,022,742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per basic common shares: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per diluted shares: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35</w:t>
            </w: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7" w:name="page38"/>
    <w:bookmarkEnd w:id="37"/>
    <w:p>
      <w:pPr>
        <w:ind w:right="1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jc w:val="both"/>
        <w:ind w:right="40" w:firstLine="414"/>
        <w:spacing w:after="0" w:line="264" w:lineRule="auto"/>
        <w:rPr>
          <w:sz w:val="20"/>
          <w:szCs w:val="20"/>
          <w:color w:val="auto"/>
        </w:rPr>
      </w:pPr>
      <w:r>
        <w:rPr>
          <w:rFonts w:ascii="Arial" w:cs="Arial" w:eastAsia="Arial" w:hAnsi="Arial"/>
          <w:sz w:val="18"/>
          <w:szCs w:val="18"/>
          <w:color w:val="auto"/>
        </w:rPr>
        <w:t>For the three months ended June 30, 2014 and 2013, options to purchase 11,858 and 16,330 shares of common stock, respectively, were included in the computation of diluted earnings per share. For the six months ended June 30, 2014 and 2013, options to purchase 11,903 and 15,717 shares of common stock, respectively, were included in the computation of diluted earnings per share.</w:t>
      </w:r>
    </w:p>
    <w:p>
      <w:pPr>
        <w:spacing w:after="0" w:line="181"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the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and six months ended June 30, 2014, the effects of the convertible notes are dilutive.</w:t>
      </w:r>
    </w:p>
    <w:p>
      <w:pPr>
        <w:spacing w:after="0" w:line="193"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The if-converted method of computing the dilutive effects on convertible notes assumes a conversion even if the contracted conversion price exceeds the market value of the shares. As of June 30, 2014 the current conversion rate of the Convertible Notes is approximately 128.6773 shares of our common stock per $1,000 principal amount of the conversion rate, equivalent to a conversion price of approximately $7.77 per share of the Company’s common stock. Upon conversion, the Company may issue the full amount of common stock and retire the full amount of debt outstanding or, at its option, settle the conversion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2014 and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June 30, 2014 (unaudited)</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December 31, 2013</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5,610,941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159,600,198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153,304,076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175,021,272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168,188,453</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47,500,076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45,264,099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50,831,407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48,443,384</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27,013,567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27,013,567</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2,952,225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2,398,500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2,948,332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2,546,400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4,272,110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4,293,098</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1,037,707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1,051,540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10,946,659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11,433,738</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10,855,804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11,381,100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1,517,375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1,605,000</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1,519,072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1,619,550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113,748,903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91,730,898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101,696,950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79,452,220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16,289,233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8,758,971</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18,755,684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11,006,398</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10,104,717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10,711,000</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10,600,000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75,302,000</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83,378,741</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483,480,724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437,425,888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486,157,918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440,549,994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3478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2014 and December 31, 2013,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June 30, 2014 (unaudited)</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rPr>
              <w:t>December 31, 2013³</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EEFF"/>
            </w:tcBorders>
          </w:tcPr>
          <w:p>
            <w:pPr>
              <w:spacing w:after="0"/>
              <w:rPr>
                <w:sz w:val="21"/>
                <w:szCs w:val="2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8,331,245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9,244,538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8,100,895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75,302,000</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83,378,741</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14,929,935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14,980,721</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15,248,090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15,306,403</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30,822,276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30,908,188</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30,859,620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31,011,964</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24,392,212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24,607,779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33,758,684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34,026,889</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Capital Equipment</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11,453,990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12,392,098</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11,450,641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11,792,925</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3,397,266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3,415,763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2,921,597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2,906,601</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113,748,903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91,730,898</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101,696,950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79,452,220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18,152,025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119,659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18,224,720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190,244</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1,382,237</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7,713,071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9,751,622</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20,587,792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20,086,205</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18,864,695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18,266,939</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Energy: Oil &amp; Gas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2,486,078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3,816,887</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11,734,558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12,930,563</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10,866,389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10,913,691</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6,937,663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6,965,896</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5,931,335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5,930,000</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31,935,545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32,208,851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24,146,383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24,061,764</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6,908,414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7,199,856</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15,279,291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15,388,010</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17,989,624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17,989,034</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2,819,674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2,410,660</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3,825,126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3,466,520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13,565,775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13,841,894</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12,797,615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13,035,590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9,626,659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9,627,106</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9,853,341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9,915,921</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1,382,030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1,222,655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3,364,579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3,325,032</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8,494,861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8,870,365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2,984,555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2,999,791</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Services: Consumer</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5,583,736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4,516,189</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5,703,581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4,616,678</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13,120,855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13,178,590</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17,251,743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17,337,834</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4</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5,610,941</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5,610,941</w:t>
            </w:r>
          </w:p>
        </w:tc>
        <w:tc>
          <w:tcPr>
            <w:tcW w:w="220" w:type="dxa"/>
            <w:vAlign w:val="bottom"/>
          </w:tcPr>
          <w:p>
            <w:pPr>
              <w:spacing w:after="0"/>
              <w:rPr>
                <w:sz w:val="22"/>
                <w:szCs w:val="22"/>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20,088,919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20,735,373</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16,030,051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16,643,254</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Utilities: Electric</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5,812,245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5,896,883</w:t>
            </w:r>
          </w:p>
        </w:tc>
        <w:tc>
          <w:tcPr>
            <w:tcW w:w="2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5,927,826</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5,993,610</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483,480,724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437,425,888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486,157,918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440,549,994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Represents the Asset Manager Affiliates.</w:t>
      </w: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Certain prior year amounts have been reclassified to conform to the current year presentation.</w:t>
      </w:r>
    </w:p>
    <w:p>
      <w:pPr>
        <w:ind w:left="340" w:hanging="332"/>
        <w:spacing w:after="0" w:line="181"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2" w:lineRule="exact"/>
        <w:rPr>
          <w:sz w:val="20"/>
          <w:szCs w:val="20"/>
          <w:color w:val="auto"/>
        </w:rPr>
      </w:pPr>
    </w:p>
    <w:p>
      <w:pPr>
        <w:ind w:right="240" w:firstLine="41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ind w:right="140" w:firstLine="414"/>
        <w:spacing w:after="0" w:line="259" w:lineRule="auto"/>
        <w:rPr>
          <w:sz w:val="20"/>
          <w:szCs w:val="20"/>
          <w:color w:val="auto"/>
        </w:rPr>
      </w:pPr>
      <w:r>
        <w:rPr>
          <w:rFonts w:ascii="Arial" w:cs="Arial" w:eastAsia="Arial" w:hAnsi="Arial"/>
          <w:sz w:val="18"/>
          <w:szCs w:val="18"/>
          <w:color w:val="auto"/>
        </w:rPr>
        <w:t>At June 30, 2014 and December 31, 2013, the total amount of non-qualifying assets was approximately 20% and 19% of total assets, respectively. The majority of non-qualifying assets were foreign investments which were approximately 20% and 18% of the Company’s total assets, respectively (including the Company’s investments in CLO Funds, which are typically domiciled outside the U.S. and represented approximately 20% and 18% of its total assets as of June 30, 2014 and December 31, 2013).</w:t>
      </w:r>
    </w:p>
    <w:p>
      <w:pPr>
        <w:spacing w:after="0" w:line="187"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At June 30, 2014 and December 31, 2013, the Company’s ten largest portfolio companies represented approximately 43% and 42%, respectively, of the total fair value of its investments. The Company’s largest investment, the Asset Manager Affiliates, represented 17% of the total fair value of the Company’s investments at both June 30, 2014 and December 31, 2013. Excluding the Asset Manager Affiliates and CLO Fund securities, the Company’s ten largest portfolio companies represented approximately 17% and 18% of the total fair value of the Company’s investments at June 30, 2014 and December 31, 2013, respectively.</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With the exception of the Katonah III, Ltd. and Katonah V, Ltd. CLO Funds, all third-party managed CLO Funds are making dividend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8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4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2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firstLine="41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of investments by the above ASC 820: Fair Value hierarchy levels as of June 30, 2014 (unaudited)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As of June 30, 2014 (unaudited)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III</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5,610,941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Debt securities</w:t>
            </w:r>
          </w:p>
        </w:tc>
        <w:tc>
          <w:tcPr>
            <w:tcW w:w="10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54,140,212</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201,882,866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256,023,078</w:t>
            </w: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91,730,898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91,730,898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 securities</w:t>
            </w:r>
          </w:p>
        </w:tc>
        <w:tc>
          <w:tcPr>
            <w:tcW w:w="10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8,758,971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8,758,971</w:t>
            </w:r>
          </w:p>
        </w:tc>
        <w:tc>
          <w:tcPr>
            <w:tcW w:w="8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75,302,000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75,302,000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59,751,153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377,674,735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437,425,888</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7"/>
              </w:rPr>
              <w:t>As of December 31, 2013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III</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Debt securities</w:t>
            </w:r>
          </w:p>
        </w:tc>
        <w:tc>
          <w:tcPr>
            <w:tcW w:w="10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68,733,053</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198,097,374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266,830,427</w:t>
            </w: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79,452,220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79,452,220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 securities</w:t>
            </w:r>
          </w:p>
        </w:tc>
        <w:tc>
          <w:tcPr>
            <w:tcW w:w="10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11,006,398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11,006,398</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76,148,000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76,148,000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75,846,002</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364,703,992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440,549,994</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1" w:name="page42"/>
    <w:bookmarkEnd w:id="41"/>
    <w:p>
      <w:pPr>
        <w:ind w:right="40" w:firstLine="41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generally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w w:val="94"/>
              </w:rPr>
              <w:t>Six Months Ended June 30, 2014 (unaudited)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198,097,374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364,703,992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(14,625,005)</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(14,625,005)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5,954,629</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5,954,629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112,256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142,473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254,729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60,173,502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12,521,847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1,051,643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74,292,971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 Paydowns</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(40,838,369)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(612,370)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(3,516,700)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(44,967,439)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(7,383,272)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226,728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219,023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(1,391,979)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(8,329,500)</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201,882,868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91,730,898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377,674,737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(7,381,725)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226,728</w:t>
            </w:r>
          </w:p>
        </w:tc>
        <w:tc>
          <w:tcPr>
            <w:tcW w:w="22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646,322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(1,391,979)</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(7,900,654)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$14,625,005 relating to debt securities for which pricing inputs, other than their quoted prices in active markets were observable as of June 30, 2014</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²Transfers into Level III represent a transfer of $5,954,629 relating to debt securities for which pricing inputs, other than their quoted prices in active markets were unobservable as of June 30,2014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ind w:right="1140"/>
              <w:spacing w:after="0"/>
              <w:rPr>
                <w:sz w:val="20"/>
                <w:szCs w:val="20"/>
                <w:color w:val="auto"/>
              </w:rPr>
            </w:pPr>
            <w:r>
              <w:rPr>
                <w:rFonts w:ascii="Arial" w:cs="Arial" w:eastAsia="Arial" w:hAnsi="Arial"/>
                <w:sz w:val="18"/>
                <w:szCs w:val="18"/>
                <w:b w:val="1"/>
                <w:bCs w:val="1"/>
                <w:color w:val="auto"/>
              </w:rPr>
              <w:t>Year Ended December 31, 2013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51,865,406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8,020,716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220,385,629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(2,783,195)</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(2,783,195)</w:t>
            </w: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34,070,557</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34,070,557</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174,977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216,443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217,212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192,112,854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11,957,500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3,813,838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207,884,192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Sales/Paydowns</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(70,461,486)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(623,403)</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(2,882,107)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(73,966,996)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(551,636)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(9,853,810)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(15,355,827)</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2,605,588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(1,311,212)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198,097,374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364,703,993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(9,853,810)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(15,355,827)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2,605,588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(1,311,212)</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¹Transfers out of Level III represent a transfer of $2,783,195 relating to debt securities for which pricing inputs, other than their quoted prices in active markets were observable as of December 31,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$34,070,557 relating to debt securities for which pricing inputs, other than their quoted prices in active markets were unobservable as of December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right="60" w:firstLine="324"/>
        <w:spacing w:after="0" w:line="259" w:lineRule="auto"/>
        <w:rPr>
          <w:sz w:val="20"/>
          <w:szCs w:val="20"/>
          <w:color w:val="auto"/>
        </w:rPr>
      </w:pPr>
      <w:r>
        <w:rPr>
          <w:rFonts w:ascii="Arial" w:cs="Arial" w:eastAsia="Arial" w:hAnsi="Arial"/>
          <w:sz w:val="18"/>
          <w:szCs w:val="18"/>
          <w:color w:val="auto"/>
        </w:rPr>
        <w:t>As of June 30, 2014,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$59,751,153 as of June 30,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2014,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2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300" w:type="dxa"/>
            <w:vAlign w:val="bottom"/>
            <w:tcBorders>
              <w:top w:val="single" w:sz="8" w:color="auto"/>
            </w:tcBorders>
            <w:shd w:val="clear" w:color="auto" w:fill="DAEEF3"/>
          </w:tcPr>
          <w:p>
            <w:pPr>
              <w:spacing w:after="0"/>
              <w:rPr>
                <w:sz w:val="18"/>
                <w:szCs w:val="18"/>
                <w:color w:val="auto"/>
              </w:rPr>
            </w:pPr>
          </w:p>
        </w:tc>
        <w:tc>
          <w:tcPr>
            <w:tcW w:w="1340" w:type="dxa"/>
            <w:vAlign w:val="bottom"/>
            <w:tcBorders>
              <w:top w:val="single" w:sz="8" w:color="auto"/>
              <w:right w:val="single" w:sz="8" w:color="auto"/>
            </w:tcBorders>
            <w:vMerge w:val="restart"/>
            <w:shd w:val="clear" w:color="auto" w:fill="DAEEF3"/>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060" w:type="dxa"/>
            <w:vAlign w:val="bottom"/>
            <w:tcBorders>
              <w:top w:val="single" w:sz="8" w:color="auto"/>
              <w:right w:val="single" w:sz="8" w:color="auto"/>
            </w:tcBorders>
            <w:shd w:val="clear" w:color="auto" w:fill="DAEEF3"/>
          </w:tcPr>
          <w:p>
            <w:pPr>
              <w:ind w:left="300"/>
              <w:spacing w:after="0"/>
              <w:rPr>
                <w:sz w:val="20"/>
                <w:szCs w:val="20"/>
                <w:color w:val="auto"/>
              </w:rPr>
            </w:pPr>
            <w:r>
              <w:rPr>
                <w:rFonts w:ascii="Arial" w:cs="Arial" w:eastAsia="Arial" w:hAnsi="Arial"/>
                <w:sz w:val="18"/>
                <w:szCs w:val="18"/>
                <w:b w:val="1"/>
                <w:bCs w:val="1"/>
                <w:color w:val="auto"/>
              </w:rPr>
              <w:t>Primary Valuation</w:t>
            </w:r>
          </w:p>
        </w:tc>
        <w:tc>
          <w:tcPr>
            <w:tcW w:w="1600" w:type="dxa"/>
            <w:vAlign w:val="bottom"/>
            <w:tcBorders>
              <w:top w:val="single" w:sz="8" w:color="auto"/>
              <w:right w:val="single" w:sz="8" w:color="auto"/>
            </w:tcBorders>
            <w:shd w:val="clear" w:color="auto" w:fill="DAEEF3"/>
          </w:tcPr>
          <w:p>
            <w:pPr>
              <w:ind w:left="260"/>
              <w:spacing w:after="0"/>
              <w:rPr>
                <w:sz w:val="20"/>
                <w:szCs w:val="20"/>
                <w:color w:val="auto"/>
              </w:rPr>
            </w:pPr>
            <w:r>
              <w:rPr>
                <w:rFonts w:ascii="Arial" w:cs="Arial" w:eastAsia="Arial" w:hAnsi="Arial"/>
                <w:sz w:val="18"/>
                <w:szCs w:val="18"/>
                <w:b w:val="1"/>
                <w:bCs w:val="1"/>
                <w:color w:val="auto"/>
              </w:rPr>
              <w:t>Unobservable</w:t>
            </w:r>
          </w:p>
        </w:tc>
        <w:tc>
          <w:tcPr>
            <w:tcW w:w="3460" w:type="dxa"/>
            <w:vAlign w:val="bottom"/>
            <w:tcBorders>
              <w:top w:val="single" w:sz="8" w:color="auto"/>
              <w:right w:val="single" w:sz="8" w:color="auto"/>
            </w:tcBorders>
            <w:shd w:val="clear" w:color="auto" w:fill="DAEEF3"/>
          </w:tcPr>
          <w:p>
            <w:pPr>
              <w:ind w:left="1100"/>
              <w:spacing w:after="0"/>
              <w:rPr>
                <w:sz w:val="20"/>
                <w:szCs w:val="20"/>
                <w:color w:val="auto"/>
              </w:rPr>
            </w:pPr>
            <w:r>
              <w:rPr>
                <w:rFonts w:ascii="Arial" w:cs="Arial" w:eastAsia="Arial" w:hAnsi="Arial"/>
                <w:sz w:val="18"/>
                <w:szCs w:val="18"/>
                <w:b w:val="1"/>
                <w:bCs w:val="1"/>
                <w:color w:val="auto"/>
              </w:rPr>
              <w:t>Range of Inputs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62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300" w:type="dxa"/>
            <w:vAlign w:val="bottom"/>
            <w:shd w:val="clear" w:color="auto" w:fill="DAEEF3"/>
          </w:tcPr>
          <w:p>
            <w:pPr>
              <w:spacing w:after="0"/>
              <w:rPr>
                <w:sz w:val="10"/>
                <w:szCs w:val="10"/>
                <w:color w:val="auto"/>
              </w:rPr>
            </w:pPr>
          </w:p>
        </w:tc>
        <w:tc>
          <w:tcPr>
            <w:tcW w:w="1340" w:type="dxa"/>
            <w:vAlign w:val="bottom"/>
            <w:tcBorders>
              <w:right w:val="single" w:sz="8" w:color="auto"/>
            </w:tcBorders>
            <w:vMerge w:val="continue"/>
            <w:shd w:val="clear" w:color="auto" w:fill="DAEEF3"/>
          </w:tcPr>
          <w:p>
            <w:pPr>
              <w:spacing w:after="0"/>
              <w:rPr>
                <w:sz w:val="10"/>
                <w:szCs w:val="10"/>
                <w:color w:val="auto"/>
              </w:rPr>
            </w:pPr>
          </w:p>
        </w:tc>
        <w:tc>
          <w:tcPr>
            <w:tcW w:w="2060" w:type="dxa"/>
            <w:vAlign w:val="bottom"/>
            <w:tcBorders>
              <w:right w:val="single" w:sz="8" w:color="auto"/>
            </w:tcBorders>
            <w:vMerge w:val="restart"/>
            <w:shd w:val="clear" w:color="auto" w:fill="DAEEF3"/>
          </w:tcPr>
          <w:p>
            <w:pPr>
              <w:ind w:left="520"/>
              <w:spacing w:after="0"/>
              <w:rPr>
                <w:sz w:val="20"/>
                <w:szCs w:val="20"/>
                <w:color w:val="auto"/>
              </w:rPr>
            </w:pPr>
            <w:r>
              <w:rPr>
                <w:rFonts w:ascii="Arial" w:cs="Arial" w:eastAsia="Arial" w:hAnsi="Arial"/>
                <w:sz w:val="18"/>
                <w:szCs w:val="18"/>
                <w:b w:val="1"/>
                <w:bCs w:val="1"/>
                <w:color w:val="auto"/>
              </w:rPr>
              <w:t>Methodology</w:t>
            </w:r>
          </w:p>
        </w:tc>
        <w:tc>
          <w:tcPr>
            <w:tcW w:w="1600" w:type="dxa"/>
            <w:vAlign w:val="bottom"/>
            <w:tcBorders>
              <w:right w:val="single" w:sz="8" w:color="auto"/>
            </w:tcBorders>
            <w:vMerge w:val="restart"/>
            <w:shd w:val="clear" w:color="auto" w:fill="DAEEF3"/>
          </w:tcPr>
          <w:p>
            <w:pPr>
              <w:ind w:left="540"/>
              <w:spacing w:after="0"/>
              <w:rPr>
                <w:sz w:val="20"/>
                <w:szCs w:val="20"/>
                <w:color w:val="auto"/>
              </w:rPr>
            </w:pPr>
            <w:r>
              <w:rPr>
                <w:rFonts w:ascii="Arial" w:cs="Arial" w:eastAsia="Arial" w:hAnsi="Arial"/>
                <w:sz w:val="18"/>
                <w:szCs w:val="18"/>
                <w:b w:val="1"/>
                <w:bCs w:val="1"/>
                <w:color w:val="auto"/>
              </w:rPr>
              <w:t>Inputs</w:t>
            </w:r>
          </w:p>
        </w:tc>
        <w:tc>
          <w:tcPr>
            <w:tcW w:w="3460" w:type="dxa"/>
            <w:vAlign w:val="bottom"/>
            <w:tcBorders>
              <w:right w:val="single" w:sz="8" w:color="auto"/>
            </w:tcBorders>
            <w:vMerge w:val="restart"/>
            <w:shd w:val="clear" w:color="auto" w:fill="DAEEF3"/>
          </w:tcPr>
          <w:p>
            <w:pPr>
              <w:ind w:left="960"/>
              <w:spacing w:after="0"/>
              <w:rPr>
                <w:sz w:val="20"/>
                <w:szCs w:val="20"/>
                <w:color w:val="auto"/>
              </w:rPr>
            </w:pPr>
            <w:r>
              <w:rPr>
                <w:rFonts w:ascii="Arial" w:cs="Arial" w:eastAsia="Arial" w:hAnsi="Arial"/>
                <w:sz w:val="18"/>
                <w:szCs w:val="18"/>
                <w:b w:val="1"/>
                <w:bCs w:val="1"/>
                <w:color w:val="auto"/>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300" w:type="dxa"/>
            <w:vAlign w:val="bottom"/>
            <w:tcBorders>
              <w:bottom w:val="single" w:sz="8" w:color="auto"/>
            </w:tcBorders>
            <w:shd w:val="clear" w:color="auto" w:fill="DAEEF3"/>
          </w:tcPr>
          <w:p>
            <w:pPr>
              <w:spacing w:after="0"/>
              <w:rPr>
                <w:sz w:val="9"/>
                <w:szCs w:val="9"/>
                <w:color w:val="auto"/>
              </w:rPr>
            </w:pPr>
          </w:p>
        </w:tc>
        <w:tc>
          <w:tcPr>
            <w:tcW w:w="1340" w:type="dxa"/>
            <w:vAlign w:val="bottom"/>
            <w:tcBorders>
              <w:bottom w:val="single" w:sz="8" w:color="auto"/>
              <w:right w:val="single" w:sz="8" w:color="auto"/>
            </w:tcBorders>
            <w:shd w:val="clear" w:color="auto" w:fill="DAEEF3"/>
          </w:tcPr>
          <w:p>
            <w:pPr>
              <w:spacing w:after="0"/>
              <w:rPr>
                <w:sz w:val="9"/>
                <w:szCs w:val="9"/>
                <w:color w:val="auto"/>
              </w:rPr>
            </w:pPr>
          </w:p>
        </w:tc>
        <w:tc>
          <w:tcPr>
            <w:tcW w:w="206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16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346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spacing w:after="0"/>
              <w:rPr>
                <w:sz w:val="16"/>
                <w:szCs w:val="16"/>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4,461,507</w:t>
            </w:r>
          </w:p>
        </w:tc>
        <w:tc>
          <w:tcPr>
            <w:tcW w:w="2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w:t>
            </w: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8.5x/6.7% (8.5x/6.7%)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Multiple/WAAC</w:t>
            </w:r>
          </w:p>
        </w:tc>
        <w:tc>
          <w:tcPr>
            <w:tcW w:w="3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808080"/>
              <w:right w:val="single" w:sz="8" w:color="auto"/>
            </w:tcBorders>
            <w:vMerge w:val="continue"/>
          </w:tcPr>
          <w:p>
            <w:pPr>
              <w:spacing w:after="0"/>
              <w:rPr>
                <w:sz w:val="9"/>
                <w:szCs w:val="9"/>
                <w:color w:val="auto"/>
              </w:rPr>
            </w:pPr>
          </w:p>
        </w:tc>
        <w:tc>
          <w:tcPr>
            <w:tcW w:w="3460" w:type="dxa"/>
            <w:vAlign w:val="bottom"/>
            <w:tcBorders>
              <w:bottom w:val="single" w:sz="8" w:color="808080"/>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197,379,691</w:t>
            </w:r>
          </w:p>
        </w:tc>
        <w:tc>
          <w:tcPr>
            <w:tcW w:w="2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Income Approach</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Implied Discount</w:t>
            </w: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2.5% - 8.3% (3.7%)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20" w:type="dxa"/>
            <w:vAlign w:val="bottom"/>
            <w:tcBorders>
              <w:left w:val="single" w:sz="8" w:color="auto"/>
              <w:right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Rate</w:t>
            </w:r>
          </w:p>
        </w:tc>
        <w:tc>
          <w:tcPr>
            <w:tcW w:w="346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vMerge w:val="continue"/>
          </w:tcPr>
          <w:p>
            <w:pPr>
              <w:spacing w:after="0"/>
              <w:rPr>
                <w:sz w:val="5"/>
                <w:szCs w:val="5"/>
                <w:color w:val="auto"/>
              </w:rPr>
            </w:pPr>
          </w:p>
        </w:tc>
        <w:tc>
          <w:tcPr>
            <w:tcW w:w="346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100"/>
              <w:spacing w:after="0" w:line="251" w:lineRule="exact"/>
              <w:rPr>
                <w:sz w:val="20"/>
                <w:szCs w:val="20"/>
                <w:color w:val="auto"/>
              </w:rPr>
            </w:pPr>
            <w:r>
              <w:rPr>
                <w:rFonts w:ascii="Arial" w:cs="Arial" w:eastAsia="Arial" w:hAnsi="Arial"/>
                <w:sz w:val="18"/>
                <w:szCs w:val="18"/>
                <w:color w:val="auto"/>
                <w:w w:val="97"/>
              </w:rPr>
              <w:t>Qualitative Inputs</w:t>
            </w:r>
            <w:r>
              <w:rPr>
                <w:rFonts w:ascii="Arial" w:cs="Arial" w:eastAsia="Arial" w:hAnsi="Arial"/>
                <w:sz w:val="29"/>
                <w:szCs w:val="29"/>
                <w:color w:val="auto"/>
                <w:w w:val="97"/>
                <w:vertAlign w:val="superscript"/>
              </w:rPr>
              <w:t>1</w:t>
            </w:r>
          </w:p>
        </w:tc>
        <w:tc>
          <w:tcPr>
            <w:tcW w:w="346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40,670</w:t>
            </w: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Recovery Approach</w:t>
            </w:r>
          </w:p>
        </w:tc>
        <w:tc>
          <w:tcPr>
            <w:tcW w:w="1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46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spacing w:after="0"/>
              <w:rPr>
                <w:sz w:val="16"/>
                <w:szCs w:val="16"/>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8,754,971</w:t>
            </w:r>
          </w:p>
        </w:tc>
        <w:tc>
          <w:tcPr>
            <w:tcW w:w="2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w:t>
            </w: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2.7x/10.2% - 7.8x/14.1% (6.2x/13.2%)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3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Multiple/WAAC</w:t>
            </w:r>
          </w:p>
        </w:tc>
        <w:tc>
          <w:tcPr>
            <w:tcW w:w="3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2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46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3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 (11%)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Probability of</w:t>
            </w: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2.0%-2.5% (2.4%)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tcPr>
          <w:p>
            <w:pPr>
              <w:spacing w:after="0"/>
              <w:rPr>
                <w:sz w:val="10"/>
                <w:szCs w:val="10"/>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63,225,038</w:t>
            </w:r>
          </w:p>
        </w:tc>
        <w:tc>
          <w:tcPr>
            <w:tcW w:w="2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Default</w:t>
            </w:r>
          </w:p>
        </w:tc>
        <w:tc>
          <w:tcPr>
            <w:tcW w:w="3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00" w:type="dxa"/>
            <w:vAlign w:val="bottom"/>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tcBorders>
              <w:left w:val="single" w:sz="8" w:color="auto"/>
              <w:right w:val="single" w:sz="8" w:color="auto"/>
            </w:tcBorders>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Loss Severity</w:t>
            </w:r>
          </w:p>
        </w:tc>
        <w:tc>
          <w:tcPr>
            <w:tcW w:w="3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 (20%)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62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3460" w:type="dxa"/>
            <w:vAlign w:val="bottom"/>
            <w:tcBorders>
              <w:bottom w:val="single" w:sz="8" w:color="auto"/>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Recovery Rate</w:t>
            </w:r>
          </w:p>
        </w:tc>
        <w:tc>
          <w:tcPr>
            <w:tcW w:w="3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80% (80%)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Rate</w:t>
            </w:r>
          </w:p>
        </w:tc>
        <w:tc>
          <w:tcPr>
            <w:tcW w:w="3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28,505,860</w:t>
            </w: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Market Approach</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Quote</w:t>
            </w:r>
          </w:p>
        </w:tc>
        <w:tc>
          <w:tcPr>
            <w:tcW w:w="3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86 - 100 (93.1)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75,302,000</w:t>
            </w: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3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1.97 - 7.88 (6.92)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420"/>
              <w:spacing w:after="0"/>
              <w:rPr>
                <w:sz w:val="20"/>
                <w:szCs w:val="20"/>
                <w:color w:val="auto"/>
              </w:rPr>
            </w:pPr>
            <w:r>
              <w:rPr>
                <w:rFonts w:ascii="Arial" w:cs="Arial" w:eastAsia="Arial" w:hAnsi="Arial"/>
                <w:sz w:val="18"/>
                <w:szCs w:val="18"/>
                <w:b w:val="1"/>
                <w:bCs w:val="1"/>
                <w:color w:val="auto"/>
                <w:w w:val="96"/>
              </w:rPr>
              <w:t>Total Level III Investments</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377,674,737</w:t>
            </w:r>
          </w:p>
        </w:tc>
        <w:tc>
          <w:tcPr>
            <w:tcW w:w="2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right="620" w:firstLine="9"/>
        <w:spacing w:after="0" w:line="277" w:lineRule="auto"/>
        <w:tabs>
          <w:tab w:leader="none" w:pos="1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11"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June 30, 2014 and December 31, 2013, the Asset Manager Affiliates had approximately $3.25 billion and $3.2 billion, respectively, of par value of assets under management, and the Company’s 100% equity interest in the Asset Manager Affiliates had a fair value of approximately $75 million and $76 million, respectively.</w:t>
      </w:r>
    </w:p>
    <w:p>
      <w:pPr>
        <w:spacing w:after="0" w:line="1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operating income equal to the amount by which their fee income exceeds their operating expenses, including compensation of their employees.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five managed funds made incentive fee distributions during the quarter ended June 30, 2014.</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Any distributions from the Asset Manager Affiliates are recorded as “Distributions from Asset Manager Affiliates” on the Company’s statement of operations and are recorded as declared (where declaration date represents ex-dividend date) by the Asset Manager Affiliates. For the six months ended June 30, 2014 and 2013, the Asset Manager Affiliates declared distributions of $6.0 million and $6.3 million, respectively. Distributions receivable, if any, are reflected in the Due from Affiliates account on the consolidated balance sheet.</w:t>
      </w:r>
    </w:p>
    <w:p>
      <w:pPr>
        <w:spacing w:after="0" w:line="187" w:lineRule="exact"/>
        <w:rPr>
          <w:sz w:val="20"/>
          <w:szCs w:val="20"/>
          <w:color w:val="auto"/>
        </w:rPr>
      </w:pPr>
    </w:p>
    <w:p>
      <w:pPr>
        <w:ind w:right="360" w:firstLine="415"/>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“Significant Accounting Policies” and Note 4, “Investments” for further information relating to the Company’s valuation methodology.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4" w:name="page45"/>
    <w:bookmarkEnd w:id="44"/>
    <w:p>
      <w:pPr>
        <w:ind w:right="220" w:firstLine="415"/>
        <w:spacing w:after="0" w:line="257" w:lineRule="auto"/>
        <w:rPr>
          <w:sz w:val="20"/>
          <w:szCs w:val="20"/>
          <w:color w:val="auto"/>
        </w:rPr>
      </w:pPr>
      <w:r>
        <w:rPr>
          <w:rFonts w:ascii="Arial" w:cs="Arial" w:eastAsia="Arial" w:hAnsi="Arial"/>
          <w:sz w:val="18"/>
          <w:szCs w:val="18"/>
          <w:color w:val="auto"/>
        </w:rPr>
        <w:t>As a result of the consolidation of the CLO Funds into the Asset Manager Affiliates, the financial results of the Asset Manager Affiliates indicate that they qualify as a “significant subsidiary” of the Company requiring the following additional disclosures. In addition, Katonah 2007-I CLO and Katonah X CLO qualify as “significant subsidiaries” of the Company and the Company is also required to make the additional disclosures about them below. These disclosures regarding the Asset Manager Affiliates and Katonah 2007-I CLO and Katonah X CLO do not directly impact the financial position, results of operations, or cash flows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Pr>
          <w:p>
            <w:pPr>
              <w:spacing w:after="0"/>
              <w:rPr>
                <w:sz w:val="19"/>
                <w:szCs w:val="19"/>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of</w:t>
            </w:r>
          </w:p>
        </w:tc>
      </w:tr>
      <w:tr>
        <w:trPr>
          <w:trHeight w:val="234"/>
        </w:trPr>
        <w:tc>
          <w:tcPr>
            <w:tcW w:w="4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 2014</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2013</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of CLO Funds, at fair value</w:t>
            </w:r>
          </w:p>
        </w:tc>
        <w:tc>
          <w:tcPr>
            <w:tcW w:w="9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$3,076,953,468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2,964,229,086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225,963,662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278,813,923</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3,368,749,092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3,299,810,068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3,167,945,251</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3,079,835,713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3,267,778,507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3,176,654,741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Asset Manager Affiliates equity</w:t>
            </w: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36,076,093</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38,855,099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Appropriated retained earnings of consolidated VIEs</w:t>
            </w:r>
          </w:p>
        </w:tc>
        <w:tc>
          <w:tcPr>
            <w:tcW w:w="2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64,894,492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84,300,228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19"/>
                <w:szCs w:val="19"/>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investments of CLO Funds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30,880,597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30,590,388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58,565,082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63,857,815</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31,293,058</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34,157,203</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61,681,843</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70,468,474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of CLO Fund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24,529,997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27,448,332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49,055,196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57,220,417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35,302,843</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39,698,341</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66,209,005</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74,542,565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(4,955,179)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95,000,154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(9,673,667)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85,521,217</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9"/>
              </w:rPr>
              <w:t>Net loss attributable to noncontrolling interests in consolidated Variable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Entities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(10,799,619)</w:t>
            </w: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87,206,075</w:t>
            </w: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(18,258,038)</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78,034,934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Asset Manager Affiliates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2,252,941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2,674,769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3,015,589</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40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6"/>
              </w:rPr>
              <w:t>Katonah 2007-I CLO Ltd.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556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Summarized Balance Sheet Information (unaudited)</w:t>
            </w:r>
          </w:p>
        </w:tc>
        <w:tc>
          <w:tcPr>
            <w:tcW w:w="2860" w:type="dxa"/>
            <w:vAlign w:val="bottom"/>
          </w:tcPr>
          <w:p>
            <w:pPr>
              <w:spacing w:after="0"/>
              <w:rPr>
                <w:sz w:val="20"/>
                <w:szCs w:val="20"/>
                <w:color w:val="auto"/>
              </w:rPr>
            </w:pPr>
          </w:p>
        </w:tc>
      </w:tr>
      <w:tr>
        <w:trPr>
          <w:trHeight w:val="427"/>
        </w:trPr>
        <w:tc>
          <w:tcPr>
            <w:tcW w:w="3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286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40" w:type="dxa"/>
            <w:vAlign w:val="bottom"/>
            <w:gridSpan w:val="5"/>
          </w:tcPr>
          <w:p>
            <w:pPr>
              <w:spacing w:after="0"/>
              <w:rPr>
                <w:sz w:val="20"/>
                <w:szCs w:val="20"/>
                <w:color w:val="auto"/>
              </w:rPr>
            </w:pPr>
            <w:r>
              <w:rPr>
                <w:rFonts w:ascii="Arial" w:cs="Arial" w:eastAsia="Arial" w:hAnsi="Arial"/>
                <w:sz w:val="18"/>
                <w:szCs w:val="18"/>
                <w:b w:val="1"/>
                <w:bCs w:val="1"/>
                <w:color w:val="auto"/>
                <w:w w:val="94"/>
              </w:rPr>
              <w:t>June 30, 2014  December 31, 2013</w:t>
            </w:r>
          </w:p>
        </w:tc>
        <w:tc>
          <w:tcPr>
            <w:tcW w:w="2860" w:type="dxa"/>
            <w:vAlign w:val="bottom"/>
          </w:tcPr>
          <w:p>
            <w:pPr>
              <w:spacing w:after="0"/>
              <w:rPr>
                <w:sz w:val="20"/>
                <w:szCs w:val="20"/>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8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$ 307,229,103</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310,427,788</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Cash</w:t>
            </w:r>
          </w:p>
        </w:tc>
        <w:tc>
          <w:tcPr>
            <w:tcW w:w="4040" w:type="dxa"/>
            <w:vAlign w:val="bottom"/>
            <w:gridSpan w:val="3"/>
          </w:tcPr>
          <w:p>
            <w:pPr>
              <w:jc w:val="right"/>
              <w:ind w:right="180"/>
              <w:spacing w:after="0"/>
              <w:rPr>
                <w:sz w:val="20"/>
                <w:szCs w:val="20"/>
                <w:color w:val="auto"/>
              </w:rPr>
            </w:pPr>
            <w:r>
              <w:rPr>
                <w:rFonts w:ascii="Arial" w:cs="Arial" w:eastAsia="Arial" w:hAnsi="Arial"/>
                <w:sz w:val="18"/>
                <w:szCs w:val="18"/>
                <w:color w:val="auto"/>
              </w:rPr>
              <w:t>13,823,545</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15,260,243</w:t>
            </w:r>
          </w:p>
        </w:tc>
        <w:tc>
          <w:tcPr>
            <w:tcW w:w="286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321,722,372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326,362,942</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CLO Debt at fair value</w:t>
            </w:r>
          </w:p>
        </w:tc>
        <w:tc>
          <w:tcPr>
            <w:tcW w:w="4040" w:type="dxa"/>
            <w:vAlign w:val="bottom"/>
            <w:gridSpan w:val="3"/>
          </w:tcPr>
          <w:p>
            <w:pPr>
              <w:jc w:val="right"/>
              <w:ind w:right="180"/>
              <w:spacing w:after="0"/>
              <w:rPr>
                <w:sz w:val="20"/>
                <w:szCs w:val="20"/>
                <w:color w:val="auto"/>
              </w:rPr>
            </w:pPr>
            <w:r>
              <w:rPr>
                <w:rFonts w:ascii="Arial" w:cs="Arial" w:eastAsia="Arial" w:hAnsi="Arial"/>
                <w:sz w:val="18"/>
                <w:szCs w:val="18"/>
                <w:color w:val="auto"/>
              </w:rPr>
              <w:t>320,267,767</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314,549,615</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322,514,852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320,828,003</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Total Net Assets</w:t>
            </w:r>
          </w:p>
        </w:tc>
        <w:tc>
          <w:tcPr>
            <w:tcW w:w="4040" w:type="dxa"/>
            <w:vAlign w:val="bottom"/>
            <w:gridSpan w:val="3"/>
          </w:tcPr>
          <w:p>
            <w:pPr>
              <w:jc w:val="right"/>
              <w:ind w:right="120"/>
              <w:spacing w:after="0"/>
              <w:rPr>
                <w:sz w:val="20"/>
                <w:szCs w:val="20"/>
                <w:color w:val="auto"/>
              </w:rPr>
            </w:pPr>
            <w:r>
              <w:rPr>
                <w:rFonts w:ascii="Arial" w:cs="Arial" w:eastAsia="Arial" w:hAnsi="Arial"/>
                <w:sz w:val="18"/>
                <w:szCs w:val="18"/>
                <w:color w:val="auto"/>
              </w:rPr>
              <w:t>(792,480)</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5,534,939</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634"/>
        </w:trPr>
        <w:tc>
          <w:tcPr>
            <w:tcW w:w="30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left="2510"/>
              <w:spacing w:after="0"/>
              <w:rPr>
                <w:sz w:val="20"/>
                <w:szCs w:val="20"/>
                <w:color w:val="auto"/>
              </w:rPr>
            </w:pPr>
            <w:r>
              <w:rPr>
                <w:rFonts w:ascii="Arial" w:cs="Arial" w:eastAsia="Arial" w:hAnsi="Arial"/>
                <w:sz w:val="18"/>
                <w:szCs w:val="18"/>
                <w:color w:val="auto"/>
                <w:w w:val="89"/>
              </w:rPr>
              <w:t>43</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19"/>
                <w:szCs w:val="19"/>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3,027,364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3,090,911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6,019,495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6,316,598</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3,086,962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3,378,618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6,384,610</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6,765,226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2,727,556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2,849,391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5,521,464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5,843,283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3,078,583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3,213,437</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6,195,570</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6,484,434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(4,847,359)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(2,624,539)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(6,516,459)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(4,383,989)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(4,838,980)</w:t>
            </w:r>
          </w:p>
        </w:tc>
        <w:tc>
          <w:tcPr>
            <w:tcW w:w="3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(2,459,358)</w:t>
            </w: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(6,327,420)</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(4,103,197)</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X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7"/>
              </w:rPr>
              <w:t>As of</w:t>
            </w:r>
          </w:p>
        </w:tc>
      </w:tr>
      <w:tr>
        <w:trPr>
          <w:trHeight w:val="234"/>
        </w:trPr>
        <w:tc>
          <w:tcPr>
            <w:tcW w:w="8400" w:type="dxa"/>
            <w:vAlign w:val="bottom"/>
          </w:tcPr>
          <w:p>
            <w:pPr>
              <w:spacing w:after="0"/>
              <w:rPr>
                <w:sz w:val="20"/>
                <w:szCs w:val="20"/>
                <w:color w:val="auto"/>
              </w:rPr>
            </w:pPr>
          </w:p>
        </w:tc>
        <w:tc>
          <w:tcPr>
            <w:tcW w:w="14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7"/>
              </w:rPr>
              <w:t>June 30, 2014</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2013</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344,150,118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408,698,814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20,483,957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26,050,568</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365,753,659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435,799,911</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348,814,569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416,405,403</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349,975,725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417,800,701</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Total Net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15,777,934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17,999,210</w:t>
            </w:r>
          </w:p>
        </w:tc>
      </w:tr>
      <w:tr>
        <w:trPr>
          <w:trHeight w:val="404"/>
        </w:trPr>
        <w:tc>
          <w:tcPr>
            <w:tcW w:w="8400" w:type="dxa"/>
            <w:vAlign w:val="bottom"/>
          </w:tcPr>
          <w:p>
            <w:pPr>
              <w:ind w:left="4880"/>
              <w:spacing w:after="0"/>
              <w:rPr>
                <w:sz w:val="20"/>
                <w:szCs w:val="20"/>
                <w:color w:val="auto"/>
              </w:rPr>
            </w:pPr>
            <w:r>
              <w:rPr>
                <w:rFonts w:ascii="Arial" w:cs="Arial" w:eastAsia="Arial" w:hAnsi="Arial"/>
                <w:sz w:val="18"/>
                <w:szCs w:val="18"/>
                <w:b w:val="1"/>
                <w:bCs w:val="1"/>
                <w:color w:val="auto"/>
              </w:rPr>
              <w:t>Katonah X CLO Ltd.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400" w:type="dxa"/>
            <w:vAlign w:val="bottom"/>
          </w:tcPr>
          <w:p>
            <w:pPr>
              <w:ind w:left="3440"/>
              <w:spacing w:after="0"/>
              <w:rPr>
                <w:sz w:val="20"/>
                <w:szCs w:val="20"/>
                <w:color w:val="auto"/>
              </w:rPr>
            </w:pPr>
            <w:r>
              <w:rPr>
                <w:rFonts w:ascii="Arial" w:cs="Arial" w:eastAsia="Arial" w:hAnsi="Arial"/>
                <w:sz w:val="18"/>
                <w:szCs w:val="18"/>
                <w:color w:val="auto"/>
                <w:w w:val="98"/>
              </w:rPr>
              <w:t>Summarized Statements of Operations Information (unaudited)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34"/>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3,254,365</w:t>
            </w:r>
          </w:p>
        </w:tc>
        <w:tc>
          <w:tcPr>
            <w:tcW w:w="2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4,598,724</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Total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3,374,038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5,210,516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2,327,518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4,012,485</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3,334,510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4,981,842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(1,230,389)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(3,350,687)</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50"/>
              <w:spacing w:after="0"/>
              <w:rPr>
                <w:sz w:val="20"/>
                <w:szCs w:val="20"/>
                <w:color w:val="auto"/>
              </w:rPr>
            </w:pPr>
            <w:r>
              <w:rPr>
                <w:rFonts w:ascii="Arial" w:cs="Arial" w:eastAsia="Arial" w:hAnsi="Arial"/>
                <w:sz w:val="18"/>
                <w:szCs w:val="18"/>
                <w:color w:val="auto"/>
              </w:rPr>
              <w:t>(1,190,861)</w:t>
            </w:r>
          </w:p>
        </w:tc>
        <w:tc>
          <w:tcPr>
            <w:tcW w:w="2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(3,122,012)</w:t>
            </w:r>
          </w:p>
        </w:tc>
      </w:tr>
    </w:tbl>
    <w:p>
      <w:pPr>
        <w:spacing w:after="0" w:line="187"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For tax purposes, any distributions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depreciation, bonuses to employees and stock option expense,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ind w:right="60" w:firstLine="32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U.S. GAAP income and taxable income by approximately $2 million per year over such period.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KCAP Financial’s stock valued at $25.5 million and cash of $13.0 million.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February 26, 2013, the Company entered into a senior unsecured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upsized from $20 million to $23 million. At June 30, 2014, there was $23 million outstanding under the Trimaran Credit Facility, which is included in the Company’s Schedule of Investments. For the six months ended June 30, 2014, the Company recognized interest income of $1.0 million related to the Trimaran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00" w:type="dxa"/>
            <w:vAlign w:val="bottom"/>
          </w:tcPr>
          <w:p>
            <w:pPr>
              <w:ind w:left="340"/>
              <w:spacing w:after="0"/>
              <w:rPr>
                <w:sz w:val="20"/>
                <w:szCs w:val="20"/>
                <w:color w:val="auto"/>
              </w:rPr>
            </w:pPr>
            <w:r>
              <w:rPr>
                <w:rFonts w:ascii="Arial" w:cs="Arial" w:eastAsia="Arial" w:hAnsi="Arial"/>
                <w:sz w:val="18"/>
                <w:szCs w:val="18"/>
                <w:color w:val="auto"/>
              </w:rPr>
              <w:t>The Company’s debt obligations consist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June 30, 2014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December 31, 2013</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due March 15, 2016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49,008,000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7.375% Notes Due 2019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41,400,000</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41,400,000</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Notes Issued by KCAP Senior Funding I, LLC (net of discount: 2014 - $2,847,139;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2013 - $3,065,627)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102,402,861</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102,184,373</w:t>
            </w: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2014 were 5.08% and 6.92 years, respectively, and as of December 31, 2013 were 5.08% and 7.43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June 30, 2014, the conversion rate was 128.6773 shares of common stock per $1,000 principal amount of Convertible Notes, which is equivalent to a conversion price of approximately $7.77 per share of common stock. Upon conversion, the Company would issue the full amount of common stock or settle the conversion in cash, at its option, and retire the full amount of debt outstanding.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7" w:name="page48"/>
    <w:bookmarkEnd w:id="47"/>
    <w:p>
      <w:pPr>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Convertible Notes through, and including, the maturity date.</w:t>
      </w:r>
    </w:p>
    <w:p>
      <w:pPr>
        <w:spacing w:after="0" w:line="18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In connection with the issuance of the Convertible Notes, the Company incurred approximately $2.4 million of debt offering costs, which are being amortized over the term of the facility on an effective yield method, of which approximately $742,000 remains to be amortized.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Due to the cash conversion option embedded in the Convertible Notes, the Company applied the guidance in ASC 470-40-20,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realized a loss on the extinguishment of this debt. For the six months ended June 30, 2014 there were no realized losses on extinguishment of debt. The indenture governing the Convertible Notes contains certain restrictive covenants, including compliance with certain provisions of the 1940 Act and conditions governing the undertaking of new debt.</w:t>
      </w:r>
    </w:p>
    <w:p>
      <w:pPr>
        <w:spacing w:after="0" w:line="16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For the three months ended June 30, 2014 and 2013, interest expense related to the Convertible Notes was $1.1 million for both periods. For the six months ended June 30, 2014 and 2013, interest expense related to the Convertible Notes was $2.1 million and $2.4 million, respectively.</w:t>
      </w:r>
    </w:p>
    <w:p>
      <w:pPr>
        <w:spacing w:after="0" w:line="14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June 30, 2014, the Company was in compliance with all of its debt covenants.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$57.5 million at June 30, 2014. The fair value was determined based on an indicative closing price as of June 30, 2014. The Convertible Notes are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these Notes,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contains certain restrictive covenants, including compliance with certain provisions of the 1940 Act relating to borrowing and dividends. At June 30, 2014, the Company was in compliance with all of its debt covenants.</w:t>
      </w:r>
    </w:p>
    <w:p>
      <w:pPr>
        <w:spacing w:after="0" w:line="16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For the three months ended June 30, 2014 and 2013, interest expense related to the 7.375% Notes Due 2019 was $763,000 for both periods. For the six months ended June 30, 2014 and 2013, interest expense related to the 7.375% Notes Due 2019 was $1.5 million for both periods.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right="60" w:firstLine="324"/>
        <w:spacing w:after="0" w:line="308" w:lineRule="auto"/>
        <w:rPr>
          <w:sz w:val="20"/>
          <w:szCs w:val="20"/>
          <w:color w:val="auto"/>
        </w:rPr>
      </w:pPr>
      <w:r>
        <w:rPr>
          <w:rFonts w:ascii="Arial" w:cs="Arial" w:eastAsia="Arial" w:hAnsi="Arial"/>
          <w:sz w:val="17"/>
          <w:szCs w:val="17"/>
          <w:color w:val="auto"/>
        </w:rPr>
        <w:t>In connection with the issuance of the 7.375% Notes Due 2019, the Company incurred approximately $1.5 million of debt offering costs which are being amortized over the term of the facility on an effective yield method, of which approximately $1.2 million remains to be amortized.</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Fair Value of 7.375% Notes Due 2019</w:t>
      </w:r>
      <w:r>
        <w:rPr>
          <w:rFonts w:ascii="Arial" w:cs="Arial" w:eastAsia="Arial" w:hAnsi="Arial"/>
          <w:sz w:val="16"/>
          <w:szCs w:val="16"/>
          <w:color w:val="auto"/>
        </w:rPr>
        <w:t>. The 7.375% Notes Due 2019 were issued in a public offering on October 10, 2012 and are carried at cost.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Company’s outstanding 7.375% Notes Due 2019 was approximately $43.6 million at June 30, 2014. The fair value was determined based on the closing price on June 30, 2014 for the 7.375% Notes Due 2019. The 7.375% Notes Due 2019 are categorized as Level I under ASC 820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A-1 senior secured floating rate notes which have an initial face amount of $77,250,000, are rated AAA (sf)/Aaa (sf) by Standard &amp; Poor’s Ratings Services and Moody’s Investors Service, Inc., respectively, and bear interest at the three-month LIBOR plus 1.50%, Class B-1 senior secured floating rate notes which have an initial face amount of $9,000,000, are rated AA (sf)/Aa2 (sf) by Standard &amp; Poor’s Ratings Services and Moody’s Investors Service, Inc., respectively, and bear interest at the three-month LIBOR plus</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3.25%, Class C-1 secured deferrable floating rate notes which have an initial face amount of $10,000,000, are rated A (sf)/A2 (sf) by Standard &amp; Poor’s Ratings Services and Moody’s Investors Service, Inc., respectively, and bear interest at three-month LIBOR plus 4.25%, and Class D-1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ind w:right="500" w:firstLine="324"/>
        <w:spacing w:after="0" w:line="312" w:lineRule="auto"/>
        <w:rPr>
          <w:sz w:val="20"/>
          <w:szCs w:val="20"/>
          <w:color w:val="auto"/>
        </w:rPr>
      </w:pPr>
      <w:r>
        <w:rPr>
          <w:rFonts w:ascii="Arial" w:cs="Arial" w:eastAsia="Arial" w:hAnsi="Arial"/>
          <w:sz w:val="16"/>
          <w:szCs w:val="16"/>
          <w:color w:val="auto"/>
        </w:rPr>
        <w:t>The Company will serve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 of June 30, 2014, there were 51 investments in portfolio companies with a total fair value of approximately $137 million, plus cash of $4.8 million, collateralizing the secured notes of the Issuer. At June 30, 2014, there were unamortized issuance costs of approximately $3.3 million included in other assets, and unamortized original issue discount, (“OID”) costs of approximately $2.8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ind w:firstLine="324"/>
        <w:spacing w:after="0" w:line="302" w:lineRule="auto"/>
        <w:rPr>
          <w:sz w:val="20"/>
          <w:szCs w:val="20"/>
          <w:color w:val="auto"/>
        </w:rPr>
      </w:pPr>
      <w:r>
        <w:rPr>
          <w:rFonts w:ascii="Arial" w:cs="Arial" w:eastAsia="Arial" w:hAnsi="Arial"/>
          <w:sz w:val="16"/>
          <w:szCs w:val="16"/>
          <w:color w:val="auto"/>
        </w:rPr>
        <w:t>For the period ended June 30, 2014, interest expense, including the amortization of deferred debt issuance costs and the discount on the face amount of the notes, was approximately $1.9 million consisting of stated interest expense of approximately $1.4 million, accreted discount of approximately $218,000, and deferred debt issuance costs of approximately $256,000. As of June 30, 2014, the stated interest charged under the securitization was based on current three month LIBOR, which was 0.23%. The classes, stated interest rates, spread over LIBOR, and stated interest expense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Stated Interest</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LIBOR Spread</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Stated 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(basis points)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Expense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A-1 Notes</w:t>
            </w: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3.48%</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C-1 Notes</w:t>
            </w:r>
          </w:p>
        </w:tc>
        <w:tc>
          <w:tcPr>
            <w:tcW w:w="2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5.48%</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Stated Interest Rate and Stated Interest Expense will vary based upon prevailing 3 month LIBOR as of the reset date. Stated Interest Expense amounts above represent the amounts accrued and payable at June 30, 2014 using prevailing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ratings and interest rates (expressed as a spread to LIBOR) of the Class A-1, B-1, C-1, and D-1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A-1 Notes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B-1 Notes</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Class C-1 Notes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Class D-1 Notes</w:t>
            </w:r>
          </w:p>
        </w:tc>
      </w:tr>
      <w:tr>
        <w:trPr>
          <w:trHeight w:val="195"/>
        </w:trPr>
        <w:tc>
          <w:tcPr>
            <w:tcW w:w="4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Type</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Secured</w:t>
            </w: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Secured</w:t>
            </w: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Senior Secured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Senior Secured</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Deferrable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Deferrable</w:t>
            </w:r>
          </w:p>
        </w:tc>
      </w:tr>
      <w:tr>
        <w:trPr>
          <w:trHeight w:val="230"/>
        </w:trPr>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Floating Rate</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Floating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Floating Rate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$ 77,250,000</w:t>
            </w:r>
          </w:p>
        </w:tc>
        <w:tc>
          <w:tcPr>
            <w:tcW w:w="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$9,000,000</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"Aaa"</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"Aa2"</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"Baa2"</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Standard &amp;amp; Poor's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rPr>
              <w:t>"AAA"</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rPr>
              <w:t>"AA"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260" w:type="dxa"/>
            <w:vAlign w:val="bottom"/>
          </w:tcPr>
          <w:p>
            <w:pPr>
              <w:jc w:val="center"/>
              <w:spacing w:after="0"/>
              <w:rPr>
                <w:sz w:val="20"/>
                <w:szCs w:val="20"/>
                <w:color w:val="auto"/>
              </w:rPr>
            </w:pPr>
            <w:r>
              <w:rPr>
                <w:rFonts w:ascii="Arial" w:cs="Arial" w:eastAsia="Arial" w:hAnsi="Arial"/>
                <w:sz w:val="18"/>
                <w:szCs w:val="18"/>
                <w:color w:val="auto"/>
              </w:rPr>
              <w:t>"BBB"</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LIBOR + 1.50 %</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LIBOR + 3.25 %</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LIBOR + 4.25 %</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+ 5.25 %</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July, 2024</w:t>
            </w:r>
          </w:p>
        </w:tc>
      </w:tr>
      <w:tr>
        <w:trPr>
          <w:trHeight w:val="202"/>
        </w:trPr>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Classes</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C-1, D-1</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B-1, C-1, D-1</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and</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D-1 and</w:t>
            </w:r>
          </w:p>
        </w:tc>
        <w:tc>
          <w:tcPr>
            <w:tcW w:w="1260" w:type="dxa"/>
            <w:vAlign w:val="bottom"/>
            <w:shd w:val="clear" w:color="auto" w:fill="CCEEFF"/>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and Subordinated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Subordinated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Subordinated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81" w:right="39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The Company’s outstanding principal amounts, carrying values and fair values of the Class A-1, B-1, C-1 and D-1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June 30, 2014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3"/>
              </w:rPr>
              <w:t>Principal Amount</w:t>
            </w:r>
          </w:p>
        </w:tc>
        <w:tc>
          <w:tcPr>
            <w:tcW w:w="1480" w:type="dxa"/>
            <w:vAlign w:val="bottom"/>
            <w:gridSpan w:val="4"/>
          </w:tcPr>
          <w:p>
            <w:pPr>
              <w:ind w:left="12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80" w:type="dxa"/>
            <w:vAlign w:val="bottom"/>
          </w:tcPr>
          <w:p>
            <w:pPr>
              <w:spacing w:after="0"/>
              <w:rPr>
                <w:sz w:val="19"/>
                <w:szCs w:val="19"/>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KCAP Senior Funding LLC Class A-1 Notes</w:t>
            </w:r>
          </w:p>
        </w:tc>
        <w:tc>
          <w:tcPr>
            <w:tcW w:w="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77,250,000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75,160,295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76,129,875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8,756,539</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8,887,500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C-1 Notes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9,729,488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9,850,000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8,756,539</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8,910,000</w:t>
            </w:r>
          </w:p>
        </w:tc>
      </w:tr>
      <w:tr>
        <w:trPr>
          <w:trHeight w:val="223"/>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105,250,000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102,402,861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103,777,375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Fair Value of KCAP Senior Funding I, LLC.  </w:t>
      </w:r>
      <w:r>
        <w:rPr>
          <w:rFonts w:ascii="Arial" w:cs="Arial" w:eastAsia="Arial" w:hAnsi="Arial"/>
          <w:sz w:val="17"/>
          <w:szCs w:val="17"/>
          <w:color w:val="auto"/>
        </w:rPr>
        <w:t>The Company carries the KCAP Senior Funding-I Notes at cost, net of unamortized discount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$2,847,139. The fair value of the KCAP Senior Funding I, LLC Notes was approximately $103.8 million at June 30, 2014. The fair values were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third party indicative values. The KCAP Senior Funding I, LLC Notes are categorized as Level III under ASC 820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corporate level. As a RIC, the Company is also subject to a federal excise tax based on distributive requirements of its taxable income on a calendar year basis (e.g., calendar year 2014).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six months ended June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June 30, 2014</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(244,785)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not on GAAP books currently taxable</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84,665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not currently taxable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(77,495)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Expenses not currently deductible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283,359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16,186,909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 per weighted average basic shares for the period</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87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9900" w:type="dxa"/>
            <w:vAlign w:val="bottom"/>
            <w:tcBorders>
              <w:bottom w:val="single" w:sz="8" w:color="auto"/>
            </w:tcBorders>
            <w:gridSpan w:val="2"/>
          </w:tcPr>
          <w:p>
            <w:pPr>
              <w:jc w:val="right"/>
              <w:ind w:right="401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51" w:name="page52"/>
    <w:bookmarkEnd w:id="51"/>
    <w:p>
      <w:pPr>
        <w:ind w:right="40" w:firstLine="414"/>
        <w:spacing w:after="0" w:line="279" w:lineRule="auto"/>
        <w:rPr>
          <w:sz w:val="20"/>
          <w:szCs w:val="20"/>
          <w:color w:val="auto"/>
        </w:rPr>
      </w:pPr>
      <w:r>
        <w:rPr>
          <w:rFonts w:ascii="Arial" w:cs="Arial" w:eastAsia="Arial" w:hAnsi="Arial"/>
          <w:sz w:val="17"/>
          <w:szCs w:val="17"/>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amortization of discount on CLO Fund securities; (3) non-deductible expenses; (4) stock compensation expense that is not currently deductible for tax purposes; (5) excess of capital losses over capital gains; and (6) amortization of intangible assets and recognition of interest income on certain loans.</w:t>
      </w:r>
    </w:p>
    <w:p>
      <w:pPr>
        <w:spacing w:after="0" w:line="171" w:lineRule="exact"/>
        <w:rPr>
          <w:sz w:val="20"/>
          <w:szCs w:val="20"/>
          <w:color w:val="auto"/>
        </w:rPr>
      </w:pPr>
    </w:p>
    <w:p>
      <w:pPr>
        <w:ind w:right="120" w:firstLine="414"/>
        <w:spacing w:after="0" w:line="302" w:lineRule="auto"/>
        <w:rPr>
          <w:sz w:val="20"/>
          <w:szCs w:val="20"/>
          <w:color w:val="auto"/>
        </w:rPr>
      </w:pPr>
      <w:r>
        <w:rPr>
          <w:rFonts w:ascii="Arial" w:cs="Arial" w:eastAsia="Arial" w:hAnsi="Arial"/>
          <w:sz w:val="16"/>
          <w:szCs w:val="16"/>
          <w:color w:val="auto"/>
        </w:rPr>
        <w:t>Distributions to shareholders which exceed tax distributable income (tax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500" w:firstLine="414"/>
        <w:spacing w:after="0" w:line="277" w:lineRule="auto"/>
        <w:rPr>
          <w:sz w:val="20"/>
          <w:szCs w:val="20"/>
          <w:color w:val="auto"/>
        </w:rPr>
      </w:pPr>
      <w:r>
        <w:rPr>
          <w:rFonts w:ascii="Arial" w:cs="Arial" w:eastAsia="Arial" w:hAnsi="Arial"/>
          <w:sz w:val="18"/>
          <w:szCs w:val="18"/>
          <w:color w:val="auto"/>
        </w:rPr>
        <w:t>In July 2014, the Company made a distribution of $0.25 per share to shareholders. The estimated tax character of distributions paid during the six months ended June 30, 2014 and for the year ended December 31, 2013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6"/>
              </w:rPr>
              <w:t>Six months ended</w:t>
            </w: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w w:val="93"/>
              </w:rPr>
              <w:t>Year ended December</w:t>
            </w:r>
          </w:p>
        </w:tc>
      </w:tr>
      <w:tr>
        <w:trPr>
          <w:trHeight w:val="234"/>
        </w:trPr>
        <w:tc>
          <w:tcPr>
            <w:tcW w:w="3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445"/>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8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Distributions paid from:</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Ordinary income</w:t>
            </w:r>
          </w:p>
        </w:tc>
        <w:tc>
          <w:tcPr>
            <w:tcW w:w="226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16,186,909</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29,296,146</w:t>
            </w:r>
          </w:p>
        </w:tc>
        <w:tc>
          <w:tcPr>
            <w:tcW w:w="6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Return of Capital</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353,107</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5,864,993</w:t>
            </w:r>
          </w:p>
        </w:tc>
        <w:tc>
          <w:tcPr>
            <w:tcW w:w="60" w:type="dxa"/>
            <w:vAlign w:val="bottom"/>
            <w:shd w:val="clear" w:color="auto" w:fill="CCEEFF"/>
          </w:tcPr>
          <w:p>
            <w:pPr>
              <w:spacing w:after="0"/>
              <w:rPr>
                <w:sz w:val="19"/>
                <w:szCs w:val="19"/>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16,540,016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1</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35,161,139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the first quarter distribution paid in April and the second quarter distribution paid in July.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2014 and December 31, 2013, the components of accumulated earnings on a tax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As of June 30,</w:t>
            </w:r>
          </w:p>
        </w:tc>
        <w:tc>
          <w:tcPr>
            <w:tcW w:w="164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Distributable ordinary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932,532</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Capital loss carryforward</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66,116,923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66,361,708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(46,054,836)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(45,607,926)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June 20, 2014, the Company’s Board of Directors declared a distribution to shareholders of $0.25 per share for a total of $8.4 million. The record date was July 3, 2014 and the distribution was made on July 25, 2014.</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30, 2014, the Company had a net capital loss carryforward of $66 million to offset net capital gains, to the extent provided by federal tax law. The capital loss carryforward will begin to expire in the tax year ending December 31, 2015.</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2014, the Company had no outstanding commitments to make investments in delayed draw senior secured loans.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During the six months ended June 30, 2014 and 2013, the Company issued 37,115 and 37,932 shares, respectively, of common stock under its dividend reinvestment plan. As of June 30, 2014 and December 31, 2013, there were 623,983 and 272,998 shares of unvested restricted shares, respectively. There were 357,281 grants, 1,296 forfeitures, and 5,000 vested shares during the second quarter of 2014.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The total number of shares of the Company’s common stock issued and outstanding as of June 30, 2014 and December 31, 2013 was 33,725,223 and 33,332,123,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60" w:firstLine="41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and most recently in 2014, (the “Equity Incentive Plan”). The Company reserved 2,000,000 shares of common stock for issuance under the Equity Incentive Plan. The purpose of the Equity Incentive Plan is to provide officers and prospective employees of the Company with additional incentives and align the interests of its employees with those of its shareholders. Options that were granted under the Equity Incentive Plan are exercisable at a price equal to the fair market value (market closing price) of the shares on the day the option was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under the 2014 amended Equity Incentive Plan will vest in four equal installments of 25%, on each of the first four anniversaries of the grant date.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340" w:firstLine="414"/>
        <w:spacing w:after="0" w:line="259" w:lineRule="auto"/>
        <w:rPr>
          <w:sz w:val="20"/>
          <w:szCs w:val="20"/>
          <w:color w:val="auto"/>
        </w:rPr>
      </w:pPr>
      <w:r>
        <w:rPr>
          <w:rFonts w:ascii="Arial" w:cs="Arial" w:eastAsia="Arial" w:hAnsi="Arial"/>
          <w:sz w:val="18"/>
          <w:szCs w:val="18"/>
          <w:color w:val="auto"/>
        </w:rPr>
        <w:t>On June 20, 2014, the Company’s Board of Directors approved the amended and restated the Non-Employee Director Plan (the “Non-Employee Director Plan”) which was originally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Information with respect to options granted, exercised or forfeited under the Equity Incentive Plan for the period January 1, 2013 through June 30, 2014 is as follows: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3"/>
          </w:tcPr>
          <w:p>
            <w:pPr>
              <w:jc w:val="center"/>
              <w:ind w:right="220"/>
              <w:spacing w:after="0" w:line="183" w:lineRule="exact"/>
              <w:rPr>
                <w:sz w:val="20"/>
                <w:szCs w:val="20"/>
                <w:color w:val="auto"/>
              </w:rPr>
            </w:pPr>
            <w:r>
              <w:rPr>
                <w:rFonts w:ascii="Arial" w:cs="Arial" w:eastAsia="Arial" w:hAnsi="Arial"/>
                <w:sz w:val="18"/>
                <w:szCs w:val="18"/>
                <w:b w:val="1"/>
                <w:bCs w:val="1"/>
                <w:color w:val="auto"/>
                <w:w w:val="89"/>
              </w:rPr>
              <w:t>Exercise Price per</w:t>
            </w:r>
          </w:p>
        </w:tc>
        <w:tc>
          <w:tcPr>
            <w:tcW w:w="180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3780" w:type="dxa"/>
            <w:vAlign w:val="bottom"/>
          </w:tcPr>
          <w:p>
            <w:pPr>
              <w:spacing w:after="0"/>
              <w:rPr>
                <w:sz w:val="23"/>
                <w:szCs w:val="23"/>
                <w:color w:val="auto"/>
              </w:rPr>
            </w:pPr>
          </w:p>
        </w:tc>
        <w:tc>
          <w:tcPr>
            <w:tcW w:w="1160" w:type="dxa"/>
            <w:vAlign w:val="bottom"/>
          </w:tcPr>
          <w:p>
            <w:pPr>
              <w:ind w:left="62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Share</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center"/>
              <w:ind w:right="280"/>
              <w:spacing w:after="0" w:line="266" w:lineRule="exact"/>
              <w:rPr>
                <w:sz w:val="20"/>
                <w:szCs w:val="20"/>
                <w:color w:val="auto"/>
              </w:rPr>
            </w:pPr>
            <w:r>
              <w:rPr>
                <w:rFonts w:ascii="Arial" w:cs="Arial" w:eastAsia="Arial" w:hAnsi="Arial"/>
                <w:sz w:val="18"/>
                <w:szCs w:val="18"/>
                <w:b w:val="1"/>
                <w:bCs w:val="1"/>
                <w:color w:val="auto"/>
                <w:w w:val="89"/>
              </w:rPr>
              <w:t>Intrinsic Value</w:t>
            </w:r>
            <w:r>
              <w:rPr>
                <w:rFonts w:ascii="Arial" w:cs="Arial" w:eastAsia="Arial" w:hAnsi="Arial"/>
                <w:sz w:val="30"/>
                <w:szCs w:val="30"/>
                <w:color w:val="auto"/>
                <w:w w:val="89"/>
                <w:vertAlign w:val="superscript"/>
              </w:rPr>
              <w:t>1</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2013</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8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127,600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8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144,400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Total vested at June 30, 2014</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50"/>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7.72</w:t>
            </w:r>
          </w:p>
        </w:tc>
        <w:tc>
          <w:tcPr>
            <w:tcW w:w="1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six months ended June 30, 2014 and 2013, the Company did not recognize any non-cash compensation expense related to stock options. At June 30, 2014, the Company had no remaining compensation cost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June 10, 2011, pursuant to the Non-Employee Director Plan, the Board of Directors approved the grant of 4,000 shares of restricted stock to the non-employee directors of the Company as partial annual compensation for their services as director.</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15, 2012, 5,000 shares of restricted stock were awarded to the Company’s Board of Directors.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2012, the Company’s Board of Directors approved the grant of 29,757 shares of restricted stock to employees of the Company as partial compensation for their services. 50% of such shares will vest on the third anniversary of the grant date and the remainder will vest on the fourth anniversary of the grant date.</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20, 2014, 5,000 shares of restricted stock were awarded to the Company’s Board of Directors.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June 20, 2014, the Company’s Board of Directors approved the grant of 357,281 shares of restricted stock to the employees of the Company as partial compensation for their services. 25% of such awards will vest on each of the first four anniversaries of the grant date. During the six months ended June 30, 2014, 5,000 shares of restricted stock vested and 1,296 shares of restricted stock were forfeited.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right="32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2013 through June 30, 2014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Non-vested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Restricted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non-vested shares at June 30, 2014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623,983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14"/>
        <w:spacing w:after="0" w:line="302" w:lineRule="auto"/>
        <w:rPr>
          <w:sz w:val="20"/>
          <w:szCs w:val="20"/>
          <w:color w:val="auto"/>
        </w:rPr>
      </w:pPr>
      <w:r>
        <w:rPr>
          <w:rFonts w:ascii="Arial" w:cs="Arial" w:eastAsia="Arial" w:hAnsi="Arial"/>
          <w:sz w:val="16"/>
          <w:szCs w:val="16"/>
          <w:color w:val="auto"/>
        </w:rPr>
        <w:t>For the six months ended June 30, 2014, non-cash compensation expense related to restricted stock was approximately $413,000; of this amount approximately $218,000 was expensed at the Company, and approximately $195,000 was a reimbursable expense allocated to the Asset Manager Affiliates. For the six months ended June 30, 2013, non-cash compensation expense related to restricted stock was approximately $151,000; of this amount approximately $82,000 was expensed at the Company and approximately $69,000 was a reimbursable expense allocated to the Asset Manager Affiliates.</w:t>
      </w:r>
    </w:p>
    <w:p>
      <w:pPr>
        <w:spacing w:after="0" w:line="154" w:lineRule="exact"/>
        <w:rPr>
          <w:sz w:val="20"/>
          <w:szCs w:val="20"/>
          <w:color w:val="auto"/>
        </w:rPr>
      </w:pPr>
    </w:p>
    <w:p>
      <w:pPr>
        <w:ind w:firstLine="41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June 30, 2014, the company had approximately $4.8 million of total unrecognized compensation cost related to non-vested share-based awards. That cost is expected to be recognized over a weighted average period of 3.9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$35,000 and $22,000 was expensed during the six months ended June 30, 2014 and 2013, respectively, related to the 401K Plan.</w:t>
      </w:r>
    </w:p>
    <w:p>
      <w:pPr>
        <w:spacing w:after="0" w:line="18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$124,000 and $90,000 was expensed during the six months ended June 30, 2014 and 2013, respectively, related to the Profit-Sharing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June 30, 2014 for items that should potentially be recognized or disclosed in these consolidated financial statements.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5" w:name="page56"/>
    <w:bookmarkEnd w:id="55"/>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87" w:lineRule="auto"/>
        <w:rPr>
          <w:sz w:val="20"/>
          <w:szCs w:val="20"/>
          <w:color w:val="auto"/>
        </w:rPr>
      </w:pPr>
      <w:r>
        <w:rPr>
          <w:rFonts w:ascii="Arial" w:cs="Arial" w:eastAsia="Arial" w:hAnsi="Arial"/>
          <w:sz w:val="16"/>
          <w:szCs w:val="16"/>
          <w:color w:val="auto"/>
        </w:rPr>
        <w:t>The information contained in this section should be read in conjunction with our consolidated financial statements and notes thereto appearing elsewhere in this Quarterly Report and in conjunction with the consolidated financial statements and notes thereto in the Company’s Form 10-K for the year ended December 31, 2013,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69" w:lineRule="exact"/>
        <w:rPr>
          <w:sz w:val="20"/>
          <w:szCs w:val="20"/>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20" w:right="480" w:hanging="331"/>
        <w:spacing w:after="0" w:line="277"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2013.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Act of 1940 (the “1940 Act”). We have three principal areas of investments:</w:t>
      </w:r>
    </w:p>
    <w:p>
      <w:pPr>
        <w:spacing w:after="0" w:line="211"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First, we originate, structure, and invest in senior secured term loans, mezzanine debt and selected equity securities primarily in privately-held middle market companies (the “Debt Securities Portfolio”).</w:t>
      </w:r>
    </w:p>
    <w:p>
      <w:pPr>
        <w:spacing w:after="0" w:line="170"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Second, we have invested in wholly-owned asset management companies (Katonah Debt Advisors, L.L.C., and Trimaran Advisors, L.L.C., collectively the “Asset Manager Affiliates”).</w:t>
      </w:r>
    </w:p>
    <w:p>
      <w:pPr>
        <w:spacing w:after="0" w:line="170"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Third, we invest in debt and equity securities issued by CLO Funds managed by our Asset Manager Affiliates or by other asset managers (the “CLO Fund Securities”).</w:t>
      </w:r>
    </w:p>
    <w:p>
      <w:pPr>
        <w:spacing w:after="0" w:line="170" w:lineRule="exact"/>
        <w:rPr>
          <w:sz w:val="20"/>
          <w:szCs w:val="20"/>
          <w:color w:val="auto"/>
        </w:rPr>
      </w:pPr>
    </w:p>
    <w:p>
      <w:pPr>
        <w:ind w:right="240" w:firstLine="270"/>
        <w:spacing w:after="0" w:line="271"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9" w:lineRule="exact"/>
        <w:rPr>
          <w:sz w:val="20"/>
          <w:szCs w:val="20"/>
          <w:color w:val="auto"/>
        </w:rPr>
      </w:pPr>
    </w:p>
    <w:p>
      <w:pPr>
        <w:ind w:right="280" w:firstLine="270"/>
        <w:spacing w:after="0" w:line="257" w:lineRule="auto"/>
        <w:rPr>
          <w:sz w:val="20"/>
          <w:szCs w:val="20"/>
          <w:color w:val="auto"/>
        </w:rPr>
      </w:pPr>
      <w:r>
        <w:rPr>
          <w:rFonts w:ascii="Arial" w:cs="Arial" w:eastAsia="Arial" w:hAnsi="Arial"/>
          <w:sz w:val="18"/>
          <w:szCs w:val="18"/>
          <w:color w:val="auto"/>
        </w:rPr>
        <w:t>From our Asset Manager Affiliates investment, we expect to receive recurring dividend distributions and to generate capital appreciation through the addition of new collateralized loan obligation funds (“CLO Funds”) to manage. The Asset Manager Affiliates manage CLO Funds which invest in broadly syndicated loans, high-yield bonds and other credit instruments. Collectively the Asset Manager Affiliates have approximately $3.25 billion of par value assets under management as of June 30, 2014. The Asset Manager Affiliates are registered under the Investment Advisers Act of 1940, and are managed independently from the Company by a separate portfolio management team.</w:t>
      </w:r>
    </w:p>
    <w:p>
      <w:pPr>
        <w:spacing w:after="0" w:line="188"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jc w:val="both"/>
        <w:ind w:right="360" w:firstLine="270"/>
        <w:spacing w:after="0" w:line="264" w:lineRule="auto"/>
        <w:rPr>
          <w:sz w:val="20"/>
          <w:szCs w:val="20"/>
          <w:color w:val="auto"/>
        </w:rPr>
      </w:pPr>
      <w:r>
        <w:rPr>
          <w:rFonts w:ascii="Arial" w:cs="Arial" w:eastAsia="Arial" w:hAnsi="Arial"/>
          <w:sz w:val="18"/>
          <w:szCs w:val="18"/>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June 30, 2014 was $7.67. On June 30, 2014, the last reported sale price of a share of our common stock on The NASDAQ Global Select Market was $8.49.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invest in broadly syndicated loans, high-yield bonds and other credit instruments, and (3) CLO Fund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6"/>
          <w:szCs w:val="16"/>
          <w:color w:val="auto"/>
        </w:rPr>
        <w:t>Total portfolio investment activity (excluding activity in time deposit and money market investments) for the six months ended June 30, 2014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for the year ended December 31, 2013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Affiliates</w:t>
            </w:r>
          </w:p>
        </w:tc>
        <w:tc>
          <w:tcPr>
            <w:tcW w:w="2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Total Portfolio</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111,037,882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8,020,716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279,558,105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2013 Activity: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 originations /draws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232,226,295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11,957,500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3,813,838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217,212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248,214,845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Pay-downs / pay-offs / sales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(80,089,537)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(623,403)</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(2,882,106)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(83,595,046)</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accretion of interest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454,998</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(11,538,868)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(551,636)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(12,090,504)</w:t>
            </w: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14,956,101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(15,355,828)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2,605,586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(1,311,212)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894,647</w:t>
            </w:r>
          </w:p>
        </w:tc>
        <w:tc>
          <w:tcPr>
            <w:tcW w:w="80" w:type="dxa"/>
            <w:vAlign w:val="bottom"/>
            <w:shd w:val="clear" w:color="auto" w:fill="CCEEFF"/>
          </w:tcPr>
          <w:p>
            <w:pPr>
              <w:spacing w:after="0"/>
              <w:rPr>
                <w:sz w:val="19"/>
                <w:szCs w:val="19"/>
                <w:color w:val="auto"/>
              </w:rPr>
            </w:pPr>
          </w:p>
        </w:tc>
      </w:tr>
      <w:tr>
        <w:trPr>
          <w:trHeight w:val="210"/>
        </w:trPr>
        <w:tc>
          <w:tcPr>
            <w:tcW w:w="4120" w:type="dxa"/>
            <w:vAlign w:val="bottom"/>
          </w:tcPr>
          <w:p>
            <w:pPr>
              <w:ind w:left="180"/>
              <w:spacing w:after="0"/>
              <w:rPr>
                <w:sz w:val="20"/>
                <w:szCs w:val="20"/>
                <w:color w:val="auto"/>
              </w:rPr>
            </w:pPr>
            <w:r>
              <w:rPr>
                <w:rFonts w:ascii="Arial" w:cs="Arial" w:eastAsia="Arial" w:hAnsi="Arial"/>
                <w:sz w:val="18"/>
                <w:szCs w:val="18"/>
                <w:color w:val="auto"/>
              </w:rPr>
              <w:t>Fair Value at December 31, 2013</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266,830,427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433,437,045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 originations /draws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74,490,079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12,521,847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1,051,643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88,609,548</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Pay-downs / pay-offs / sales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(86,280,373)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(612,370)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(3,516,700)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(90,409,443)</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accretion of interest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142,473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379,922</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realized gains (losses)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244,784</w:t>
            </w:r>
          </w:p>
        </w:tc>
        <w:tc>
          <w:tcPr>
            <w:tcW w:w="80" w:type="dxa"/>
            <w:vAlign w:val="bottom"/>
          </w:tcPr>
          <w:p>
            <w:pPr>
              <w:spacing w:after="0"/>
              <w:rPr>
                <w:sz w:val="18"/>
                <w:szCs w:val="18"/>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499,319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226,728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(1,391,979)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(446,909)</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Fair Value at June 30, 2014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256,023,078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91,730,898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8,758,971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75,302,000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431,814,947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2014 and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Pr>
          <w:p>
            <w:pPr>
              <w:spacing w:after="0"/>
              <w:rPr>
                <w:sz w:val="20"/>
                <w:szCs w:val="20"/>
                <w:color w:val="auto"/>
              </w:rPr>
            </w:pPr>
          </w:p>
        </w:tc>
        <w:tc>
          <w:tcPr>
            <w:tcW w:w="280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89"/>
              </w:rPr>
              <w:t>June 30, 2014 (unaudited)</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88"/>
              </w:rPr>
              <w:t>December 31, 2013</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2"/>
              </w:rPr>
              <w:t>Fair Value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10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5,610,941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Loan</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159,600,198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153,304,076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175,021,272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168,188,453</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47,500,076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45,264,099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50,831,407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48,443,384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Unsecured Loan</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27,013,567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27,013,567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23,000,000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23,000,000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2,952,225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2,398,500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2,948,332</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2,546,400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4,272,110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4,293,098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1,037,707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1,051,540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10,946,659</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11,433,738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10,855,804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11,381,100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Bond</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1,517,375</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1,605,000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1,519,072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1,619,550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113,748,903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91,730,898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101,696,950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79,452,220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Equity Securities</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16,289,233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8,758,971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18,755,684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11,006,398</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10,104,717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10,711,000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200" w:type="dxa"/>
            <w:vAlign w:val="bottom"/>
            <w:gridSpan w:val="3"/>
          </w:tcPr>
          <w:p>
            <w:pPr>
              <w:jc w:val="right"/>
              <w:ind w:right="100"/>
              <w:spacing w:after="0"/>
              <w:rPr>
                <w:sz w:val="20"/>
                <w:szCs w:val="20"/>
                <w:color w:val="auto"/>
              </w:rPr>
            </w:pPr>
            <w:r>
              <w:rPr>
                <w:rFonts w:ascii="Arial" w:cs="Arial" w:eastAsia="Arial" w:hAnsi="Arial"/>
                <w:sz w:val="18"/>
                <w:szCs w:val="18"/>
                <w:color w:val="auto"/>
              </w:rPr>
              <w:t>83,924,720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75,302,000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83,378,741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76,148,000</w:t>
            </w:r>
          </w:p>
        </w:tc>
        <w:tc>
          <w:tcPr>
            <w:tcW w:w="200" w:type="dxa"/>
            <w:vAlign w:val="bottom"/>
          </w:tcPr>
          <w:p>
            <w:pPr>
              <w:spacing w:after="0"/>
              <w:rPr>
                <w:sz w:val="19"/>
                <w:szCs w:val="19"/>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$ 483,480,724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$ 437,425,888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$ 486,157,918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$ 440,549,994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3478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9"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2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At June 30, 2014 and December 31, 2013, our investments in income producing loans and debt securities, excluding CLO Fund securities, had a weighted average interest rate of approximately 7.7% and 7.3%, respectively.</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June 30, 2014 was spread across 24 different industries and 86 different entities with an average balance per entity of approximately $3.6 million. As of June 30, 2014, all but four of our portfolio companies were current on their debt service obligations.</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public companies. The investments in our Debt Securities Portfolio are all or predominantly below investment grade, and therefore have speculative characteristics with respect to the issuer’s capacity to pay interest and repay principal.</w:t>
      </w:r>
    </w:p>
    <w:p>
      <w:pPr>
        <w:spacing w:after="0" w:line="14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At June 30, 2014, our ten largest portfolio companies represented approximately 43% of the total fair value of our investments. Our largest investment, the Asset Manager Affiliates, which are our wholly-owned portfolio companies represented 17% of the total fair value of our investments. Excluding the Asset Manager Affiliates and CLO Fund Securities, our ten largest portfolio companies represent approximately 17% of the total fair value of our investments.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2014 and December 31, 2013,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1"/>
              </w:rPr>
              <w:t>June 30, 2014 (unaudited)</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9"/>
              </w:rPr>
              <w:t>December 31, 2013³</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38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EEFF"/>
            </w:tcBorders>
          </w:tcPr>
          <w:p>
            <w:pPr>
              <w:spacing w:after="0"/>
              <w:rPr>
                <w:sz w:val="21"/>
                <w:szCs w:val="2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9,238,709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8,331,245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9,244,538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8,100,895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83,924,720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75,302,000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83,378,741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76,148,000</w:t>
            </w:r>
          </w:p>
        </w:tc>
        <w:tc>
          <w:tcPr>
            <w:tcW w:w="220" w:type="dxa"/>
            <w:vAlign w:val="bottom"/>
          </w:tcPr>
          <w:p>
            <w:pPr>
              <w:spacing w:after="0"/>
              <w:rPr>
                <w:sz w:val="22"/>
                <w:szCs w:val="22"/>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14,929,935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14,980,721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15,248,090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15,306,403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30,822,276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30,908,188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30,859,620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31,011,964</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24,392,212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24,607,779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33,758,684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34,026,889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Capital Equipment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11,453,990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12,392,098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11,450,641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11,792,925</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3,397,266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3,415,763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2,921,597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2,906,601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113,748,903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91,730,898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101,696,950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79,452,220</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18,152,025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119,659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18,224,720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190,244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1,382,237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7,713,071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9,751,622</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20,587,792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20,086,205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18,864,695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18,266,939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Energy: Oil &amp; Gas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2,486,078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3,816,887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11,734,558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12,930,563</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10,866,389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10,913,691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6,937,663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6,965,896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5,931,335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31,935,545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32,208,851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24,146,383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24,061,764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6,908,414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7,199,856</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15,279,291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15,388,010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17,989,624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17,989,034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2,819,674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2,410,660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3,825,126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3,466,520</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13,565,775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13,841,894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12,797,615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13,035,590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9,626,659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9,627,106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9,853,341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9,915,921</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1,382,030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1,222,655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3,364,579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3,325,032</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8,494,861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2,984,555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2,999,791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Services: Consumer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5,583,736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4,516,189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5,703,581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4,616,678</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13,120,855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13,178,590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17,251,743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17,337,834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4</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5,610,941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5,610,941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220" w:type="dxa"/>
            <w:vAlign w:val="bottom"/>
          </w:tcPr>
          <w:p>
            <w:pPr>
              <w:spacing w:after="0"/>
              <w:rPr>
                <w:sz w:val="22"/>
                <w:szCs w:val="22"/>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20,088,919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20,735,373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16,030,051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16,643,254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5,812,245</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5,896,883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5,927,826</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5,993,610</w:t>
            </w:r>
          </w:p>
        </w:tc>
        <w:tc>
          <w:tcPr>
            <w:tcW w:w="22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483,480,724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437,425,888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486,157,918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440,549,994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9" w:name="page60"/>
    <w:bookmarkEnd w:id="59"/>
    <w:p>
      <w:pPr>
        <w:ind w:left="340" w:hanging="332"/>
        <w:spacing w:after="0"/>
        <w:tabs>
          <w:tab w:leader="none" w:pos="34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t>Calculated as a percentage of net asset value.</w:t>
      </w:r>
    </w:p>
    <w:p>
      <w:pPr>
        <w:ind w:left="340" w:hanging="332"/>
        <w:spacing w:after="0" w:line="180"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Represents the Asset Manager Affiliates.</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Certain prior year amounts have been reclassified to conform to the current year presentation.</w:t>
      </w:r>
    </w:p>
    <w:p>
      <w:pPr>
        <w:ind w:left="340" w:hanging="332"/>
        <w:spacing w:after="0" w:line="181"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360" w:firstLine="41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June 30, 2014, we had approximately $92 million invested in CLO Fund Securities, issued primarily by funds managed by our Asset Manager Affiliates.</w:t>
      </w:r>
    </w:p>
    <w:p>
      <w:pPr>
        <w:spacing w:after="0" w:line="16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June 30, 2014 and December 31, 2013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June 30, 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Grant Grove CLO, Ltd.</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4,715,553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1,398,172</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1,618,611</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3,320,000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4,484,693</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1,579,404</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4,499,793</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1,478,978</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3,378,005</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1,387,164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3,390,005</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1,230,731</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2,008,087</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777,822</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2,023,287</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829,739</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11,755,728</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5,714,906</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11,770,993</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5,932,163</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31,095,297</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27,991,513</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31,064,973</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27,758,379</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B-2L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1,327,169</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10,300,000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1,300,937</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9,740,000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3,524,200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2,733,495</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3,542,300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2,519,210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2,716,400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1,842,675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2,721,500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1,844,276</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Income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2,761,700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1,925,496</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2,784,200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1,981,948</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3,132,100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2,251,346</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3,133,900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2,513,261</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8,987,000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6,969,478</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8,943,900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6,846,520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F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3,885,051</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3,843,398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4,200,001</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9,365,700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8,762,580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9,960,400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8,225,100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3,036,200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2,973,750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11,464,500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9,683,361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E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1,407,446</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1,340,000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113,748,903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91,730,898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101,696,950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79,452,220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4" w:right="239" w:bottom="1440" w:gutter="0" w:footer="0" w:header="0"/>
        </w:sectPr>
      </w:pPr>
    </w:p>
    <w:bookmarkStart w:id="60" w:name="page61"/>
    <w:bookmarkEnd w:id="60"/>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June 30, 2014, this CLO Fund security was not providing a dividend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June 30, 2014, our Asset Manager Affiliates had approximately $3.25 billion of par value of assets under management on which they earn management fees, and were valued at approximately $75 million.</w:t>
      </w:r>
    </w:p>
    <w:p>
      <w:pPr>
        <w:spacing w:after="0" w:line="187" w:lineRule="exact"/>
        <w:rPr>
          <w:sz w:val="20"/>
          <w:szCs w:val="20"/>
          <w:color w:val="auto"/>
        </w:rPr>
      </w:pPr>
    </w:p>
    <w:p>
      <w:pPr>
        <w:ind w:right="540" w:firstLine="41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our Asset Manager Affiliates are currently receiving incentive fees from five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Dividends and Interest from Investments in CLO Fund Securities</w:t>
      </w:r>
      <w:r>
        <w:rPr>
          <w:rFonts w:ascii="Arial" w:cs="Arial" w:eastAsia="Arial" w:hAnsi="Arial"/>
          <w:sz w:val="17"/>
          <w:szCs w:val="17"/>
          <w:color w:val="auto"/>
        </w:rPr>
        <w:t>. We generate dividend income from our investments in the securities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consolidated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right="1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the Katonah 2007-I CLO of Class F notes of the Catamaran 2012-1,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distributions from our investment in our Asset Manager Affiliates, which are wholly-owned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also receive incentive fees provided such CLO Funds have achieved a minimum investment return to holders of their subordinated securities or preferred shares as per the terms of each CLO Fund management agreement.</w:t>
      </w:r>
    </w:p>
    <w:p>
      <w:pPr>
        <w:spacing w:after="0" w:line="1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Investment income for the three months ended June 30, 2014 and 2013 was approximately $13.2 million and $11.2 million, respectively. Of these amounts, approximately $5.2 million and $3.0 million was attributable to interest income on our Debt Securities Portfolio. Increases in interest income from 2013 to 2014 were due to higher average invested assets stemming primarily from capital raising activities.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Investment income for the six months ended June 30, 2014 and 2013 was approximately $26.6 million and $22.6 million, respectively. Of these amounts, approximately $10.4 million and $5.5 million was attributable to interest income on our Debt Securities Portfolio. Increases in interest income from 2013 to 2014 were due to higher average invested assets stemming primarily from capital raising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yield on the Debt Securities Portfolio was 7.7%, and 7.3%, as of June 30, 2014 and December 31, 2013, respectively.</w:t>
      </w:r>
    </w:p>
    <w:p>
      <w:pPr>
        <w:spacing w:after="0" w:line="23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three months ended June 30, 2014 and 2013, approximately $4.9 million of dividend income was attributable to investments in CLO Fund securities. For the six months ended June 30, 2014 and 2013, approximately $9.8 million and $10.8 million, respectively, of dividend income was attributable to investments in CLO Fund securities. 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9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Distributions from our Asset Manager Affiliates are recorded as “Distributions from Asset Manager Affiliates” in our Statement of Operations. For the three months ended June 30, 2014 and 2013, we recognized distribution income of $3.0 million and $3.3 million from the Asset Manager Affiliates, respectively. For the six months ended June 30, 2014 and 2013, we recognized income of $6.0 million and $6.3 million from the Asset Manager Affiliates,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62" w:name="page63"/>
    <w:bookmarkEnd w:id="62"/>
    <w:p>
      <w:pPr>
        <w:ind w:right="20" w:firstLine="324"/>
        <w:spacing w:after="0" w:line="271" w:lineRule="auto"/>
        <w:rPr>
          <w:sz w:val="20"/>
          <w:szCs w:val="20"/>
          <w:color w:val="auto"/>
        </w:rPr>
      </w:pPr>
      <w:r>
        <w:rPr>
          <w:rFonts w:ascii="Arial" w:cs="Arial" w:eastAsia="Arial" w:hAnsi="Arial"/>
          <w:sz w:val="17"/>
          <w:szCs w:val="17"/>
          <w:color w:val="auto"/>
        </w:rPr>
        <w:t>The Asset Manager Affiliates are expected to pay future dividends to the Company based upon their operating cash flow, which generally will be dependent upon the maintenance and growth in their assets under management. The fair value of our investment in our Asset Manager Affiliates decreased by $1.4 million during the six months ended June 30, 2014 and increased by $10.0 million during the six months ended June 30, 2013.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assets under management by our Asset Manager Affiliates was $3.25 billion and $3.2 billion as of June 30, 2014 and December 31, 2013,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contractual term of the borrowing.</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Total expenses for the three months ended June 30, 2014 and 2013 were approximately $5.2 million and $4.7 million, respectively. Interest expense and amortization on debt issuance costs for the periods, were approximately $2.9 million and $2.3 million, respectively, on average debt outstanding of $196 million and $108 million, respectively.</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the three months ended June 30, 2014 and 2013, approximately $1.2 million and $1.1 million, respectively, of expenses were attributable to employee compensation, including salaries, bonuses, employee benefits, payroll taxes and stock-based compensation expense. For the three months ended June 30,</w:t>
      </w:r>
    </w:p>
    <w:p>
      <w:pPr>
        <w:ind w:right="60"/>
        <w:spacing w:after="0" w:line="255" w:lineRule="auto"/>
        <w:rPr>
          <w:sz w:val="20"/>
          <w:szCs w:val="20"/>
          <w:color w:val="auto"/>
        </w:rPr>
      </w:pPr>
      <w:r>
        <w:rPr>
          <w:rFonts w:ascii="Arial" w:cs="Arial" w:eastAsia="Arial" w:hAnsi="Arial"/>
          <w:sz w:val="18"/>
          <w:szCs w:val="18"/>
          <w:color w:val="auto"/>
        </w:rPr>
        <w:t>2014 and 2013, respectively, professional fees and insurance expenses totaled approximately $657,000 and $779,000. Administrative costs, which include occupancy expense, technology and other office expenses, totaled approximately $399,000 and $513,000 for the three months ended June 30, 2014 and 2013, respectively.</w:t>
      </w:r>
    </w:p>
    <w:p>
      <w:pPr>
        <w:spacing w:after="0" w:line="19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Total expenses for the six months ended June 30, 2014 and 2013 were approximately $10.7 million and $9.1 million, respectively. Interest expense and amortization on debt issuance costs for the periods, were approximately $5.9 million and $4.5 million, respectively, on average debt outstanding of $196 million and $105 million, respectively.</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the six months ended June 30, 2014 and 2013, approximately $2.5 million and $2 million, respectively, of expenses were attributable to employee compensation, including salaries, bonuses, employee benefits, payroll taxes and stock-based compensation expense. The increase in compensation expense results from higher performance-based compensation and benefit plan expenses, as well as an increase in employee headcount. For the six months ended June 30, 2014 and 2013, respectively, professional fees and insurance expenses totaled approximately $1.5 million and $1.6 million. Administrative costs, which include occupancy expense, technology and other office expenses, totaled approximately $868,000 and $1 million for the six months ended June 30, 2014 and 2013,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investment income and net realized gains (losses) represents the stockholder’s equity before net unrealized appreciation or depreciation on investments. For the three months ended June 30, 2014, net investment income and net realized losses were approximately $8.0 million, or $0.24 per share. For the three months ended June 30, 2013, net investment income and net realized losses were approximately $5.0 million or $0.15 per share. For the six months ended June 30, 2014, net investment income and net realized gains were approximately $16.1 million, or $0.48 per share. For the six months ended June 30, 2013, net investment income and net realized losses were approximately $11.9 million or $0.38 per share. Net investment income represents the income earned on our investments less operating and interest expense before net realized gains or losses and unrealized appreciation or depreciation on investments. For the three months ended June 30, 2014, net investment income was approximately $8.0 million, or $0.24 per share. For the six months ended June 30, 2014, net investment income was approximately $15.9 million, or $0.48 per share.</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Generally, we seek to fund our distributions from net investment income. For the six months ended June 30, 2014, total distributions were $16.2 million, or $0.50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three months ended June 30, 2014, our total investments had net unrealized appreciation of approximately $4.3 million. During the three months ended June 30, 2013, our total investments had net unrealized appreciation of approximately $3.5 million. For the three months ended June 30, 2014, our Asset Manager Affiliates had net unrealized appreciation of approximately $1.2 million. For the three months ended June 30, 2013, our Asset Manager Affiliates had net unrealized appreciation of approximately $6.9 million. For the three months ended June 30, 2014, our middle market portfolio of debt securities and equity securities had net unrealized appreciation of approximately $1.6 million, compared with net unrealized appreciation of $1.2 million during the second quarter of 2013. For the three months ended June 30, 2014, our CLO Fund securities had net unrealized appreciation of approximately $1.4 million compared with net unrealized depreciation of $4.6 million during the second quarter of 2013.</w:t>
      </w:r>
    </w:p>
    <w:p>
      <w:pPr>
        <w:spacing w:after="0" w:line="17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During the six months ended June 30, 2014, our total investments had net unrealized depreciation of approximately $447,000. During the six months ended June 30, 2013, our total investments had net unrealized appreciation of approximately $3.9 million. For the six months ended June 30, 2014, our Asset Manager Affiliates had net unrealized depreciation of approximately $1.4 million. For the six months ended June 30, 2013, our Asset Manager Affiliates had net unrealized appreciation of approximately $10.0 million. For the six months ended June 30, 2014, our middle market portfolio of debt securities and equity securities had net unrealized appreciation of approximately $718,000, compared with net unrealized appreciation of $3.4 million during the six months ended June 30, 2013. For the six months ended June 30, 2014, our CLO Fund securities had net unrealized appreciation of approximately $227,000 compared with net unrealized depreciation of $9.5 million during the six months ended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net increase in stockholders’ equity resulting from operations for the three months ended June 30, 2014 was $12.3 million, or $0.37 per share. Net increase in stockholders’ equity resulting from operations for the three months ended June 30, 2013 was $8.5 million, or $0.26 per share.</w:t>
      </w:r>
    </w:p>
    <w:p>
      <w:pPr>
        <w:spacing w:after="0" w:line="147"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six months ended June 30, 2014 was $15.7 million, or $0.47 per share. Net increase in stockholders’ equity resulting from operations for the six months ended June 30, 2013 was $15.7 million, or $0.51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ind w:left="420"/>
        <w:spacing w:after="0"/>
        <w:rPr>
          <w:sz w:val="20"/>
          <w:szCs w:val="20"/>
          <w:color w:val="auto"/>
        </w:rPr>
      </w:pPr>
      <w:r>
        <w:rPr>
          <w:rFonts w:ascii="Arial" w:cs="Arial" w:eastAsia="Arial" w:hAnsi="Arial"/>
          <w:sz w:val="18"/>
          <w:szCs w:val="18"/>
          <w:color w:val="auto"/>
        </w:rPr>
        <w:t>As of June 30, 2014 and December 31, 2013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7"/>
          </w:tcPr>
          <w:p>
            <w:pPr>
              <w:ind w:left="44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3"/>
              </w:rPr>
              <w:t>June 30, 2014</w:t>
            </w: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 2013</w:t>
            </w:r>
          </w:p>
        </w:tc>
        <w:tc>
          <w:tcPr>
            <w:tcW w:w="60" w:type="dxa"/>
            <w:vAlign w:val="bottom"/>
            <w:gridSpan w:val="2"/>
          </w:tcPr>
          <w:p>
            <w:pPr>
              <w:spacing w:after="0"/>
              <w:rPr>
                <w:sz w:val="19"/>
                <w:szCs w:val="19"/>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2,310,589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3,433,675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5,610,941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7,112,949</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153,304,076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168,188,453</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Junior Secured Loan</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45,264,099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48,443,384</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27,013,567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23,000,000</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First Lien Bond</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2,398,500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2,546,400</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4,293,098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1,051,540</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Senior Secured Bond</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1,605,000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1,619,550</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11,433,738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11,381,100</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91,730,898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79,452,220</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8,758,971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11,006,398</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10,711,000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10,600,000</w:t>
            </w:r>
          </w:p>
        </w:tc>
        <w:tc>
          <w:tcPr>
            <w:tcW w:w="40" w:type="dxa"/>
            <w:vAlign w:val="bottom"/>
          </w:tcPr>
          <w:p>
            <w:pPr>
              <w:spacing w:after="0"/>
              <w:rPr>
                <w:sz w:val="18"/>
                <w:szCs w:val="18"/>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75,302,000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76,148,000</w:t>
            </w:r>
          </w:p>
        </w:tc>
        <w:tc>
          <w:tcPr>
            <w:tcW w:w="40" w:type="dxa"/>
            <w:vAlign w:val="bottom"/>
            <w:shd w:val="clear" w:color="auto" w:fill="CCEEFF"/>
          </w:tcPr>
          <w:p>
            <w:pPr>
              <w:spacing w:after="0"/>
              <w:rPr>
                <w:sz w:val="19"/>
                <w:szCs w:val="19"/>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439,736,477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443,983,669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June 30, 2014, we had approximately $195.7 million of par value of outstanding borrowings and our asset coverage ratio of total assets to total borrowings was 231%,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93" w:lineRule="exact"/>
        <w:rPr>
          <w:sz w:val="20"/>
          <w:szCs w:val="20"/>
          <w:color w:val="auto"/>
        </w:rPr>
      </w:pPr>
    </w:p>
    <w:p>
      <w:pPr>
        <w:ind w:right="240" w:firstLine="414"/>
        <w:spacing w:after="0" w:line="279" w:lineRule="auto"/>
        <w:rPr>
          <w:sz w:val="20"/>
          <w:szCs w:val="20"/>
          <w:color w:val="auto"/>
        </w:rPr>
      </w:pPr>
      <w:r>
        <w:rPr>
          <w:rFonts w:ascii="Arial" w:cs="Arial" w:eastAsia="Arial" w:hAnsi="Arial"/>
          <w:sz w:val="17"/>
          <w:szCs w:val="17"/>
          <w:color w:val="auto"/>
        </w:rPr>
        <w:t>The Convertible Notes are convertible into shares of the Company’s common stock. As of June 30, 2014, the conversion rate was 128.6773 shares of common stock per $1,000 principal amount of Convertible Notes, which is equivalent to a conversion price of approximately $7.77 per share of common stock. The conversion rate is subject to adjustment upon certain events. Upon conversion, the Company would issue the full amount of common stock or settle the conversion cash, at its option, and retire the full amount of debt outstanding.</w:t>
      </w:r>
    </w:p>
    <w:p>
      <w:pPr>
        <w:spacing w:after="0" w:line="171" w:lineRule="exact"/>
        <w:rPr>
          <w:sz w:val="20"/>
          <w:szCs w:val="20"/>
          <w:color w:val="auto"/>
        </w:rPr>
      </w:pPr>
    </w:p>
    <w:p>
      <w:pPr>
        <w:ind w:right="80" w:firstLine="414"/>
        <w:spacing w:after="0" w:line="291" w:lineRule="auto"/>
        <w:rPr>
          <w:sz w:val="20"/>
          <w:szCs w:val="20"/>
          <w:color w:val="auto"/>
        </w:rPr>
      </w:pPr>
      <w:r>
        <w:rPr>
          <w:rFonts w:ascii="Arial" w:cs="Arial" w:eastAsia="Arial" w:hAnsi="Arial"/>
          <w:sz w:val="16"/>
          <w:szCs w:val="16"/>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Due to the cash conversion option embedded in the Convertible Notes, the Company applied the guidance in ASC 470-40-20, Debt with Conversion and Other Options, and realized a loss on the extinguishment of this debt. For the six months ended June 30, 2014, there were no realized losses on extinguishment of debt. For the year ended December 31, 2013 total realized losses on extinguishment of debt were approximately $537,000. The indenture governing the Convertible Notes contains certain restrictive covenants, including compliance with certain provisions of the 1940 Act and conditions governing the undertaking of new debt.</w:t>
      </w:r>
    </w:p>
    <w:p>
      <w:pPr>
        <w:spacing w:after="0" w:line="167"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related to the Facility were written-off and are included in Realized Losses on Extinguishments of Debt.</w:t>
      </w:r>
    </w:p>
    <w:p>
      <w:pPr>
        <w:spacing w:after="0" w:line="181" w:lineRule="exact"/>
        <w:rPr>
          <w:sz w:val="20"/>
          <w:szCs w:val="20"/>
          <w:color w:val="auto"/>
        </w:rPr>
      </w:pPr>
    </w:p>
    <w:p>
      <w:pPr>
        <w:ind w:firstLine="414"/>
        <w:spacing w:after="0" w:line="291"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tests applicable to the Company as a BDC and a covenant that the Company agreed to in connection with the issuance of the7.375% Notes Due 2019, the Company is limited in its ability to make distributions in certain circumstances. At June 30, 2014,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5" w:name="page66"/>
    <w:bookmarkEnd w:id="65"/>
    <w:p>
      <w:pPr>
        <w:ind w:right="140" w:firstLine="41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On June 18, 2013, KCAP Senior Funding I, LLC, or Issuer,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These junior notes eliminate in consolidation and the remaining notes with a par value of $105 million, net of $2.8 million of unamortized discount, are reflected on our consolidated balance sheet. The indenture governing the KCAP Senior Funding I Notes contains an event of default that is triggered in the event that certain coverage tests are not met.</w:t>
      </w:r>
    </w:p>
    <w:p>
      <w:pPr>
        <w:spacing w:after="0" w:line="165"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w:t>
      </w:r>
    </w:p>
    <w:p>
      <w:pPr>
        <w:spacing w:after="0" w:line="187" w:lineRule="exact"/>
        <w:rPr>
          <w:sz w:val="20"/>
          <w:szCs w:val="20"/>
          <w:color w:val="auto"/>
        </w:rPr>
      </w:pPr>
    </w:p>
    <w:p>
      <w:pPr>
        <w:ind w:right="100" w:firstLine="414"/>
        <w:spacing w:after="0" w:line="291" w:lineRule="auto"/>
        <w:rPr>
          <w:sz w:val="20"/>
          <w:szCs w:val="20"/>
          <w:color w:val="auto"/>
        </w:rPr>
      </w:pPr>
      <w:r>
        <w:rPr>
          <w:rFonts w:ascii="Arial" w:cs="Arial" w:eastAsia="Arial" w:hAnsi="Arial"/>
          <w:sz w:val="16"/>
          <w:szCs w:val="16"/>
          <w:color w:val="auto"/>
        </w:rPr>
        <w:t>If our common stock trades below our net asset value per share, we will generally not be able to issue additional common stock at the market price unless our shareholders approve such a sale and our Board of Directors makes certain determinations. A proposal, approved by our stockholders (at a special stockholder meeting held on June 19, 2014 and continued on July 8, 2014) authorizes us to sell shares of our common stock below the then current net asset value per share of our common stock in one or more offerings for the period ending on the earlier of (i) July 8, 2015, or (ii) the date of our 2015 annual meeting of shareholders. For the same period, the Company adopted a policy that it will not seek approval from our Board of Directors to sell or otherwise issue more than 15% of the Company’s then outstanding shares of common stock at a price below its then current net asset value. We would need similar future approval from our shareholders to issue shares below the then current net asset value per share any time after the expiration of the current approval.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intend to continue to distribute quarterly distributions to our stockholders. To avoid certain excise taxes imposed on RICs, we currently intend to distribute during each calendar year an amount at least equal to the sum of:</w:t>
      </w:r>
    </w:p>
    <w:p>
      <w:pPr>
        <w:spacing w:after="0" w:line="170" w:lineRule="exact"/>
        <w:rPr>
          <w:sz w:val="20"/>
          <w:szCs w:val="20"/>
          <w:color w:val="auto"/>
        </w:rPr>
      </w:pPr>
    </w:p>
    <w:p>
      <w:pPr>
        <w:ind w:left="920" w:hanging="331"/>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320" w:firstLine="414"/>
        <w:spacing w:after="0" w:line="25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on our evaluation of both distributable income for tax purposes and GAAP net investment income (which excludes unrealized gains and losses). Generally, we seek to fund our distributions from GAAP current earnings, primarily from net interest and dividend income generated by our investment portfolio and without a return of capital or a high reliance on realized capital gains. Distributions to our stockholders during the years ended 2013 and 2012 included $5.8 million and $1.3 million, respectively, of tax-basis return of capital.</w:t>
      </w:r>
    </w:p>
    <w:p>
      <w:pPr>
        <w:spacing w:after="0" w:line="188" w:lineRule="exact"/>
        <w:rPr>
          <w:sz w:val="20"/>
          <w:szCs w:val="20"/>
          <w:color w:val="auto"/>
        </w:rPr>
      </w:pPr>
    </w:p>
    <w:p>
      <w:pPr>
        <w:ind w:right="400" w:firstLine="414"/>
        <w:spacing w:after="0" w:line="277" w:lineRule="auto"/>
        <w:rPr>
          <w:sz w:val="20"/>
          <w:szCs w:val="20"/>
          <w:color w:val="auto"/>
        </w:rPr>
      </w:pPr>
      <w:r>
        <w:rPr>
          <w:rFonts w:ascii="Arial" w:cs="Arial" w:eastAsia="Arial" w:hAnsi="Arial"/>
          <w:sz w:val="18"/>
          <w:szCs w:val="18"/>
          <w:color w:val="auto"/>
        </w:rPr>
        <w:t>The following table sets forth the quarterly distributions declared by us for the two most recently completed fiscal years and the current fiscal year, including distributions from the Asset Manager Affiliates received by the Company, if any.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Declaration</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Record</w:t>
            </w: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Pay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Distribution</w:t>
            </w:r>
          </w:p>
        </w:tc>
        <w:tc>
          <w:tcPr>
            <w:tcW w:w="16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6/20/2014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7/3/2014</w:t>
            </w:r>
          </w:p>
        </w:tc>
        <w:tc>
          <w:tcPr>
            <w:tcW w:w="1280" w:type="dxa"/>
            <w:vAlign w:val="bottom"/>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3/21/2014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4/4/2014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2014</w:t>
            </w: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12/13/2013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9/13/2013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10/8/2013</w:t>
            </w:r>
          </w:p>
        </w:tc>
        <w:tc>
          <w:tcPr>
            <w:tcW w:w="1280" w:type="dxa"/>
            <w:vAlign w:val="bottom"/>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6/17/2013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3/15/2013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4/5/2013</w:t>
            </w:r>
          </w:p>
        </w:tc>
        <w:tc>
          <w:tcPr>
            <w:tcW w:w="1280" w:type="dxa"/>
            <w:vAlign w:val="bottom"/>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12/17/2012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12/28/2012</w:t>
            </w:r>
          </w:p>
        </w:tc>
        <w:tc>
          <w:tcPr>
            <w:tcW w:w="1280" w:type="dxa"/>
            <w:vAlign w:val="bottom"/>
          </w:tcPr>
          <w:p>
            <w:pPr>
              <w:jc w:val="right"/>
              <w:spacing w:after="0"/>
              <w:rPr>
                <w:sz w:val="20"/>
                <w:szCs w:val="20"/>
                <w:color w:val="auto"/>
              </w:rPr>
            </w:pPr>
            <w:r>
              <w:rPr>
                <w:rFonts w:ascii="Arial" w:cs="Arial" w:eastAsia="Arial" w:hAnsi="Arial"/>
                <w:sz w:val="18"/>
                <w:szCs w:val="18"/>
                <w:color w:val="auto"/>
              </w:rPr>
              <w:t>1/28/2013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9/17/2012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10/10/2012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6/18/2012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7/6/2012</w:t>
            </w:r>
          </w:p>
        </w:tc>
        <w:tc>
          <w:tcPr>
            <w:tcW w:w="1280" w:type="dxa"/>
            <w:vAlign w:val="bottom"/>
          </w:tcPr>
          <w:p>
            <w:pPr>
              <w:jc w:val="right"/>
              <w:spacing w:after="0"/>
              <w:rPr>
                <w:sz w:val="20"/>
                <w:szCs w:val="20"/>
                <w:color w:val="auto"/>
              </w:rPr>
            </w:pPr>
            <w:r>
              <w:rPr>
                <w:rFonts w:ascii="Arial" w:cs="Arial" w:eastAsia="Arial" w:hAnsi="Arial"/>
                <w:sz w:val="18"/>
                <w:szCs w:val="18"/>
                <w:color w:val="auto"/>
              </w:rPr>
              <w:t>7/27/2012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3/16/2012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4/6/2012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declared in 2012</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June 30, 2014 and December 31, 2013, we did not have any such outstanding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Contractual</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line="191" w:lineRule="exact"/>
              <w:rPr>
                <w:sz w:val="20"/>
                <w:szCs w:val="20"/>
                <w:color w:val="auto"/>
              </w:rPr>
            </w:pPr>
            <w:r>
              <w:rPr>
                <w:rFonts w:ascii="Arial" w:cs="Arial" w:eastAsia="Arial" w:hAnsi="Arial"/>
                <w:sz w:val="18"/>
                <w:szCs w:val="18"/>
                <w:b w:val="1"/>
                <w:bCs w:val="1"/>
                <w:color w:val="auto"/>
                <w:w w:val="96"/>
              </w:rPr>
              <w:t>More than 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Obligations</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year</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1 - 3 years</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3 - 5 years</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years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$ 192,810,861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$ 49,008,000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$143,802,861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approximately $49.0 million of Convertible Notes, $41.4 million of 7.375% Notes Due 2019 and $102.4 Notes issued by KCAP Senior Funding I,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820" w:right="40" w:hanging="231"/>
        <w:spacing w:after="0" w:line="312"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820" w:right="140" w:hanging="231"/>
        <w:spacing w:after="0" w:line="297"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820" w:right="120" w:hanging="231"/>
        <w:spacing w:after="0" w:line="255"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8" w:name="page69"/>
    <w:bookmarkEnd w:id="68"/>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60" w:firstLine="414"/>
        <w:spacing w:after="0" w:line="255" w:lineRule="auto"/>
        <w:rPr>
          <w:sz w:val="20"/>
          <w:szCs w:val="20"/>
          <w:color w:val="auto"/>
        </w:rPr>
      </w:pPr>
      <w:r>
        <w:rPr>
          <w:rFonts w:ascii="Arial" w:cs="Arial" w:eastAsia="Arial" w:hAnsi="Arial"/>
          <w:sz w:val="18"/>
          <w:szCs w:val="18"/>
          <w:color w:val="auto"/>
        </w:rPr>
        <w:t>The Company’s investments in its wholly-owned asset management companies, the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93"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80" w:firstLine="41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414"/>
        <w:spacing w:after="0" w:line="279"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in conformity with GAAP.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ind w:firstLine="41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June 30, 2014, four issuers representing less than 1% of our total investments at fair value were on non-accrual status. As of December 31, 2013, five issuers representing less than 1% of our total investments at fair value were on non-accrual status.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CLO Fund Securities</w:t>
      </w:r>
    </w:p>
    <w:p>
      <w:pPr>
        <w:spacing w:after="0" w:line="225" w:lineRule="exact"/>
        <w:rPr>
          <w:sz w:val="20"/>
          <w:szCs w:val="20"/>
          <w:color w:val="auto"/>
        </w:rPr>
      </w:pPr>
    </w:p>
    <w:p>
      <w:pPr>
        <w:ind w:right="60" w:firstLine="414"/>
        <w:spacing w:after="0" w:line="287" w:lineRule="auto"/>
        <w:rPr>
          <w:sz w:val="20"/>
          <w:szCs w:val="20"/>
          <w:color w:val="auto"/>
        </w:rPr>
      </w:pPr>
      <w:r>
        <w:rPr>
          <w:rFonts w:ascii="Arial" w:cs="Arial" w:eastAsia="Arial" w:hAnsi="Arial"/>
          <w:sz w:val="16"/>
          <w:szCs w:val="16"/>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173"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Katonah 2007-I CLO and the class F notes of Catamaran 2012-1,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distributions from our Asset Manager Affiliates on the declaration date, which represents the ex-dividend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4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40" w:firstLine="414"/>
        <w:spacing w:after="0" w:line="302" w:lineRule="auto"/>
        <w:rPr>
          <w:sz w:val="20"/>
          <w:szCs w:val="20"/>
          <w:color w:val="auto"/>
        </w:rPr>
      </w:pPr>
      <w:r>
        <w:rPr>
          <w:rFonts w:ascii="Arial" w:cs="Arial" w:eastAsia="Arial" w:hAnsi="Arial"/>
          <w:sz w:val="16"/>
          <w:szCs w:val="16"/>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 During the second quarter of 2014, the Board of Directors authorized a grant of restricted stock to officers and employees comprised of 357,281 shares of restricted stock with an aggregate fair value of of approximately $2.9 million on the date of grant.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color w:val="auto"/>
        </w:rPr>
        <w:t>Distributions to common stockholders are recorded on the ex-dividend date. The amount to be paid out is determined by the Board of Directors each quarter and is generally based upon the earnings estimated by management for the period and year.</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207"/>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Our investment income is affected by fluctuations in various interest rates, including LIBOR and prime rates. As of June 30, 2014, approximately 95% of our debt securities portfolio were either fixed rate or floating rate with a spread to an interest rate index such as LIBOR or the prime rate. Most of these floating rate loans contain LIBOR floors ranging between 0.75% and 2.00%. We generally expect that future portfolio investments will predominately be floating rate investments.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we had $195.7 million of borrowings outstanding at a weighted average rate of 5.08%.</w:t>
      </w:r>
    </w:p>
    <w:p>
      <w:pPr>
        <w:spacing w:after="0" w:line="225" w:lineRule="exact"/>
        <w:rPr>
          <w:sz w:val="20"/>
          <w:szCs w:val="20"/>
          <w:color w:val="auto"/>
        </w:rPr>
      </w:pPr>
    </w:p>
    <w:p>
      <w:pPr>
        <w:ind w:right="180" w:firstLine="41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proportion of our debt associated with our Convertible Notes or Retail Notes would remain the same at 8.75% and 7.375%, respectively,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 Accordingly, there can be no assurance that a significant change in market interest rates will not have a material effect on our net investment income.</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2014 was to remain constant and no actions were taken to alter the existing interest rate sensitivity, the table below illustrates the impact on net investment income for various hypothetical increases in interest rates: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9"/>
          </w:tcPr>
          <w:p>
            <w:pPr>
              <w:jc w:val="center"/>
              <w:ind w:right="240"/>
              <w:spacing w:after="0"/>
              <w:rPr>
                <w:sz w:val="20"/>
                <w:szCs w:val="20"/>
                <w:color w:val="auto"/>
              </w:rPr>
            </w:pPr>
            <w:r>
              <w:rPr>
                <w:rFonts w:ascii="Arial" w:cs="Arial" w:eastAsia="Arial" w:hAnsi="Arial"/>
                <w:sz w:val="18"/>
                <w:szCs w:val="18"/>
                <w:color w:val="auto"/>
                <w:w w:val="90"/>
              </w:rPr>
              <w:t>Impact on net investment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(574,868)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212,087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1,105,241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189,710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189,710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189,710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1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$575,000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$212,000 and $1.1 million, respectively. Since the LIBOR rate underlying certain investments, as well as certain of our borrowings, is currently very low, it is unlikely that the underlying rate will decrease by 1% or 2% or even 3%. If the underlying rate decreased to 0%, it would result in approximately a $190,000 increase in net investment income.</w:t>
      </w:r>
    </w:p>
    <w:p>
      <w:pPr>
        <w:spacing w:after="0" w:line="178"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hold any derivative financial instruments for hedging purposes as of June 30,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During the quarter ended June 30, 2014, the Company had no changes in its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72" w:name="page73"/>
    <w:bookmarkEnd w:id="72"/>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2013.</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20"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June 30, 2014, we issued a total of 28,631 shares of common stock under our dividend reinvestment plan (“DRIP”). This issuance was not subject to the registration requirements of the Securities Act of 1933. For the three months ended June 30, 2014, the aggregate value of the shares of our common stock issued under our DRIP was approximately $232,770.</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77" w:right="419" w:bottom="1440" w:gutter="0" w:footer="0" w:header="0"/>
        </w:sectPr>
      </w:pPr>
    </w:p>
    <w:bookmarkStart w:id="73" w:name="page74"/>
    <w:bookmarkEnd w:id="73"/>
    <w:p>
      <w:pPr>
        <w:ind w:left="54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440" w:type="dxa"/>
            <w:vAlign w:val="bottom"/>
            <w:gridSpan w:val="2"/>
          </w:tcPr>
          <w:p>
            <w:pPr>
              <w:ind w:left="2420"/>
              <w:spacing w:after="0"/>
              <w:rPr>
                <w:sz w:val="20"/>
                <w:szCs w:val="20"/>
                <w:color w:val="auto"/>
              </w:rPr>
            </w:pPr>
            <w:r>
              <w:rPr>
                <w:rFonts w:ascii="Arial" w:cs="Arial" w:eastAsia="Arial" w:hAnsi="Arial"/>
                <w:sz w:val="18"/>
                <w:szCs w:val="18"/>
                <w:color w:val="auto"/>
              </w:rPr>
              <w:t>KCAP FINANCIAL, INC.</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Date: August 6, 2014</w:t>
            </w:r>
          </w:p>
        </w:tc>
        <w:tc>
          <w:tcPr>
            <w:tcW w:w="2880" w:type="dxa"/>
            <w:vAlign w:val="bottom"/>
          </w:tcPr>
          <w:p>
            <w:pPr>
              <w:ind w:left="24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48"/>
        </w:trPr>
        <w:tc>
          <w:tcPr>
            <w:tcW w:w="3980" w:type="dxa"/>
            <w:vAlign w:val="bottom"/>
          </w:tcPr>
          <w:p>
            <w:pPr>
              <w:spacing w:after="0"/>
              <w:rPr>
                <w:sz w:val="20"/>
                <w:szCs w:val="20"/>
                <w:color w:val="auto"/>
              </w:rPr>
            </w:pPr>
            <w:r>
              <w:rPr>
                <w:rFonts w:ascii="Arial" w:cs="Arial" w:eastAsia="Arial" w:hAnsi="Arial"/>
                <w:sz w:val="18"/>
                <w:szCs w:val="18"/>
                <w:color w:val="auto"/>
              </w:rPr>
              <w:t>Date: August 6, 2014</w:t>
            </w:r>
          </w:p>
        </w:tc>
        <w:tc>
          <w:tcPr>
            <w:tcW w:w="2880" w:type="dxa"/>
            <w:vAlign w:val="bottom"/>
          </w:tcPr>
          <w:p>
            <w:pPr>
              <w:ind w:left="2420"/>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86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2006 Equity Incentive Plan as Amended and Restated Effective June 20, 2014.**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Non-Employee Director Plan as Amended and Restated Effective June 20, 2014.**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Employee Restricted Stock Award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Executive Restricted Stock Award Agreement.**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 as adopted pursuant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Rule 13a-14(a) under the Securities Exchange Act of 1934, as adopted pursuant to Section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18 U. S. C. 1350, as adopted pursuant to Section 906 of the Sarbanes-Oxley Act of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Certification of Chief Financial Officer Pursuant to 18 U. S. C. 1350, as adopted pursuant to Section 906 of the Sarbanes-Oxley Act of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137160</wp:posOffset>
            </wp:positionV>
            <wp:extent cx="7289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June 20, 2014</w:t>
      </w:r>
    </w:p>
    <w:p>
      <w:pPr>
        <w:spacing w:after="0" w:line="211"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PURPOSE AND CERTAIN DEFINED TERMS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purpose of this 2006 Equity Incentive Plan, as Amended and Restated Effective June 20, 2014 (the “</w:t>
      </w:r>
      <w:r>
        <w:rPr>
          <w:rFonts w:ascii="Arial" w:cs="Arial" w:eastAsia="Arial" w:hAnsi="Arial"/>
          <w:sz w:val="16"/>
          <w:szCs w:val="16"/>
          <w:u w:val="single" w:color="auto"/>
          <w:color w:val="auto"/>
        </w:rPr>
        <w:t>Plan</w:t>
      </w:r>
      <w:r>
        <w:rPr>
          <w:rFonts w:ascii="Arial" w:cs="Arial" w:eastAsia="Arial" w:hAnsi="Arial"/>
          <w:sz w:val="16"/>
          <w:szCs w:val="16"/>
          <w:color w:val="auto"/>
        </w:rPr>
        <w:t>”) is to advance the interests of the Company (as defined below) by providing for the grant to employees and officers of Share-based awards, including without limitation options to acquire Shares (as defined below) and, to the extent permitted by exemptive or other relief that may be granted by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its staff, Restricted Shares (as defined below) and options to acquire Restricted Shares (collectively, the “</w:t>
      </w:r>
      <w:r>
        <w:rPr>
          <w:rFonts w:ascii="Arial" w:cs="Arial" w:eastAsia="Arial" w:hAnsi="Arial"/>
          <w:sz w:val="16"/>
          <w:szCs w:val="16"/>
          <w:u w:val="single" w:color="auto"/>
          <w:color w:val="auto"/>
        </w:rPr>
        <w:t>Awards</w:t>
      </w:r>
      <w:r>
        <w:rPr>
          <w:rFonts w:ascii="Arial" w:cs="Arial" w:eastAsia="Arial" w:hAnsi="Arial"/>
          <w:sz w:val="16"/>
          <w:szCs w:val="16"/>
          <w:color w:val="auto"/>
        </w:rPr>
        <w:t>”). At all times during such periods as the Company qualifies or intends to qualify as a “business development company” under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the terms of the Plan shall be construed so as to conform to the share-based compensation requirements applicable to “business development companies” under the 1940 Act. Any employee or officer selected to receive an Award under the Plan is referred to as a “participant.”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that stands in a relationship to the Company that would result in the Company and such corporation or other entity being treated as one employer under Section 414(b) or Section 414(c) of the Code, except that in determining eligibility for the grant of an Option by reason of service for an Affiliate, Sections 414(b) and 414(c) of the Code shall be applied by substituting “at least 50%” for “at least 80%” under Section 1563(a)(l), (2) and (3) of the Code and Treas. Regs.§ 1.414(c)-2; provided, that to the extent permitted under Section 409A, “at least 20%” shall be used in lieu of “at least 50%”; and further provided, that the lower ownership threshold described in this definition (50% or 20% as the case may be) shall apply only if the same definition of affiliation is used consistently with respect to all compensatory stock options or stock awards (whether under the Plan or another plan). The Company may at any time by amendment provide that different ownership thresholds (consistent with Section 409A) apply. Notwithstanding the foregoing provisions of this definition, except as otherwise determined by the Board, a corporation or other entity shall be treated as an Affiliate only if its employees would be treated as employees of the Company for purposes of the rules promulgated under the Securities Act of 1933, as amended, with respect to the use of Form S-8.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prior to Conversion, the board of managers of the LLC and, at and after Conversion, the board of directors of the Corporation.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prior to Conversion, the board of managers of the LLC and, at and after Conversion,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means the conversion of the LLC, pursuant to Section 265 of the Delaware General Corporation Law and Section 216 of the Delaware Limited Liability Company Act, to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means KCAP Financial, Inc., a Delaware corporation. The Corporation was formerly known as Kohlberg Capital Corporation.</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participant’s inability to perform his or her essential duties, responsibilities and functions of participant’s position with the Company (as determined by the Board in its good faith judgment, consistent with its policies and past practice) as a result of any mental or physical disability or incapacity even with responsible accommodations of such disability or incapacity provided by the Company or if providing such accommodations would be unreasonable.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w:t>
      </w:r>
      <w:r>
        <w:rPr>
          <w:rFonts w:ascii="Arial" w:cs="Arial" w:eastAsia="Arial" w:hAnsi="Arial"/>
          <w:sz w:val="18"/>
          <w:szCs w:val="18"/>
          <w:color w:val="auto"/>
        </w:rPr>
        <w:t>” means Kohlberg Capital,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 Plan</w:t>
      </w:r>
      <w:r>
        <w:rPr>
          <w:rFonts w:ascii="Arial" w:cs="Arial" w:eastAsia="Arial" w:hAnsi="Arial"/>
          <w:sz w:val="18"/>
          <w:szCs w:val="18"/>
          <w:color w:val="auto"/>
        </w:rPr>
        <w:t>” means the Company’s 2008 Non-Employee Director Plan, as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or, in the singular, “</w:t>
      </w:r>
      <w:r>
        <w:rPr>
          <w:rFonts w:ascii="Arial" w:cs="Arial" w:eastAsia="Arial" w:hAnsi="Arial"/>
          <w:sz w:val="17"/>
          <w:szCs w:val="17"/>
          <w:u w:val="single" w:color="auto"/>
          <w:color w:val="auto"/>
        </w:rPr>
        <w:t>Performance Criterion</w:t>
      </w:r>
      <w:r>
        <w:rPr>
          <w:rFonts w:ascii="Arial" w:cs="Arial" w:eastAsia="Arial" w:hAnsi="Arial"/>
          <w:sz w:val="17"/>
          <w:szCs w:val="17"/>
          <w:color w:val="auto"/>
        </w:rPr>
        <w:t>,” means specified criteria, other than the mere continuation of employment or the mere passage of time, the satisfaction of which is a condition for the grant, exercisability, vesting or full enjoyment of an Award. For purposes of Awards that are intended to qualify for the performance-based compensation exception under Section 162(m) of the Code,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of the Code, the Board may provide in the case of any A 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an award of Shares for so long as the Shares remain subject to restrictions requiring that they be forfeited to the Corporation if specified conditions are not satisfied.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prior to Conversion, the common units of the LLC and, at and after Conversion, the common stock, $.01 par value per share, of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means, prior to Conversion, the members of the LLC and, at and after Conversion, the shareholders of the Corporation.</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Plan shall be administered by the Board unless and until it delegates administration to a committee as provided herein; provided that a “required majority,” as defined in Section 57(o) of the 1940 Act, must approve each issuance of Awards and Dividend Equivalent Rights in accordance with Section 61(a)(3)(A)(iv) of the 1940 Act. The Board shall have discretionary authority, subject to the express provisions of the Plan, (a) to grant Awards to such Eligible Persons (defined below in Section 5 hereof) as the Board may select; (b) to determine the time or times when Awards shall be granted and the number of Shares subject to each Award; (c) to determine the terms and conditions of each Award; (d) to prescribe the form or forms of any instruments evidencing Awards and any other instruments required under the Plan and to change such forms from time to time; (e) to adopt, amend, and rescind rules and regulations for the administration of the Plan; and (f) to interpret the Plan and to decide any questions and settle all controversies and disputes that may arise in connection with the Plan. Such determinations of the Board shall be conclusive and shall bind all parties. Subject to Section 9 hereof, the Board shall also have the authority, both generally and in particular instances, to waive compliance by a participant with any obligation to be performed by him or her under an Award, to waive any condition or provision of an Award, and to amend or cancel any Award (and if an Award is canceled, to grant a new Award on such terms as the Board shall specify), except that the Board may not take any action with respect to an outstanding Award that would adversely affect the rights of the participant under such Award without such participant’s consent. Nothing in the preceding sentence shall be construed as limiting the power of the Board to make adjustments required by Sections 4 (d) and 6(i) hereof or by applicable law. In the case of any Award intended to be eligible for the performance-based compensation exception under Section 162(m)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 Board will exercise its discretion consistent with qualifying the A ward for that exception.</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in its discretion, delegate some or all of its powers with respect to the Plan to a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in which event all references (as appropriate) to the Board hereunder shall be deemed to refer to the Committee.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Determinations, interpretations and constructions made by the Board in good faith shall not be subject to review by any person and shall be final, binding and conclusive on all persons.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DATE AND TERM OF PLAN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including a “required majority” as defined in Section 57(o) of the 1940 Act, adopted the Plan on December 11, 2006, and amended and restated the Plan on February 5, 2008, and on June 20,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Awards shall be granted under the Plan after February 5, 2018, but Awards previously granted may extend beyond that date.</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SUBJECT TO THE PLAN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93"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 4(d), the aggregate number of Shares that may be the subject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Plan shall be 2,000,000. If an option Award granted under the Plan terminates without having been exercised in full, or upon exercise is satisfied other than by delivery of Shares, or if any Share Award is repurchased by the Company, the number of Shares as to which such Award was not exercised shall be available for future grants.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maximum number of Shares for which any option .Award may be granted to any person in any calendar year shall be 1,000,000. The maximum number of Shares that may be granted to any person under other Awards (if any and to the extent permitted under the 1940 Act) in any calendar year shall be 500,000. The foregoing provisions will be construed in a manner consistent with Section 162(m) of the Code (if applicable) and Section 61 of the 1940 Act.</w:t>
      </w:r>
    </w:p>
    <w:p>
      <w:pPr>
        <w:spacing w:after="0" w:line="147" w:lineRule="exact"/>
        <w:rPr>
          <w:sz w:val="20"/>
          <w:szCs w:val="20"/>
          <w:color w:val="auto"/>
        </w:rPr>
      </w:pPr>
    </w:p>
    <w:p>
      <w:pPr>
        <w:jc w:val="both"/>
        <w:ind w:firstLine="656"/>
        <w:spacing w:after="0" w:line="264" w:lineRule="auto"/>
        <w:tabs>
          <w:tab w:leader="none" w:pos="147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Shares to be Delivered</w:t>
      </w:r>
      <w:r>
        <w:rPr>
          <w:rFonts w:ascii="Arial" w:cs="Arial" w:eastAsia="Arial" w:hAnsi="Arial"/>
          <w:sz w:val="18"/>
          <w:szCs w:val="18"/>
          <w:color w:val="auto"/>
        </w:rPr>
        <w:t>. Shares delivered under the Plan shall be authorized but unissued Shares, or if the Board so decides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previously issued Shares acquired by the Company and held in its treasury. Any Shares acquired by the Company will be acquired in accordance with the 1940 Act, including Section 23 of the 1940 Act. No fractional Shares shall be delivered under the Plan.</w:t>
      </w:r>
    </w:p>
    <w:p>
      <w:pPr>
        <w:spacing w:after="0" w:line="181" w:lineRule="exact"/>
        <w:rPr>
          <w:rFonts w:ascii="Arial" w:cs="Arial" w:eastAsia="Arial" w:hAnsi="Arial"/>
          <w:sz w:val="18"/>
          <w:szCs w:val="18"/>
          <w:color w:val="auto"/>
        </w:rPr>
      </w:pPr>
    </w:p>
    <w:p>
      <w:pPr>
        <w:jc w:val="both"/>
        <w:ind w:firstLine="656"/>
        <w:spacing w:after="0" w:line="289" w:lineRule="auto"/>
        <w:tabs>
          <w:tab w:leader="none" w:pos="1347"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Limits on Number of Awards</w:t>
      </w:r>
      <w:r>
        <w:rPr>
          <w:rFonts w:ascii="Arial" w:cs="Arial" w:eastAsia="Arial" w:hAnsi="Arial"/>
          <w:sz w:val="16"/>
          <w:szCs w:val="16"/>
          <w:color w:val="auto"/>
        </w:rPr>
        <w:t>. The combined maximum amount of Restricted Stock that may be issued under the Plan will be 10%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on February 5, 2008, plus 10% of the number of Shares issued or delivered by the Company (other than pursuant to compensation plans) during the term of the Plan. No one person shall be granted more than 25% of the Restricted Stock reserved for issuance under this Plan. The amount of voting securities that would result from the exercise of all of the Company’s outstanding warrants, options and rights, together with any Restricted Shares issued pursuant to the Plan, at the time of issuance shall not exceed 25% of the outstanding voting securities of the Company, except that if the amount of voting securities that would result from the exercise of all the Company’s outstanding warrants, options and rights issued to the Company’s directors, officers and employees, together with any Restricted Shares issued pursuant to the Plan, would exceed 15% of the outstanding voting securities of the Company, the total amount of voting securities that would result from the exercise of all outstanding warrants, options and rights, together with any Restricted Shares issued pursuant to the Plan, at the time of issuance shall not exceed 20% of the outstanding voting securities of the Company.</w:t>
      </w:r>
    </w:p>
    <w:p>
      <w:pPr>
        <w:spacing w:after="0" w:line="382" w:lineRule="exact"/>
        <w:rPr>
          <w:rFonts w:ascii="Arial" w:cs="Arial" w:eastAsia="Arial" w:hAnsi="Arial"/>
          <w:sz w:val="16"/>
          <w:szCs w:val="16"/>
          <w:color w:val="auto"/>
        </w:rPr>
      </w:pPr>
    </w:p>
    <w:p>
      <w:pPr>
        <w:ind w:left="5660" w:hanging="96"/>
        <w:spacing w:after="0"/>
        <w:tabs>
          <w:tab w:leader="none" w:pos="5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jc w:val="both"/>
        <w:ind w:firstLine="656"/>
        <w:spacing w:after="0" w:line="259" w:lineRule="auto"/>
        <w:tabs>
          <w:tab w:leader="none" w:pos="126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Changes in Shares</w:t>
      </w:r>
      <w:r>
        <w:rPr>
          <w:rFonts w:ascii="Arial" w:cs="Arial" w:eastAsia="Arial" w:hAnsi="Arial"/>
          <w:sz w:val="18"/>
          <w:szCs w:val="18"/>
          <w:color w:val="auto"/>
        </w:rPr>
        <w:t>. In the event of a Share dividend, Share split or combination of Shares, recapitalization, or other change in the Shares,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and kind of Shares or securities of the Company subject to Awards then outstanding or subsequently granted under the Plan, the exercise price of such Awards, the maximum number of Shares or securities that may be delivered under the Plan, and other relevant provisions shall be appropriately adjusted by the Board, whose determination shall be binding on all persons.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may also adjust the number of Shares subject to outstanding Awards, the exercise price of outstanding Awards, and the terms of outstanding Awards, to take into consideration material changes in accounting practices or principles, extraordinary dividends, consolidations or mergers (except those described in Section 6(i)), acquisitions or dispositions of securities or property, or any other event if it is determined by the Board that such adjustment is appropriate to avoid distortion in the operation of the Plan; provided, however, that the exercise price of options granted under the Plan will not be adjusted unless the Company receives an exemptive order from the Commission or written confirmation from the staff of the Commission that the Company may do so. References in the Plan to Shares will be construed to include any units, any stock or any other securities resulting from an adjustment pursuant to this Section 4(d).</w:t>
      </w:r>
    </w:p>
    <w:p>
      <w:pPr>
        <w:spacing w:after="0" w:line="189"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AWARDS; ETC.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Persons eligible to receive Awards under the Plan (“</w:t>
      </w:r>
      <w:r>
        <w:rPr>
          <w:rFonts w:ascii="Arial" w:cs="Arial" w:eastAsia="Arial" w:hAnsi="Arial"/>
          <w:sz w:val="18"/>
          <w:szCs w:val="18"/>
          <w:u w:val="single" w:color="auto"/>
          <w:color w:val="auto"/>
        </w:rPr>
        <w:t>Eligible Persons</w:t>
      </w:r>
      <w:r>
        <w:rPr>
          <w:rFonts w:ascii="Arial" w:cs="Arial" w:eastAsia="Arial" w:hAnsi="Arial"/>
          <w:sz w:val="18"/>
          <w:szCs w:val="18"/>
          <w:color w:val="auto"/>
        </w:rPr>
        <w:t>”) shall be those key employees and officers of the Company and, to the extent permitted by exemptive or other relief that may be granted by the Commission or its staff, employees of wholly-owned consolidated subsidiaries of the Company who, in the opinion of the Board, are in a position to make a significant contribution to the success of the Company and its subsidiaries. A subsidiary for purposes of the Plan shall be a corporation, limited liability company or other entity in which the Company owns, directly or indirectly, equity securities possessing 50% or more of the total combined voting power of all classes of equity securities. Notwithstanding the foregoing, in the case of an Award that is an incentive option, an Eligible Person shall only be those employees of the Company or of a “parent corporation” or “subsidiary corporation” of the Company as those terms are defined in Section 424 of the Code.</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case of an Award of Restricted Shares (to the extent such Awards are permitted by exemptive relief or other relief that may be granted by the Commission or its staff) that is intended to qualify as performance-based for the purposes of Section 162(m) of the Code, the Plan and such Award will be construed to the maximum extent permitted by law in a manner consistent with qualifying the Award for such exception. With respect to such Awards, the Board will pre-establish, in writing, one or more specific Performance Criteria no later than 90 days after the commencement of the period of service to which the performance relates (or at such earlier time as is required to qualify the Award as performance-based under Section 162(m) of the Code). The Performance Criteria so established shall serve as a condition to either the grant of the Award or the vesting of Shares subject to the Award, as determined by the Board. Prior to grant or vesting, as the case may be, the Board will certify whether the Performance Criteria have been attained and such determination will be final and conclusive. If the Performance Criteria with respect to the Award are not attained, no other Award will be provided in substitution. No Award of Restricted Shares that is intended to qualify as performance-based for the purposes of section 162(m) of the Code may be granted after the first meeting of the Shareholders of the Company held in 2010 until the Performance Criteria have been resubmitted to and reapproved by the Shareholders of the Company in accordance with the requirements of Section 162(m) of the Code, unless such grant is made contingent upon such approval.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left="652" w:hanging="652"/>
        <w:spacing w:after="0"/>
        <w:tabs>
          <w:tab w:leader="none" w:pos="6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TERMS AND CONDITIONS OF A WARDS</w:t>
      </w:r>
    </w:p>
    <w:p>
      <w:pPr>
        <w:spacing w:after="0" w:line="225" w:lineRule="exact"/>
        <w:rPr>
          <w:rFonts w:ascii="Arial" w:cs="Arial" w:eastAsia="Arial" w:hAnsi="Arial"/>
          <w:sz w:val="18"/>
          <w:szCs w:val="18"/>
          <w:color w:val="auto"/>
        </w:rPr>
      </w:pPr>
    </w:p>
    <w:p>
      <w:pPr>
        <w:jc w:val="both"/>
        <w:ind w:left="-8" w:firstLine="656"/>
        <w:spacing w:after="0" w:line="259" w:lineRule="auto"/>
        <w:tabs>
          <w:tab w:leader="none" w:pos="1272"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Code Section 409A Exemption</w:t>
      </w:r>
      <w:r>
        <w:rPr>
          <w:rFonts w:ascii="Arial" w:cs="Arial" w:eastAsia="Arial" w:hAnsi="Arial"/>
          <w:sz w:val="18"/>
          <w:szCs w:val="18"/>
          <w:color w:val="auto"/>
        </w:rPr>
        <w:t>. Except as the Board otherwise determines, no option shall have deferral features, or shall be administered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a manner, that would cause such option to fail to qualify for exemption from Section 409A of the Code. Any option resulting in a deferral of compensation subject to Section 409A of the Code shall be construed to the maximum extent possible, as determined by the Board, consistent with the requirements of Section 409A of the Code.</w:t>
      </w:r>
    </w:p>
    <w:p>
      <w:pPr>
        <w:spacing w:after="0" w:line="186" w:lineRule="exact"/>
        <w:rPr>
          <w:rFonts w:ascii="Arial" w:cs="Arial" w:eastAsia="Arial" w:hAnsi="Arial"/>
          <w:sz w:val="18"/>
          <w:szCs w:val="18"/>
          <w:color w:val="auto"/>
        </w:rPr>
      </w:pPr>
    </w:p>
    <w:p>
      <w:pPr>
        <w:jc w:val="both"/>
        <w:ind w:left="-8" w:firstLine="656"/>
        <w:spacing w:after="0" w:line="312" w:lineRule="auto"/>
        <w:tabs>
          <w:tab w:leader="none" w:pos="1354"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Exercise Price of Options</w:t>
      </w:r>
      <w:r>
        <w:rPr>
          <w:rFonts w:ascii="Arial" w:cs="Arial" w:eastAsia="Arial" w:hAnsi="Arial"/>
          <w:sz w:val="16"/>
          <w:szCs w:val="16"/>
          <w:color w:val="auto"/>
        </w:rPr>
        <w:t>. The exercise price of each option shall be determined by the Board. The exercise price of an option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the current market value of, or if no such market value exists, the current net asset value of, the Shares as determined in good faith by the Board on the date of grant. Current market value shall be the closing price of the Common Stock on the NASDAQ Global Select Market on the date of grant.</w:t>
      </w:r>
    </w:p>
    <w:p>
      <w:pPr>
        <w:spacing w:after="0" w:line="146" w:lineRule="exact"/>
        <w:rPr>
          <w:rFonts w:ascii="Arial" w:cs="Arial" w:eastAsia="Arial" w:hAnsi="Arial"/>
          <w:sz w:val="16"/>
          <w:szCs w:val="16"/>
          <w:color w:val="auto"/>
        </w:rPr>
      </w:pPr>
    </w:p>
    <w:p>
      <w:pPr>
        <w:jc w:val="both"/>
        <w:ind w:left="-8" w:firstLine="656"/>
        <w:spacing w:after="0" w:line="264" w:lineRule="auto"/>
        <w:tabs>
          <w:tab w:leader="none" w:pos="1371"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Duration of Options</w:t>
      </w:r>
      <w:r>
        <w:rPr>
          <w:rFonts w:ascii="Arial" w:cs="Arial" w:eastAsia="Arial" w:hAnsi="Arial"/>
          <w:sz w:val="18"/>
          <w:szCs w:val="18"/>
          <w:color w:val="auto"/>
        </w:rPr>
        <w:t>. An option shall be exercisable during such period or periods as the Board may specify. The latest date on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may be exercised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be the date that is ten years from the date the option was granted or such earlier date as may be specified by the Board at the time the option is granted.</w:t>
      </w:r>
    </w:p>
    <w:p>
      <w:pPr>
        <w:spacing w:after="0" w:line="181" w:lineRule="exact"/>
        <w:rPr>
          <w:rFonts w:ascii="Arial" w:cs="Arial" w:eastAsia="Arial" w:hAnsi="Arial"/>
          <w:sz w:val="18"/>
          <w:szCs w:val="18"/>
          <w:color w:val="auto"/>
        </w:rPr>
      </w:pPr>
    </w:p>
    <w:p>
      <w:pPr>
        <w:ind w:left="1312" w:hanging="664"/>
        <w:spacing w:after="0"/>
        <w:tabs>
          <w:tab w:leader="none" w:pos="1312"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w:t>
      </w:r>
    </w:p>
    <w:p>
      <w:pPr>
        <w:spacing w:after="0" w:line="225" w:lineRule="exact"/>
        <w:rPr>
          <w:sz w:val="20"/>
          <w:szCs w:val="20"/>
          <w:color w:val="auto"/>
        </w:rPr>
      </w:pPr>
    </w:p>
    <w:p>
      <w:pPr>
        <w:jc w:val="both"/>
        <w:ind w:left="1292" w:hanging="644"/>
        <w:spacing w:after="0" w:line="286" w:lineRule="auto"/>
        <w:tabs>
          <w:tab w:leader="none" w:pos="12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option shall vest or become exercisable at such time or times and upon such conditions as the Board shall specify. In the case of an option not immediately exercisable in full, the Board may at any time accelerate the time at which all or any part of the option may be exercised regardless of any adverse or potentially adverse tax consequences resulting from such acceleration.</w:t>
      </w:r>
    </w:p>
    <w:p>
      <w:pPr>
        <w:spacing w:after="0" w:line="165"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exercise of an option shall be in writing, signed by the proper person and furnished to the Company, accompanied by (i) such documents as may be required by the Board and (ii) payment in full as specified below in Section 6(e) for the number of Shares for which the option is exercised.</w:t>
      </w:r>
    </w:p>
    <w:p>
      <w:pPr>
        <w:spacing w:after="0" w:line="181" w:lineRule="exact"/>
        <w:rPr>
          <w:rFonts w:ascii="Arial" w:cs="Arial" w:eastAsia="Arial" w:hAnsi="Arial"/>
          <w:sz w:val="18"/>
          <w:szCs w:val="18"/>
          <w:color w:val="auto"/>
        </w:rPr>
      </w:pPr>
    </w:p>
    <w:p>
      <w:pPr>
        <w:jc w:val="both"/>
        <w:ind w:left="1292" w:hanging="644"/>
        <w:spacing w:after="0" w:line="272" w:lineRule="auto"/>
        <w:tabs>
          <w:tab w:leader="none" w:pos="12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Board shall have the right to require that the participant exercising the option remit to the Company an amount sufficient to satisfy any federal, state, or local withholding tax requirements (or make other arrangements satisfactory to the Company with regard to such taxes) arising in connection with the exercise of the option. If permitted by the Board and to the extent permitted under the 1940 Act, either at the time of the grant of the option or in connection with exercise, the participant may elect, at such time and in such manner as the Board may prescribe, to satisfy such withholding obligation by (i) delivering to the Company Shares owned by such individual having a fair market value equal to such withholding obligation, or (ii) requesting that the Company withhold from the Shares to be delivered upon the exercise a number of Shares having a fair market value equal to such withholding obligation.</w:t>
      </w:r>
    </w:p>
    <w:p>
      <w:pPr>
        <w:spacing w:after="0" w:line="393" w:lineRule="exact"/>
        <w:rPr>
          <w:rFonts w:ascii="Arial" w:cs="Arial" w:eastAsia="Arial" w:hAnsi="Arial"/>
          <w:sz w:val="17"/>
          <w:szCs w:val="17"/>
          <w:color w:val="auto"/>
        </w:rPr>
      </w:pPr>
    </w:p>
    <w:p>
      <w:pPr>
        <w:ind w:left="5652" w:hanging="96"/>
        <w:spacing w:after="0"/>
        <w:tabs>
          <w:tab w:leader="none" w:pos="56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81" w:name="page82"/>
    <w:bookmarkEnd w:id="81"/>
    <w:p>
      <w:pPr>
        <w:jc w:val="both"/>
        <w:ind w:left="725" w:hanging="644"/>
        <w:spacing w:after="0" w:line="312" w:lineRule="auto"/>
        <w:tabs>
          <w:tab w:leader="none" w:pos="72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an option is exercised by the executor or administrator of a deceased participant, or by the person or persons to whom the option has been transferred by the participant’s will or the applicable laws of descent and distribution, the Company shall be under no obligation to deliver Shares pursuant to such exercise until the Company is satisfied as to the authority of the person or persons exercising the option.</w:t>
      </w:r>
    </w:p>
    <w:p>
      <w:pPr>
        <w:spacing w:after="0" w:line="147" w:lineRule="exact"/>
        <w:rPr>
          <w:sz w:val="20"/>
          <w:szCs w:val="20"/>
          <w:color w:val="auto"/>
        </w:rPr>
      </w:pPr>
    </w:p>
    <w:p>
      <w:pPr>
        <w:jc w:val="both"/>
        <w:ind w:left="-575" w:firstLine="656"/>
        <w:spacing w:after="0" w:line="276" w:lineRule="auto"/>
        <w:tabs>
          <w:tab w:leader="none" w:pos="804"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Payment for and Delivery of Shares</w:t>
      </w:r>
      <w:r>
        <w:rPr>
          <w:rFonts w:ascii="Arial" w:cs="Arial" w:eastAsia="Arial" w:hAnsi="Arial"/>
          <w:sz w:val="17"/>
          <w:szCs w:val="17"/>
          <w:color w:val="auto"/>
        </w:rPr>
        <w:t>. Shares purchased upon exercise of an option under the Plan shall be paid for as follows: (i)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check acceptable to the Company (determined in accordance with such guidelines as the Board may prescribe), or money order payable to the order of the Company, or (ii) if so permitted by the Board (which, in the case of an incentive option, shall specify such method of payment at the time of grant) and to the extent permitted by the 1940 Act and otherwise legally permissible, (A) by delivery of an unconditional and irrevocable undertaking by a broker to deliver promptly to the Company sufficient funds to pay the exercise price, or (B) by any combination of the permissible forms of payment.</w:t>
      </w:r>
    </w:p>
    <w:p>
      <w:pPr>
        <w:spacing w:after="0" w:line="172" w:lineRule="exact"/>
        <w:rPr>
          <w:rFonts w:ascii="Arial" w:cs="Arial" w:eastAsia="Arial" w:hAnsi="Arial"/>
          <w:sz w:val="17"/>
          <w:szCs w:val="17"/>
          <w:color w:val="auto"/>
        </w:rPr>
      </w:pPr>
    </w:p>
    <w:p>
      <w:pPr>
        <w:ind w:left="-575" w:firstLine="656"/>
        <w:spacing w:after="0" w:line="277" w:lineRule="auto"/>
        <w:tabs>
          <w:tab w:leader="none" w:pos="923"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Delivery of Shares</w:t>
      </w:r>
      <w:r>
        <w:rPr>
          <w:rFonts w:ascii="Arial" w:cs="Arial" w:eastAsia="Arial" w:hAnsi="Arial"/>
          <w:sz w:val="18"/>
          <w:szCs w:val="18"/>
          <w:color w:val="auto"/>
        </w:rPr>
        <w:t>. A participant shall not have the rights of a Shareholder with regard to Awards under the Plan except as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received by him or her under the Plan.</w:t>
      </w:r>
    </w:p>
    <w:p>
      <w:pPr>
        <w:spacing w:after="0" w:line="170" w:lineRule="exact"/>
        <w:rPr>
          <w:rFonts w:ascii="Arial" w:cs="Arial" w:eastAsia="Arial" w:hAnsi="Arial"/>
          <w:sz w:val="18"/>
          <w:szCs w:val="18"/>
          <w:color w:val="auto"/>
        </w:rPr>
      </w:pPr>
    </w:p>
    <w:p>
      <w:pPr>
        <w:jc w:val="both"/>
        <w:ind w:left="-575" w:firstLine="656"/>
        <w:spacing w:after="0" w:line="264" w:lineRule="auto"/>
        <w:tabs>
          <w:tab w:leader="none" w:pos="742"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Dividend Equivalents, Etc</w:t>
      </w:r>
      <w:r>
        <w:rPr>
          <w:rFonts w:ascii="Arial" w:cs="Arial" w:eastAsia="Arial" w:hAnsi="Arial"/>
          <w:sz w:val="18"/>
          <w:szCs w:val="18"/>
          <w:color w:val="auto"/>
        </w:rPr>
        <w:t>. To the extent permitted under the 1940 Act, the Board may provide for the payment of amounts in lieu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other cash distributions with respect to Shares subject to an Award; provided, however, that such grants must be approved by order of the Commission.</w:t>
      </w:r>
    </w:p>
    <w:p>
      <w:pPr>
        <w:spacing w:after="0" w:line="181" w:lineRule="exact"/>
        <w:rPr>
          <w:rFonts w:ascii="Arial" w:cs="Arial" w:eastAsia="Arial" w:hAnsi="Arial"/>
          <w:sz w:val="18"/>
          <w:szCs w:val="18"/>
          <w:color w:val="auto"/>
        </w:rPr>
      </w:pPr>
    </w:p>
    <w:p>
      <w:pPr>
        <w:ind w:left="-575" w:firstLine="656"/>
        <w:spacing w:after="0" w:line="277" w:lineRule="auto"/>
        <w:tabs>
          <w:tab w:leader="none" w:pos="836"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Non transferability of Awards</w:t>
      </w:r>
      <w:r>
        <w:rPr>
          <w:rFonts w:ascii="Arial" w:cs="Arial" w:eastAsia="Arial" w:hAnsi="Arial"/>
          <w:sz w:val="18"/>
          <w:szCs w:val="18"/>
          <w:color w:val="auto"/>
        </w:rPr>
        <w:t>. No option, Share, or other Award may be transferred other than by will or by the laws of descent and .</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during a participant’s lifetime an Award may be exercised only by him or her.</w:t>
      </w:r>
    </w:p>
    <w:p>
      <w:pPr>
        <w:spacing w:after="0" w:line="170" w:lineRule="exact"/>
        <w:rPr>
          <w:rFonts w:ascii="Arial" w:cs="Arial" w:eastAsia="Arial" w:hAnsi="Arial"/>
          <w:sz w:val="18"/>
          <w:szCs w:val="18"/>
          <w:color w:val="auto"/>
        </w:rPr>
      </w:pPr>
    </w:p>
    <w:p>
      <w:pPr>
        <w:jc w:val="both"/>
        <w:ind w:left="-575" w:right="20" w:firstLine="656"/>
        <w:spacing w:after="0" w:line="264" w:lineRule="auto"/>
        <w:tabs>
          <w:tab w:leader="none" w:pos="855"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Mergers, etc</w:t>
      </w:r>
      <w:r>
        <w:rPr>
          <w:rFonts w:ascii="Arial" w:cs="Arial" w:eastAsia="Arial" w:hAnsi="Arial"/>
          <w:sz w:val="18"/>
          <w:szCs w:val="18"/>
          <w:color w:val="auto"/>
        </w:rPr>
        <w:t>. To the extent permitted under the 1940 Act and except as otherwise provided in an Award agreement or an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the participant and the Company or an Affiliate, the following provisions shall apply in the event of a Covered Transaction (as defined below).</w:t>
      </w:r>
    </w:p>
    <w:p>
      <w:pPr>
        <w:spacing w:after="0" w:line="181" w:lineRule="exact"/>
        <w:rPr>
          <w:rFonts w:ascii="Arial" w:cs="Arial" w:eastAsia="Arial" w:hAnsi="Arial"/>
          <w:sz w:val="18"/>
          <w:szCs w:val="18"/>
          <w:color w:val="auto"/>
        </w:rPr>
      </w:pPr>
    </w:p>
    <w:p>
      <w:pPr>
        <w:jc w:val="both"/>
        <w:ind w:left="725" w:hanging="725"/>
        <w:spacing w:after="0" w:line="284" w:lineRule="auto"/>
        <w:tabs>
          <w:tab w:leader="none" w:pos="725"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subparagraph (2) below, all outstanding Awards requiring exercise will terminate and cease to be exercisable, and all other Awards to the extent not fully vested (including Awards subject to conditions not yet satisfied or determined) will be forfeited, as of the effective time of the Covered Transaction (as defined in subparagraph (3) herein), provided that the Board may in its sole discretion on or prior to the effective date of the Covered Transaction take any (or any combination of) the following actions: (i) make any outstanding option exercisable in full, (ii) remove any performance or other conditions or restrictions on any A ward and (iii) in the event of a Covered Transaction under the terms of which holders of the Shares of the Company will receive upon consummation thereof a payment for each such Share surrendered in the Covered Transaction (whether cash, non-cash or a combination of the foregoing), make or provide for a payment (with respect to some or all of the Awards), to the participant equal in the case of each affected Award to the difference between</w:t>
      </w:r>
    </w:p>
    <w:p>
      <w:pPr>
        <w:spacing w:after="0" w:line="1" w:lineRule="exact"/>
        <w:rPr>
          <w:rFonts w:ascii="Arial" w:cs="Arial" w:eastAsia="Arial" w:hAnsi="Arial"/>
          <w:sz w:val="16"/>
          <w:szCs w:val="16"/>
          <w:color w:val="auto"/>
        </w:rPr>
      </w:pPr>
    </w:p>
    <w:p>
      <w:pPr>
        <w:jc w:val="both"/>
        <w:ind w:left="725" w:firstLine="5"/>
        <w:spacing w:after="0" w:line="254" w:lineRule="auto"/>
        <w:tabs>
          <w:tab w:leader="none" w:pos="10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fair market value of a Share times the numbers of Shares subject to such outstanding Award (to the extent then exercisable at prices not in excess of the fair market value) and (B) the aggregate exercise price of all Shares subject to such outstanding Award, in each case on such payment terms (which need not be the same as the terms of payment to holders of Shares) and other terms, and subject to such conditions, as the Committee determines; or</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085" w:hanging="96"/>
        <w:spacing w:after="0"/>
        <w:tabs>
          <w:tab w:leader="none" w:pos="5085" w:val="left"/>
        </w:tabs>
        <w:numPr>
          <w:ilvl w:val="3"/>
          <w:numId w:val="63"/>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5"/>
          </w:cols>
          <w:pgMar w:left="815" w:top="881" w:right="239" w:bottom="1440" w:gutter="0" w:footer="0" w:header="0"/>
        </w:sectPr>
      </w:pPr>
    </w:p>
    <w:bookmarkStart w:id="82" w:name="page83"/>
    <w:bookmarkEnd w:id="82"/>
    <w:p>
      <w:pPr>
        <w:jc w:val="both"/>
        <w:ind w:left="725" w:hanging="725"/>
        <w:spacing w:after="0" w:line="297" w:lineRule="auto"/>
        <w:tabs>
          <w:tab w:leader="none" w:pos="7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 respect to an outstanding Award held by a participant who, following the Covered Transaction, will be employed by or otherwise providing services to an entity which is a surviving or acquiring entity in the covered transaction or any affiliate of such an entity, the Board may at or prior to the effective time of the Covered Transaction, in its sole discretion and in lieu of the action described in subparagraph (1) above, arrange to have such surviving or acquiring entity or affiliate assume any Award held by such participant outstanding hereunder or grant a replacement A ward which, in the judgment of the Board is substantially equivalent to any Award being replaced.</w:t>
      </w:r>
    </w:p>
    <w:p>
      <w:pPr>
        <w:spacing w:after="0" w:line="158" w:lineRule="exact"/>
        <w:rPr>
          <w:rFonts w:ascii="Arial" w:cs="Arial" w:eastAsia="Arial" w:hAnsi="Arial"/>
          <w:sz w:val="16"/>
          <w:szCs w:val="16"/>
          <w:color w:val="auto"/>
        </w:rPr>
      </w:pPr>
    </w:p>
    <w:p>
      <w:pPr>
        <w:jc w:val="both"/>
        <w:ind w:left="725" w:hanging="725"/>
        <w:spacing w:after="0" w:line="273" w:lineRule="auto"/>
        <w:tabs>
          <w:tab w:leader="none" w:pos="725"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this Section 6(i), a “</w:t>
      </w:r>
      <w:r>
        <w:rPr>
          <w:rFonts w:ascii="Arial" w:cs="Arial" w:eastAsia="Arial" w:hAnsi="Arial"/>
          <w:sz w:val="17"/>
          <w:szCs w:val="17"/>
          <w:u w:val="single" w:color="auto"/>
          <w:color w:val="auto"/>
        </w:rPr>
        <w:t>Covered Transaction</w:t>
      </w:r>
      <w:r>
        <w:rPr>
          <w:rFonts w:ascii="Arial" w:cs="Arial" w:eastAsia="Arial" w:hAnsi="Arial"/>
          <w:sz w:val="17"/>
          <w:szCs w:val="17"/>
          <w:color w:val="auto"/>
        </w:rPr>
        <w:t>” is a (i) Share sale, consolidation, merger, or similar transaction or series of related transactions in which the Company is not the surviving corporation or which results in the acquisition of all or substantially all of the Company’s then outstanding Shares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Board), the Covered Transaction shall be deemed to have occurred upon consummation of the tender offer.</w:t>
      </w:r>
    </w:p>
    <w:p>
      <w:pPr>
        <w:spacing w:after="0" w:line="178" w:lineRule="exact"/>
        <w:rPr>
          <w:rFonts w:ascii="Arial" w:cs="Arial" w:eastAsia="Arial" w:hAnsi="Arial"/>
          <w:sz w:val="17"/>
          <w:szCs w:val="17"/>
          <w:color w:val="auto"/>
        </w:rPr>
      </w:pPr>
    </w:p>
    <w:p>
      <w:pPr>
        <w:jc w:val="both"/>
        <w:ind w:left="-575" w:firstLine="656"/>
        <w:spacing w:after="0" w:line="259" w:lineRule="auto"/>
        <w:tabs>
          <w:tab w:leader="none" w:pos="733"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No Grants in Contravention of the 1940 Act</w:t>
      </w:r>
      <w:r>
        <w:rPr>
          <w:rFonts w:ascii="Arial" w:cs="Arial" w:eastAsia="Arial" w:hAnsi="Arial"/>
          <w:sz w:val="18"/>
          <w:szCs w:val="18"/>
          <w:color w:val="auto"/>
        </w:rPr>
        <w:t>. At all times during such periods as the Company qualifies or intends to qualify as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company,” no Award may be granted under the Plan if the grant or terms of such Award would cause the Company to violate Section 61 of the 1940 Act (or any other provision of the 1940 Act applicable to “business development companies”), and, if approved for grant, such an Award will be void and of no effect.</w:t>
      </w:r>
    </w:p>
    <w:p>
      <w:pPr>
        <w:spacing w:after="0" w:line="186" w:lineRule="exact"/>
        <w:rPr>
          <w:rFonts w:ascii="Arial" w:cs="Arial" w:eastAsia="Arial" w:hAnsi="Arial"/>
          <w:sz w:val="18"/>
          <w:szCs w:val="18"/>
          <w:color w:val="auto"/>
        </w:rPr>
      </w:pPr>
    </w:p>
    <w:p>
      <w:pPr>
        <w:jc w:val="both"/>
        <w:ind w:left="-575" w:firstLine="656"/>
        <w:spacing w:after="0" w:line="272" w:lineRule="auto"/>
        <w:tabs>
          <w:tab w:leader="none" w:pos="922"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delivery of any Shares, or the lifting or lapse of restrictions on any Award, shall be subject to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all applicable federal, state and local income and employment tax withholding obligations. A participant may satisfy such obligation(s) in whole or in part, by (i) delivering to the Company a check for the amount required to be withheld, or (ii) if permitted under the 1940 Act and as the Board in its sole discretion approves in any specific or general case, having the Company withhold Shares issuable to the participant under the Plan or delivering to the Company already-owned Shares, in either case having a fair market value equal to the amount required to be withheld, as determined by the Company. In addition, to the extent that the Company so chooses, the Company can hold back 100% of the participant’s compensation earned after such obligations arose and such held back amount shall be applied by the Company to satisfy such obligations.</w:t>
      </w:r>
    </w:p>
    <w:p>
      <w:pPr>
        <w:spacing w:after="0" w:line="393" w:lineRule="exact"/>
        <w:rPr>
          <w:rFonts w:ascii="Arial" w:cs="Arial" w:eastAsia="Arial" w:hAnsi="Arial"/>
          <w:sz w:val="17"/>
          <w:szCs w:val="17"/>
          <w:color w:val="auto"/>
        </w:rPr>
      </w:pPr>
    </w:p>
    <w:p>
      <w:pPr>
        <w:ind w:left="5085" w:hanging="96"/>
        <w:spacing w:after="0"/>
        <w:tabs>
          <w:tab w:leader="none" w:pos="5085" w:val="left"/>
        </w:tabs>
        <w:numPr>
          <w:ilvl w:val="2"/>
          <w:numId w:val="64"/>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5"/>
          </w:cols>
          <w:pgMar w:left="815" w:top="881" w:right="239" w:bottom="1440" w:gutter="0" w:footer="0" w:header="0"/>
        </w:sectPr>
      </w:pPr>
    </w:p>
    <w:bookmarkStart w:id="83" w:name="page84"/>
    <w:bookmarkEnd w:id="83"/>
    <w:p>
      <w:pPr>
        <w:ind w:left="652" w:hanging="652"/>
        <w:spacing w:after="0"/>
        <w:tabs>
          <w:tab w:leader="none" w:pos="6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225" w:lineRule="exact"/>
        <w:rPr>
          <w:rFonts w:ascii="Arial" w:cs="Arial" w:eastAsia="Arial" w:hAnsi="Arial"/>
          <w:sz w:val="18"/>
          <w:szCs w:val="18"/>
          <w:color w:val="auto"/>
        </w:rPr>
      </w:pPr>
    </w:p>
    <w:p>
      <w:pPr>
        <w:jc w:val="both"/>
        <w:ind w:left="-8" w:firstLine="656"/>
        <w:spacing w:after="0" w:line="279" w:lineRule="auto"/>
        <w:tabs>
          <w:tab w:leader="none" w:pos="1387" w:val="left"/>
        </w:tabs>
        <w:numPr>
          <w:ilvl w:val="1"/>
          <w:numId w:val="65"/>
        </w:numPr>
        <w:rPr>
          <w:rFonts w:ascii="Arial" w:cs="Arial" w:eastAsia="Arial" w:hAnsi="Arial"/>
          <w:sz w:val="17"/>
          <w:szCs w:val="17"/>
          <w:color w:val="auto"/>
        </w:rPr>
      </w:pPr>
      <w:r>
        <w:rPr>
          <w:rFonts w:ascii="Arial" w:cs="Arial" w:eastAsia="Arial" w:hAnsi="Arial"/>
          <w:sz w:val="17"/>
          <w:szCs w:val="17"/>
          <w:color w:val="auto"/>
        </w:rPr>
        <w:t>Unless the Board expressly provides otherwise, and except as otherwise provided in an Award agreement or an employment agreement between the participant and the Company or an Affiliate, immediately upon the cessation of the participant’s employment or services an Award requiring exercise will cease to be exercisable and will terminate, and all other Awards to the extent not already vested will be forfeited (and, in the case of an Award of Restricted Shares, such unvested Restricted Shares will be transferred to, and reacquired by, the Company), except that:</w:t>
      </w:r>
    </w:p>
    <w:p>
      <w:pPr>
        <w:spacing w:after="0" w:line="171" w:lineRule="exact"/>
        <w:rPr>
          <w:sz w:val="20"/>
          <w:szCs w:val="20"/>
          <w:color w:val="auto"/>
        </w:rPr>
      </w:pPr>
    </w:p>
    <w:p>
      <w:pPr>
        <w:jc w:val="both"/>
        <w:ind w:left="1292" w:hanging="644"/>
        <w:spacing w:after="0" w:line="286" w:lineRule="auto"/>
        <w:tabs>
          <w:tab w:leader="none" w:pos="12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subject to (2) and (3) below, all vested options held by the participant immediately prior the cessation of the participant’s employment, to the extent then exercisable, will remain exercisable for the less of (i) a period of 90 days or (ii) the period ending on the latest date on which such option could have been exercised without regard to this Section 7(a)(l), and will thereupon terminate;</w:t>
      </w:r>
    </w:p>
    <w:p>
      <w:pPr>
        <w:spacing w:after="0" w:line="165"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vested options held by a participant immediately prior to the participant’s death, to the extent then exercisable, will remain exercisable for the lesser of (i) the 180 day period ending following the participant’s death or (ii) the period ending on the latest date on which such option could have been exercised without regard to this Section 7(a), and will thereupon terminate;</w:t>
      </w:r>
    </w:p>
    <w:p>
      <w:pPr>
        <w:spacing w:after="0" w:line="181"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options (whether or not vested) held by a participant immediately prior to the cessation of the participant’s employment or “Cause” will immediately terminate; for this purpose “</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same meaning as provided in the employment agreement between the participant and the Company or its Affiliate, provided that if the participant is not a party to any such agreement, “Cause” shall mean the participant’s repeated material failure to perform (other than by reason of Disability), or gross negligence in the performance of, participant’s duties and responsibilities to the Company or any of its Affiliates which failure is not cured within thirty (30) days after written notice of such failure or negligence is delivered to participant; (ii) participant’s material breach of any written employment agreement between participant and the Company or any of its Affiliates which breach is not cured within thirty (30) days after written notice of such breach is delivered to participant; (iii) commission by participant of a felony involving moral turpitude or fraud with respect to the Company or any of its Affiliates; (iv) participant being sanctioned by a federal or state government or agency with violations of federal or state securities laws in any judicial or administrative process or proceeding, or having been found by any court to have committed any such violation; or (v) participant’s failure to comply with (A) any material Company policy, including without limitation, all Company Codes of Ethics, policies, procedures and handbooks, applicable to such participant or (B) any legal or regulatory obligations or requirements of participant, including, without limitation, failure of participant to provide any certifications as may be required by law which is not cured within thirty (30) days after written notice of such violation is delivered to participant. and</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5652" w:hanging="96"/>
        <w:spacing w:after="0"/>
        <w:tabs>
          <w:tab w:leader="none" w:pos="5652" w:val="left"/>
        </w:tabs>
        <w:numPr>
          <w:ilvl w:val="1"/>
          <w:numId w:val="66"/>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84" w:name="page85"/>
    <w:bookmarkEnd w:id="84"/>
    <w:p>
      <w:pPr>
        <w:ind w:left="1300" w:hanging="644"/>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otherwise provided in an Award, after completion of the 90-day (or 180-day) period, such Awards shall terminate to the extent not previously exercised, expired, or terminated.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 shall be exercised or surrendered in exchange for a cash payment after the Expiration Date.</w:t>
      </w:r>
    </w:p>
    <w:p>
      <w:pPr>
        <w:spacing w:after="0" w:line="225" w:lineRule="exact"/>
        <w:rPr>
          <w:sz w:val="20"/>
          <w:szCs w:val="20"/>
          <w:color w:val="auto"/>
        </w:rPr>
      </w:pPr>
    </w:p>
    <w:p>
      <w:pPr>
        <w:jc w:val="both"/>
        <w:ind w:firstLine="656"/>
        <w:spacing w:after="0" w:line="257"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particular but not in limitation of the foregoing, the Board may provide in the case of any Award for post-termination exercise provisions different from those expressly set forth in this Section 7, including without limitation terms allowing a later exercise by a former employee (or, in the case of a former employee who is deceased, the person or persons to whom the Award is transferred by will or the laws of descent and distribution) as to all or any portion of the Award not exercisable immediately prior to termination of employment or other service, but in no case may an A ward be exercised after the Expiration Date.</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EMPLOYMENT RIGHTS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Neither the adoption of the Plan nor the grant of Awards shall confer upon any participant any right to continue as an employee of the Company, its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parent, or any subsidiary or affect in any way the right of the Company, its parent, or a subsidiary to terminate the participant’s relationship at any time. Except as specifically provided by the Board in any particular case, the loss of existing or potential profit in Awards granted under this Plan shall not constitute an element of damages in the event of termination of the relationship of a participant even if the termination is in violation of an obligation of the Company to the participant by contract or otherwise.</w:t>
      </w:r>
    </w:p>
    <w:p>
      <w:pPr>
        <w:spacing w:after="0" w:line="19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DISCONTINUANCE, CANCELLATION, AMENDMENT, AND TERMINATION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at any time or times amend the Plan or any outstanding Award for any purpose which may at the time be permitted by law, and may at any time terminate the Plan as to any future grants of Awards; provided that, except as otherwise expressly provided in the Plan the Board may not, without the participant’s consent, alter the terms of an Award so as to affect adversely the participant’s rights under the Award, unless the Board expressly reserved the right to do so at the time of the Award. Any amendments to the Plan shall be conditioned upon Shareholder approval only to the extent, if any, such approval is required by law (including the Code), as determined by the Board.</w:t>
      </w:r>
    </w:p>
    <w:p>
      <w:pPr>
        <w:spacing w:after="0" w:line="188"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LIMITATION OF LIABILITY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anything to the contrary in the Plan, neither the Company, any subsidiary, nor the Board, nor any person acting on behalf of the Company, any subsidiary, or the Board, shall be liable to any participant or to the estate or beneficiary of any participant or to any other holder of an option by reason of any acceleration of income, or any additional tax, asserted by reason of the failure of an option to satisfy the requirements of Section 409 A or by reason of Section 4999 of the Code; provided, that nothing in this Section 10 shall limit the ability of the Board to provide by separate express written agreement with a participant for a gross-up payment or other payment in connection with any such tax or additional tax.</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WAIVER OF JURY TRIAL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5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LEGAL CONDITIONS ON DELIVERY OF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not be obligated to deliver any Shares pursuant to the Plan or to remove any restriction from Shares previously delivered under the Plan until: (i) the Company is satisfied that all legal matters in connection with the issuance and delivery of such Shares have been addressed and resolved; (ii) if the outstanding Shares are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Shares has not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Company may require, as a condition to exercise of the Award, such representations or agreements as counsel for the Company may consider appropriate to avoid violation of the Securities Act. The Company may require that certificates evidencing Shares issued under the Plan bear an appropriate legend reflecting any restriction on transfer applicable to such Shares, and the Company may hold the certificates pending lapse of the applicable restrictions.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June 20, 2014</w:t>
      </w:r>
    </w:p>
    <w:p>
      <w:pPr>
        <w:spacing w:after="0" w:line="211"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URPOSE AND</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purpose of this Non-Employee Director Plan, As Amended and Restated June 20, 2014 (the “</w:t>
      </w:r>
      <w:r>
        <w:rPr>
          <w:rFonts w:ascii="Arial" w:cs="Arial" w:eastAsia="Arial" w:hAnsi="Arial"/>
          <w:sz w:val="18"/>
          <w:szCs w:val="18"/>
          <w:u w:val="single" w:color="auto"/>
          <w:color w:val="auto"/>
        </w:rPr>
        <w:t>Plan</w:t>
      </w:r>
      <w:r>
        <w:rPr>
          <w:rFonts w:ascii="Arial" w:cs="Arial" w:eastAsia="Arial" w:hAnsi="Arial"/>
          <w:sz w:val="18"/>
          <w:szCs w:val="18"/>
          <w:color w:val="auto"/>
        </w:rPr>
        <w:t>”) is to advance the interests of the Company (as defined below) by providing for the grant to Non-Employee Directors (as defined below) of Restricted Shares (as defined below) (the “</w:t>
      </w:r>
      <w:r>
        <w:rPr>
          <w:rFonts w:ascii="Arial" w:cs="Arial" w:eastAsia="Arial" w:hAnsi="Arial"/>
          <w:sz w:val="18"/>
          <w:szCs w:val="18"/>
          <w:u w:val="single" w:color="auto"/>
          <w:color w:val="auto"/>
        </w:rPr>
        <w:t>Awards</w:t>
      </w:r>
      <w:r>
        <w:rPr>
          <w:rFonts w:ascii="Arial" w:cs="Arial" w:eastAsia="Arial" w:hAnsi="Arial"/>
          <w:sz w:val="18"/>
          <w:szCs w:val="18"/>
          <w:color w:val="auto"/>
        </w:rPr>
        <w:t>”) to the extent permitted by exemptive or other relief that may be granted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 Plan is an amendment and restatement of the 2008 Non-Employee Director Plan as adopted on February 5, 2008 (the “</w:t>
      </w:r>
      <w:r>
        <w:rPr>
          <w:rFonts w:ascii="Arial" w:cs="Arial" w:eastAsia="Arial" w:hAnsi="Arial"/>
          <w:sz w:val="18"/>
          <w:szCs w:val="18"/>
          <w:u w:val="single" w:color="auto"/>
          <w:color w:val="auto"/>
        </w:rPr>
        <w:t>Prior Plan</w:t>
      </w:r>
      <w:r>
        <w:rPr>
          <w:rFonts w:ascii="Arial" w:cs="Arial" w:eastAsia="Arial" w:hAnsi="Arial"/>
          <w:sz w:val="18"/>
          <w:szCs w:val="18"/>
          <w:color w:val="auto"/>
        </w:rPr>
        <w:t>”), and amended and restated effective June 10, 2011. At all times during such periods as the Company qualifies or intends to qualify as a “business development company” 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the terms of the Plan shall be construed so as to conform to the share-based compensation requirements applicable to “business development companies” under the 1940 Act. Any Non-Employee Director selected to receive an Award under the Plan is referred to as a “participant.”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KCAP Financial, Inc., a Delaware corporation. The Company was formerly known as Kohlberg Capital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Continuous Service</w:t>
      </w:r>
      <w:r>
        <w:rPr>
          <w:rFonts w:ascii="Arial" w:cs="Arial" w:eastAsia="Arial" w:hAnsi="Arial"/>
          <w:sz w:val="18"/>
          <w:szCs w:val="18"/>
          <w:color w:val="auto"/>
        </w:rPr>
        <w:t>” means a participant’s uninterrupted service with the Company as a Non-Employee Director.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June 10, 2011, the date on which the Prior Plan was amended and restated in accordance with a resolution of the Board and approved by a vote of the Company’s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the Company’s 2006 Equity Incentive Plan,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Compensation Plans</w:t>
      </w:r>
      <w:r>
        <w:rPr>
          <w:rFonts w:ascii="Arial" w:cs="Arial" w:eastAsia="Arial" w:hAnsi="Arial"/>
          <w:sz w:val="16"/>
          <w:szCs w:val="16"/>
          <w:color w:val="auto"/>
        </w:rPr>
        <w:t>” means the Plan, together with any Company executive compensation plan that did, does, or may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exist.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any director of the Company who is not an employee or officer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an award of Shares for so long as the Shares remain subject to restrictions requiring that they be forfeited to the Company if specified conditions are not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common stock, $.01 par value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means the shareholders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7" w:name="page88"/>
    <w:bookmarkEnd w:id="87"/>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DMINISTRATION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Plan shall be administered by the Board unless and until it delegates administration to a committee as provided herein. The Board shall have discretionary authority, subject to the express provisions of the Plan, (a) subject to Section 9(b), to grant Awards to such Eligible Persons (defined below in Section 5 hereof) as the Board may select; (b) to prescribe the form or forms of any instruments evidencing Awards and any other instruments required under the Plan and to change such forms from time to time; (c) to adopt, amend, and rescind rules and regulations for the administration of the Plan; and (d) to interpret the Plan and to decide any questions and settle all controversies and disputes that may arise in connection with the Plan. Such determinations of the Board shall be conclusive and shall bind all parties. Subject to Section 9(a) hereof, the Board shall also have the authority, both generally and in particular instances, to waive compliance by a participant with any obligation to be performed by him or her under an Award, to waive any condition or provision of an Award, and to amend or cancel any Award (and if an Award is canceled, to grant a new Award on such terms as the Board shall specify), provided that the Board may not take any action with respect to an outstanding Award that would adversely affect the rights of the participant under such Award without such participant’s consent. Nothing in the preceding sentence shall be construed as limiting the power of the Board to make adjustments required by Sections 4(d) and 6(e) hereof or by applicable law.</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in its discretion, delegate some or all of its powers with respect to the Plan to a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in which event all references (as appropriate) to the Board hereunder shall be deemed to refer to the Committee.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Determinations, interpretations and constructions made by the Board in good faith shall not be subject to review by any person and shall be final, binding and conclusive on all persons.</w:t>
      </w:r>
    </w:p>
    <w:p>
      <w:pPr>
        <w:spacing w:after="0" w:line="170"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FFECTIVE</w:t>
      </w:r>
      <w:r>
        <w:rPr>
          <w:rFonts w:ascii="Arial" w:cs="Arial" w:eastAsia="Arial" w:hAnsi="Arial"/>
          <w:sz w:val="18"/>
          <w:szCs w:val="18"/>
          <w:color w:val="auto"/>
        </w:rPr>
        <w:t xml:space="preserve"> D</w:t>
      </w:r>
      <w:r>
        <w:rPr>
          <w:rFonts w:ascii="Arial" w:cs="Arial" w:eastAsia="Arial" w:hAnsi="Arial"/>
          <w:sz w:val="12"/>
          <w:szCs w:val="12"/>
          <w:color w:val="auto"/>
        </w:rPr>
        <w:t>ATE AND</w:t>
      </w:r>
      <w:r>
        <w:rPr>
          <w:rFonts w:ascii="Arial" w:cs="Arial" w:eastAsia="Arial" w:hAnsi="Arial"/>
          <w:sz w:val="18"/>
          <w:szCs w:val="18"/>
          <w:color w:val="auto"/>
        </w:rPr>
        <w:t xml:space="preserve"> T</w:t>
      </w:r>
      <w:r>
        <w:rPr>
          <w:rFonts w:ascii="Arial" w:cs="Arial" w:eastAsia="Arial" w:hAnsi="Arial"/>
          <w:sz w:val="12"/>
          <w:szCs w:val="12"/>
          <w:color w:val="auto"/>
        </w:rPr>
        <w:t>ERM OF</w:t>
      </w:r>
      <w:r>
        <w:rPr>
          <w:rFonts w:ascii="Arial" w:cs="Arial" w:eastAsia="Arial" w:hAnsi="Arial"/>
          <w:sz w:val="18"/>
          <w:szCs w:val="18"/>
          <w:color w:val="auto"/>
        </w:rPr>
        <w:t xml:space="preserve"> P</w:t>
      </w:r>
      <w:r>
        <w:rPr>
          <w:rFonts w:ascii="Arial" w:cs="Arial" w:eastAsia="Arial" w:hAnsi="Arial"/>
          <w:sz w:val="12"/>
          <w:szCs w:val="12"/>
          <w:color w:val="auto"/>
        </w:rPr>
        <w:t>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is effective as of the Effective Date. For the avoidance of doubt, all option Awards made under the Prior Plan as in force prior to the Effective Date are governed in all respects by the terms of the Prior Plan and shall be construed accordingly.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Awards shall be granted under the Plan after the fifth anniversary of the Effective Date, but Awards granted prior to the fifth anniversary of the Effective Date may extend beyond that date.</w:t>
      </w:r>
    </w:p>
    <w:p>
      <w:pPr>
        <w:spacing w:after="0" w:line="17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UBJECT TO THE</w:t>
      </w:r>
      <w:r>
        <w:rPr>
          <w:rFonts w:ascii="Arial" w:cs="Arial" w:eastAsia="Arial" w:hAnsi="Arial"/>
          <w:sz w:val="18"/>
          <w:szCs w:val="18"/>
          <w:color w:val="auto"/>
        </w:rPr>
        <w:t xml:space="preserve"> P</w:t>
      </w:r>
      <w:r>
        <w:rPr>
          <w:rFonts w:ascii="Arial" w:cs="Arial" w:eastAsia="Arial" w:hAnsi="Arial"/>
          <w:sz w:val="12"/>
          <w:szCs w:val="12"/>
          <w:color w:val="auto"/>
        </w:rPr>
        <w:t>LAN</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93"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 4(d), the aggregate number of Shares that may be the subject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Plan shall be 100,000. If any Restricted Share Award granted under the Plan is forfeited, the number of Shares as to which such Restricted Share Award was granted shall be available for future grants.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25"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Shares to be Delivered</w:t>
      </w:r>
      <w:r>
        <w:rPr>
          <w:rFonts w:ascii="Arial" w:cs="Arial" w:eastAsia="Arial" w:hAnsi="Arial"/>
          <w:sz w:val="18"/>
          <w:szCs w:val="18"/>
          <w:color w:val="auto"/>
        </w:rPr>
        <w:t>. Shares delivered under the Plan shall be authorized but unissued Shares, or if the Board so decides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previously issued Shares acquired by the Company and held in its treasury. Any Shares acquired by the Company will be acquired in accordance with the 1940 Act, including Section 23 of the 1940 Act. No fractional Shares shall be delivered under the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jc w:val="both"/>
        <w:ind w:firstLine="656"/>
        <w:spacing w:after="0" w:line="287" w:lineRule="auto"/>
        <w:tabs>
          <w:tab w:leader="none" w:pos="135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Limits on Number of Awards</w:t>
      </w:r>
      <w:r>
        <w:rPr>
          <w:rFonts w:ascii="Arial" w:cs="Arial" w:eastAsia="Arial" w:hAnsi="Arial"/>
          <w:sz w:val="16"/>
          <w:szCs w:val="16"/>
          <w:color w:val="auto"/>
        </w:rPr>
        <w:t>. The maximum amount of Restricted Shares that may be issued under the Executive Compensation Plans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10% of the outstanding Shares on the Effective Date, plus 10% of the number of Shares issued or delivered by the Company (other than pursuant to the Executive Compensation Plans) during the term of the Plan. No one person shall be granted more than 25% of the Restricted Shares reserved for issuance under this Plan. The amount of voting securities that would result from the exercise of all of the Company’s outstanding warrants, options and rights, together with any Restricted Shares issued pursuant to the Executive Compensation Plans, at the time of issuance shall not exceed 25% of the outstanding voting securities of the Company (excluding the Restricted Shares), except that if the amount of voting securities that would result from the exercise of all the Company’s outstanding warrants, options and rights issued to the Company’s directors, officers and employees (not including any warrants, options or rights issued to Shareholders of the Company generally), together with any Restricted Shares issued pursuant to the Executive Compensation Plans, would exceed 15% of the outstanding voting securities of the Company (excluding the Restricted Shares), then the total amount of voting securities that would result from the exercise of all outstanding warrants, options and rights, together with any Restricted Shares issued pursuant to the Executive Compensation Plans, at the time of issuance shall not exceed 20% of the outstanding voting securities of the Company (excluding the Restricted Shares).</w:t>
      </w:r>
    </w:p>
    <w:p>
      <w:pPr>
        <w:spacing w:after="0" w:line="172" w:lineRule="exact"/>
        <w:rPr>
          <w:rFonts w:ascii="Arial" w:cs="Arial" w:eastAsia="Arial" w:hAnsi="Arial"/>
          <w:sz w:val="16"/>
          <w:szCs w:val="16"/>
          <w:color w:val="auto"/>
        </w:rPr>
      </w:pPr>
    </w:p>
    <w:p>
      <w:pPr>
        <w:jc w:val="both"/>
        <w:ind w:firstLine="656"/>
        <w:spacing w:after="0" w:line="259" w:lineRule="auto"/>
        <w:tabs>
          <w:tab w:leader="none" w:pos="140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Changes in Shares</w:t>
      </w:r>
      <w:r>
        <w:rPr>
          <w:rFonts w:ascii="Arial" w:cs="Arial" w:eastAsia="Arial" w:hAnsi="Arial"/>
          <w:sz w:val="18"/>
          <w:szCs w:val="18"/>
          <w:color w:val="auto"/>
        </w:rPr>
        <w:t>. In the event of a Share dividend, Share split or combination of Shares, recapitalization, or other change in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and kind of Shares or securities of the Company subject to Awards then outstanding or subsequently granted under the Plan, the maximum number of Shares that may be delivered under the Plan, and other relevant provisions shall be appropriately adjusted by the Board, whose determination shall be binding on all persons.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also adjust the number of Shares subject to outstanding Awards and the terms of outstanding Awards, to take into consideration material changes in accounting practices or principles, extraordinary dividends, consolidations or mergers (except those described in Section 6(e)), acquisitions or dispositions of securities or property, or any other event if it is determined by the Board that such adjustment is appropriate to avoid distortion in the operation of the Plan. References in the Plan to Shares will be construed to include any units, any stock or any other securities resulting from an adjustment pursuant to this Section 4(d).</w:t>
      </w:r>
    </w:p>
    <w:p>
      <w:pPr>
        <w:spacing w:after="0" w:line="18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LIGIBILITY FOR</w:t>
      </w:r>
      <w:r>
        <w:rPr>
          <w:rFonts w:ascii="Arial" w:cs="Arial" w:eastAsia="Arial" w:hAnsi="Arial"/>
          <w:sz w:val="18"/>
          <w:szCs w:val="18"/>
          <w:color w:val="auto"/>
        </w:rPr>
        <w:t xml:space="preserve"> A</w:t>
      </w:r>
      <w:r>
        <w:rPr>
          <w:rFonts w:ascii="Arial" w:cs="Arial" w:eastAsia="Arial" w:hAnsi="Arial"/>
          <w:sz w:val="12"/>
          <w:szCs w:val="12"/>
          <w:color w:val="auto"/>
        </w:rPr>
        <w:t>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Persons eligible to receive Awards under the Plan (“</w:t>
      </w:r>
      <w:r>
        <w:rPr>
          <w:rFonts w:ascii="Arial" w:cs="Arial" w:eastAsia="Arial" w:hAnsi="Arial"/>
          <w:sz w:val="18"/>
          <w:szCs w:val="18"/>
          <w:u w:val="single" w:color="auto"/>
          <w:color w:val="auto"/>
        </w:rPr>
        <w:t>Eligible Persons</w:t>
      </w:r>
      <w:r>
        <w:rPr>
          <w:rFonts w:ascii="Arial" w:cs="Arial" w:eastAsia="Arial" w:hAnsi="Arial"/>
          <w:sz w:val="18"/>
          <w:szCs w:val="18"/>
          <w:color w:val="auto"/>
        </w:rPr>
        <w:t>”) shall be Non-Employee Directors.</w:t>
      </w:r>
    </w:p>
    <w:p>
      <w:pPr>
        <w:spacing w:after="0" w:line="22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ERMS AND</w:t>
      </w:r>
      <w:r>
        <w:rPr>
          <w:rFonts w:ascii="Arial" w:cs="Arial" w:eastAsia="Arial" w:hAnsi="Arial"/>
          <w:sz w:val="18"/>
          <w:szCs w:val="18"/>
          <w:color w:val="auto"/>
        </w:rPr>
        <w:t xml:space="preserve"> C</w:t>
      </w:r>
      <w:r>
        <w:rPr>
          <w:rFonts w:ascii="Arial" w:cs="Arial" w:eastAsia="Arial" w:hAnsi="Arial"/>
          <w:sz w:val="12"/>
          <w:szCs w:val="12"/>
          <w:color w:val="auto"/>
        </w:rPr>
        <w:t>ONDITIONS OF</w:t>
      </w:r>
      <w:r>
        <w:rPr>
          <w:rFonts w:ascii="Arial" w:cs="Arial" w:eastAsia="Arial" w:hAnsi="Arial"/>
          <w:sz w:val="18"/>
          <w:szCs w:val="18"/>
          <w:color w:val="auto"/>
        </w:rPr>
        <w:t xml:space="preserve"> A</w:t>
      </w:r>
      <w:r>
        <w:rPr>
          <w:rFonts w:ascii="Arial" w:cs="Arial" w:eastAsia="Arial" w:hAnsi="Arial"/>
          <w:sz w:val="12"/>
          <w:szCs w:val="12"/>
          <w:color w:val="auto"/>
        </w:rPr>
        <w:t>WARDS</w:t>
      </w:r>
    </w:p>
    <w:p>
      <w:pPr>
        <w:spacing w:after="0" w:line="225" w:lineRule="exact"/>
        <w:rPr>
          <w:rFonts w:ascii="Arial" w:cs="Arial" w:eastAsia="Arial" w:hAnsi="Arial"/>
          <w:sz w:val="18"/>
          <w:szCs w:val="18"/>
          <w:color w:val="auto"/>
        </w:rPr>
      </w:pPr>
    </w:p>
    <w:p>
      <w:pPr>
        <w:ind w:firstLine="656"/>
        <w:spacing w:after="0" w:line="277" w:lineRule="auto"/>
        <w:tabs>
          <w:tab w:leader="none" w:pos="1353"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Each Award shall contain such terms and conditions as the Board shall deem appropriate. No Awards of Restricted Shares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prior to the Effective Date.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Amounts; Vesting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5"/>
        <w:spacing w:after="0" w:line="254" w:lineRule="auto"/>
        <w:tabs>
          <w:tab w:leader="none" w:pos="19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Subject to Section 9(b), on and after the Effective Date, each Non-Employee Director who is a director of the Company on the date of each annual meeting of Shareholders or meeting in lieu of the annual meeting of Shareholders, shall automatically be granted 1,000 Restricted Shares on the date of each such annual meeting of Shareholders during the term of the Plan, or if no such meeting be held in a year, then on the anniversary of the prior annual meeting or meeting in lieu of the annual meeting. Such Awards shall immediately vest as to one-half of the Restricted Share grant and as to the remaining one-half of the Restricted Share grant on the earlier of (i) the first anniversary of such grant, or (ii) the date immediately preceding the next annual meeting of Shareholders (or meeting in lieu of the annual meeting of Shareholders), provided that the participant is then and since the date of grant has continuously been a Non-Employee Director (subject to Section 7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jc w:val="both"/>
        <w:ind w:left="1300" w:firstLine="5"/>
        <w:spacing w:after="0" w:line="270" w:lineRule="auto"/>
        <w:tabs>
          <w:tab w:leader="none" w:pos="1995" w:val="left"/>
        </w:tabs>
        <w:numPr>
          <w:ilvl w:val="1"/>
          <w:numId w:val="81"/>
        </w:numPr>
        <w:rPr>
          <w:rFonts w:ascii="Arial" w:cs="Arial" w:eastAsia="Arial" w:hAnsi="Arial"/>
          <w:sz w:val="17"/>
          <w:szCs w:val="17"/>
          <w:color w:val="auto"/>
        </w:rPr>
      </w:pPr>
      <w:r>
        <w:rPr>
          <w:rFonts w:ascii="Arial" w:cs="Arial" w:eastAsia="Arial" w:hAnsi="Arial"/>
          <w:sz w:val="17"/>
          <w:szCs w:val="17"/>
          <w:color w:val="auto"/>
        </w:rPr>
        <w:t>Subject to Section 9(b), on and after the Effective Date, a Non-Employee Director who is appointed to serve on the Board outside of the annual election cycle shall automatically be granted a pro rata portion of the Restricted Share Award on the date of such appointment to the Board (i.e., such Non-Employee Director will receive a grant of Restricted Shares equal to the product of (x) the number of full months, if any, remaining until the next annual meeting of Shareholders (or the next annual meeting in lieu of the annual meeting of Shareholders) divided by twelve and (y) 1,000). One-half of such pro rata grant will vest immediately and the remaining one-half of such pro rata grant will vest on the earlier of (i) the first anniversary of the preceding annual meeting of Shareholders (or the preceding meeting in lieu of the annual meeting of Shareholders), or (ii) the date immediately preceding the next annual meeting of Shareholders (or meeting in lieu of the annual meeting of Shareholders), provided that the participant is then and since the date of such pro-rata grant has continuously been a Non-Employee Director (subject to Section 7 hereof).</w:t>
      </w:r>
    </w:p>
    <w:p>
      <w:pPr>
        <w:spacing w:after="0" w:line="181" w:lineRule="exact"/>
        <w:rPr>
          <w:rFonts w:ascii="Arial" w:cs="Arial" w:eastAsia="Arial" w:hAnsi="Arial"/>
          <w:sz w:val="17"/>
          <w:szCs w:val="17"/>
          <w:color w:val="auto"/>
        </w:rPr>
      </w:pPr>
    </w:p>
    <w:p>
      <w:pPr>
        <w:jc w:val="both"/>
        <w:ind w:firstLine="656"/>
        <w:spacing w:after="0" w:line="264" w:lineRule="auto"/>
        <w:tabs>
          <w:tab w:leader="none" w:pos="1377"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Rights as Shareholder</w:t>
      </w:r>
      <w:r>
        <w:rPr>
          <w:rFonts w:ascii="Arial" w:cs="Arial" w:eastAsia="Arial" w:hAnsi="Arial"/>
          <w:sz w:val="18"/>
          <w:szCs w:val="18"/>
          <w:color w:val="auto"/>
        </w:rPr>
        <w:t>. A participant shall not have the rights of a Shareholder with regard to an Award under the Plan except as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received by him or her under the Plan. For this purpose, Shares are received by a participant on the date of record issuance of such Shares in the books of the Company or the issuance to participant of a stock certificate with respect to such Shares.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341"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No unvested Restricted Shares may be transferred. Vested Restricted Shares may be sold, assigned,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encumbered, or transferred or disposed of in any other manner, in whole or in part, only in compliance with the terms, conditions and restrictions as set forth in the governing instruments of the Company, applicable federal and state securities laws or any other applicable laws or regulations and the terms and conditions hereof.</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Mergers, Etc</w:t>
      </w:r>
      <w:r>
        <w:rPr>
          <w:rFonts w:ascii="Arial" w:cs="Arial" w:eastAsia="Arial" w:hAnsi="Arial"/>
          <w:sz w:val="16"/>
          <w:szCs w:val="16"/>
          <w:color w:val="auto"/>
        </w:rPr>
        <w:t>. To the extent permitted under the 1940 Act, the following provisions shall apply in the event of a Covered Transaction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below).</w:t>
      </w:r>
    </w:p>
    <w:p>
      <w:pPr>
        <w:spacing w:after="0" w:line="210" w:lineRule="exact"/>
        <w:rPr>
          <w:rFonts w:ascii="Arial" w:cs="Arial" w:eastAsia="Arial" w:hAnsi="Arial"/>
          <w:sz w:val="16"/>
          <w:szCs w:val="16"/>
          <w:color w:val="auto"/>
        </w:rPr>
      </w:pPr>
    </w:p>
    <w:p>
      <w:pPr>
        <w:jc w:val="both"/>
        <w:ind w:left="1300" w:firstLine="5"/>
        <w:spacing w:after="0" w:line="259" w:lineRule="auto"/>
        <w:tabs>
          <w:tab w:leader="none" w:pos="2042"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Subject to subparagraph (2) below, all outstanding Awards to the extent not fully vested (including Awards subject to conditions not yet satisfied or determined) will be forfeited, as of the effective time of the Covered Transaction (as defined in subparagraph (3) herein), provided that the Board may in its sole discretion on or prior to the effective date of the Covered Transaction remove any conditions or restrictions on any Award; or</w:t>
      </w:r>
    </w:p>
    <w:p>
      <w:pPr>
        <w:spacing w:after="0" w:line="186" w:lineRule="exact"/>
        <w:rPr>
          <w:rFonts w:ascii="Arial" w:cs="Arial" w:eastAsia="Arial" w:hAnsi="Arial"/>
          <w:sz w:val="18"/>
          <w:szCs w:val="18"/>
          <w:color w:val="auto"/>
        </w:rPr>
      </w:pPr>
    </w:p>
    <w:p>
      <w:pPr>
        <w:jc w:val="both"/>
        <w:ind w:left="1300" w:firstLine="5"/>
        <w:spacing w:after="0" w:line="255" w:lineRule="auto"/>
        <w:tabs>
          <w:tab w:leader="none" w:pos="21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an outstanding Award held by a participant who, following the Covered Transaction, will be employed by or otherwise providing services to an entity which is a surviving or acquiring entity in the covered transaction or any affiliate of such an entity, the Board may at or prior to the effective time of the Covered Transaction, in its sole discretion and in lieu of the action described in subparagraph (1) above, arrange to have such surviving or acquiring entity or affiliate assume any Award held by such participant outstanding hereunder or grant a replacement Award which, in the judgment of the Board is substantially equivalent to any Award being replaced.</w:t>
      </w:r>
    </w:p>
    <w:p>
      <w:pPr>
        <w:spacing w:after="0" w:line="193" w:lineRule="exact"/>
        <w:rPr>
          <w:rFonts w:ascii="Arial" w:cs="Arial" w:eastAsia="Arial" w:hAnsi="Arial"/>
          <w:sz w:val="18"/>
          <w:szCs w:val="18"/>
          <w:color w:val="auto"/>
        </w:rPr>
      </w:pPr>
    </w:p>
    <w:p>
      <w:pPr>
        <w:jc w:val="both"/>
        <w:ind w:left="1300" w:firstLine="5"/>
        <w:spacing w:after="0" w:line="273" w:lineRule="auto"/>
        <w:tabs>
          <w:tab w:leader="none" w:pos="1968" w:val="left"/>
        </w:tabs>
        <w:numPr>
          <w:ilvl w:val="1"/>
          <w:numId w:val="82"/>
        </w:numPr>
        <w:rPr>
          <w:rFonts w:ascii="Arial" w:cs="Arial" w:eastAsia="Arial" w:hAnsi="Arial"/>
          <w:sz w:val="17"/>
          <w:szCs w:val="17"/>
          <w:color w:val="auto"/>
        </w:rPr>
      </w:pPr>
      <w:r>
        <w:rPr>
          <w:rFonts w:ascii="Arial" w:cs="Arial" w:eastAsia="Arial" w:hAnsi="Arial"/>
          <w:sz w:val="17"/>
          <w:szCs w:val="17"/>
          <w:color w:val="auto"/>
        </w:rPr>
        <w:t>For purposes of this Section 6(e), a “</w:t>
      </w:r>
      <w:r>
        <w:rPr>
          <w:rFonts w:ascii="Arial" w:cs="Arial" w:eastAsia="Arial" w:hAnsi="Arial"/>
          <w:sz w:val="17"/>
          <w:szCs w:val="17"/>
          <w:u w:val="single" w:color="auto"/>
          <w:color w:val="auto"/>
        </w:rPr>
        <w:t>Covered Transaction</w:t>
      </w:r>
      <w:r>
        <w:rPr>
          <w:rFonts w:ascii="Arial" w:cs="Arial" w:eastAsia="Arial" w:hAnsi="Arial"/>
          <w:sz w:val="17"/>
          <w:szCs w:val="17"/>
          <w:color w:val="auto"/>
        </w:rPr>
        <w:t>” is a (i) Share sale, consolidation, merger, or similar transaction or series of related transactions in which the Company is not the surviving corporation or which results in the acquisition of all or substantially all of the Company’s then outstanding Shares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Board), the Covered Transaction shall be deemed to have occurred upon consummation of the tender offer.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jc w:val="both"/>
        <w:ind w:firstLine="656"/>
        <w:spacing w:after="0" w:line="279" w:lineRule="auto"/>
        <w:tabs>
          <w:tab w:leader="none" w:pos="1278" w:val="left"/>
        </w:tabs>
        <w:numPr>
          <w:ilvl w:val="1"/>
          <w:numId w:val="83"/>
        </w:numPr>
        <w:rPr>
          <w:rFonts w:ascii="Arial" w:cs="Arial" w:eastAsia="Arial" w:hAnsi="Arial"/>
          <w:sz w:val="17"/>
          <w:szCs w:val="17"/>
          <w:color w:val="auto"/>
        </w:rPr>
      </w:pPr>
      <w:r>
        <w:rPr>
          <w:rFonts w:ascii="Arial" w:cs="Arial" w:eastAsia="Arial" w:hAnsi="Arial"/>
          <w:sz w:val="17"/>
          <w:szCs w:val="17"/>
          <w:i w:val="1"/>
          <w:iCs w:val="1"/>
          <w:color w:val="auto"/>
        </w:rPr>
        <w:t>Compliance with Law; Commission Approval</w:t>
      </w:r>
      <w:r>
        <w:rPr>
          <w:rFonts w:ascii="Arial" w:cs="Arial" w:eastAsia="Arial" w:hAnsi="Arial"/>
          <w:sz w:val="17"/>
          <w:szCs w:val="17"/>
          <w:color w:val="auto"/>
        </w:rPr>
        <w:t>. At all times during such periods as the Company qualifies or intends to qualify as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company,” no Award may be granted under the Plan if the grant or terms of such Award would cause the Company to violate any provision of the 1940 Act applicable to “business development companies,” and, if approved for grant, such an Award will be void and of no effect. Subject to Section 9(b), the grants of Awards under the Plan will be automatic and will not be changed without shareholder approval.</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ERMINATION OF</w:t>
      </w:r>
      <w:r>
        <w:rPr>
          <w:rFonts w:ascii="Arial" w:cs="Arial" w:eastAsia="Arial" w:hAnsi="Arial"/>
          <w:sz w:val="18"/>
          <w:szCs w:val="18"/>
          <w:color w:val="auto"/>
        </w:rPr>
        <w:t xml:space="preserve"> C</w:t>
      </w:r>
      <w:r>
        <w:rPr>
          <w:rFonts w:ascii="Arial" w:cs="Arial" w:eastAsia="Arial" w:hAnsi="Arial"/>
          <w:sz w:val="12"/>
          <w:szCs w:val="12"/>
          <w:color w:val="auto"/>
        </w:rPr>
        <w:t>ONTINUOUS</w:t>
      </w:r>
      <w:r>
        <w:rPr>
          <w:rFonts w:ascii="Arial" w:cs="Arial" w:eastAsia="Arial" w:hAnsi="Arial"/>
          <w:sz w:val="18"/>
          <w:szCs w:val="18"/>
          <w:color w:val="auto"/>
        </w:rPr>
        <w:t xml:space="preserve"> S</w:t>
      </w:r>
      <w:r>
        <w:rPr>
          <w:rFonts w:ascii="Arial" w:cs="Arial" w:eastAsia="Arial" w:hAnsi="Arial"/>
          <w:sz w:val="12"/>
          <w:szCs w:val="12"/>
          <w:color w:val="auto"/>
        </w:rPr>
        <w:t>ERVICE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Unless the Board expressly provides otherwise, immediately upon the cessation of the participant’s service as a Non-Employee Director (unless upon such termination or within 90 days thereafter the participant becomes an officer or employee of the Company or rejoins the Board as a Non-Employee Director) all Awards, to the extent not already vested, will be forfeited. If a participant ceases providing services as a Non-Employee Director but within 90 days of such cessation becomes an officer or employee of the Company or rejoins the Board as a Non-Employee Director, such participant shall vest in any unvested Restricted Shares on the later of (i) the next annual shareholders meeting (in accordance with Section 6(b) hereof) or (ii) the date on which such participant becomes an officer or employee of the Company or rejoins the Board as a Non-Employee Director.</w:t>
      </w:r>
    </w:p>
    <w:p>
      <w:pPr>
        <w:spacing w:after="0" w:line="178"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2"/>
          <w:szCs w:val="12"/>
          <w:color w:val="auto"/>
        </w:rPr>
        <w:t>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adoption of the Plan nor the grant of Awards shall confer upon any participant any right to continue as a Non-Employee Director (or in any other capacity) of the Company, its parent, or any subsidiary or affect in any way the right of the Company, its parent, or a subsidiary to terminate the participant’s relationship at any time. Except as specifically provided by the Board in any particular case, the loss of existing or potential profit in Awards granted under this Plan shall not constitute an element of damages in the event of termination of the relationship of a participant even if the termination is in violation of an obligation of the Company to the participant by contract or otherwise.</w:t>
      </w:r>
    </w:p>
    <w:p>
      <w:pPr>
        <w:spacing w:after="0" w:line="188"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2"/>
          <w:szCs w:val="12"/>
          <w:color w:val="auto"/>
        </w:rPr>
        <w:t>ISCONTINUANCE</w:t>
      </w:r>
      <w:r>
        <w:rPr>
          <w:rFonts w:ascii="Arial" w:cs="Arial" w:eastAsia="Arial" w:hAnsi="Arial"/>
          <w:sz w:val="18"/>
          <w:szCs w:val="18"/>
          <w:color w:val="auto"/>
        </w:rPr>
        <w:t>, C</w:t>
      </w:r>
      <w:r>
        <w:rPr>
          <w:rFonts w:ascii="Arial" w:cs="Arial" w:eastAsia="Arial" w:hAnsi="Arial"/>
          <w:sz w:val="12"/>
          <w:szCs w:val="12"/>
          <w:color w:val="auto"/>
        </w:rPr>
        <w:t>ANCELLATION</w:t>
      </w:r>
      <w:r>
        <w:rPr>
          <w:rFonts w:ascii="Arial" w:cs="Arial" w:eastAsia="Arial" w:hAnsi="Arial"/>
          <w:sz w:val="18"/>
          <w:szCs w:val="18"/>
          <w:color w:val="auto"/>
        </w:rPr>
        <w:t>, A</w:t>
      </w:r>
      <w:r>
        <w:rPr>
          <w:rFonts w:ascii="Arial" w:cs="Arial" w:eastAsia="Arial" w:hAnsi="Arial"/>
          <w:sz w:val="12"/>
          <w:szCs w:val="12"/>
          <w:color w:val="auto"/>
        </w:rPr>
        <w:t>MENDMENT</w:t>
      </w:r>
      <w:r>
        <w:rPr>
          <w:rFonts w:ascii="Arial" w:cs="Arial" w:eastAsia="Arial" w:hAnsi="Arial"/>
          <w:sz w:val="18"/>
          <w:szCs w:val="18"/>
          <w:color w:val="auto"/>
        </w:rPr>
        <w:t xml:space="preserve">, </w:t>
      </w:r>
      <w:r>
        <w:rPr>
          <w:rFonts w:ascii="Arial" w:cs="Arial" w:eastAsia="Arial" w:hAnsi="Arial"/>
          <w:sz w:val="12"/>
          <w:szCs w:val="12"/>
          <w:color w:val="auto"/>
        </w:rPr>
        <w:t>AND</w:t>
      </w:r>
      <w:r>
        <w:rPr>
          <w:rFonts w:ascii="Arial" w:cs="Arial" w:eastAsia="Arial" w:hAnsi="Arial"/>
          <w:sz w:val="18"/>
          <w:szCs w:val="18"/>
          <w:color w:val="auto"/>
        </w:rPr>
        <w:t xml:space="preserve"> T</w:t>
      </w:r>
      <w:r>
        <w:rPr>
          <w:rFonts w:ascii="Arial" w:cs="Arial" w:eastAsia="Arial" w:hAnsi="Arial"/>
          <w:sz w:val="12"/>
          <w:szCs w:val="12"/>
          <w:color w:val="auto"/>
        </w:rPr>
        <w:t>ERMINATION</w:t>
      </w:r>
      <w:r>
        <w:rPr>
          <w:rFonts w:ascii="Arial" w:cs="Arial" w:eastAsia="Arial" w:hAnsi="Arial"/>
          <w:sz w:val="18"/>
          <w:szCs w:val="18"/>
          <w:color w:val="auto"/>
        </w:rPr>
        <w:t>; B</w:t>
      </w:r>
      <w:r>
        <w:rPr>
          <w:rFonts w:ascii="Arial" w:cs="Arial" w:eastAsia="Arial" w:hAnsi="Arial"/>
          <w:sz w:val="12"/>
          <w:szCs w:val="12"/>
          <w:color w:val="auto"/>
        </w:rPr>
        <w:t>OARD</w:t>
      </w:r>
      <w:r>
        <w:rPr>
          <w:rFonts w:ascii="Arial" w:cs="Arial" w:eastAsia="Arial" w:hAnsi="Arial"/>
          <w:sz w:val="18"/>
          <w:szCs w:val="18"/>
          <w:color w:val="auto"/>
        </w:rPr>
        <w:t xml:space="preserve"> R</w:t>
      </w:r>
      <w:r>
        <w:rPr>
          <w:rFonts w:ascii="Arial" w:cs="Arial" w:eastAsia="Arial" w:hAnsi="Arial"/>
          <w:sz w:val="12"/>
          <w:szCs w:val="12"/>
          <w:color w:val="auto"/>
        </w:rPr>
        <w:t>EVIEW</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367"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Board may at any time or times amend the Plan or any outstanding Award for any purpose which may at the time be permitted by law, and may at any time terminate the Plan as to any future grants of Awards; provided that, except as otherwise expressly provided in the Plan the Board may not, without the participant’s consent, alter the terms of an Award so as to affect adversely the participant’s rights under the Award, unless the Board expressly reserved the right to do so at the time of the Award. Any amendments to the Plan shall be conditioned upon approval of Shareholders and the Commission only to the extent, if any, such approval is required by law (including the Code), as determined by the Board.</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39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Board shall review the Plan from time to time and at least annually, its reviews to include an assessment of the potential impact that Awards made or scheduled to be made under the Plan may have on the Company’s earnings and net-asset value per Share. The Board is authorized to take appropriate steps to ensure that the granting of Awards would not have an effect contrary to the interests of Shareholders, including the authority to limit or eliminate the automatic granting of additional Awards pursuant to Section 6(b). The Board shall maintain adequate records of any reviews conducted pursuant to this Section 9(b). For the avoidance of doubt, any action by the Board pursuant to this Section 9(b) that would affect an already outstanding Award shall, to that extent, be subject to the limitations of Section 9(a).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w:t>
      </w:r>
      <w:r>
        <w:rPr>
          <w:rFonts w:ascii="Arial" w:cs="Arial" w:eastAsia="Arial" w:hAnsi="Arial"/>
          <w:sz w:val="12"/>
          <w:szCs w:val="12"/>
          <w:color w:val="auto"/>
        </w:rPr>
        <w:t>AIVER OF</w:t>
      </w:r>
      <w:r>
        <w:rPr>
          <w:rFonts w:ascii="Arial" w:cs="Arial" w:eastAsia="Arial" w:hAnsi="Arial"/>
          <w:sz w:val="18"/>
          <w:szCs w:val="18"/>
          <w:color w:val="auto"/>
        </w:rPr>
        <w:t xml:space="preserve"> J</w:t>
      </w:r>
      <w:r>
        <w:rPr>
          <w:rFonts w:ascii="Arial" w:cs="Arial" w:eastAsia="Arial" w:hAnsi="Arial"/>
          <w:sz w:val="12"/>
          <w:szCs w:val="12"/>
          <w:color w:val="auto"/>
        </w:rPr>
        <w:t>URY</w:t>
      </w:r>
      <w:r>
        <w:rPr>
          <w:rFonts w:ascii="Arial" w:cs="Arial" w:eastAsia="Arial" w:hAnsi="Arial"/>
          <w:sz w:val="18"/>
          <w:szCs w:val="18"/>
          <w:color w:val="auto"/>
        </w:rPr>
        <w:t xml:space="preserve"> T</w:t>
      </w:r>
      <w:r>
        <w:rPr>
          <w:rFonts w:ascii="Arial" w:cs="Arial" w:eastAsia="Arial" w:hAnsi="Arial"/>
          <w:sz w:val="12"/>
          <w:szCs w:val="12"/>
          <w:color w:val="auto"/>
        </w:rPr>
        <w:t>RIAL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58"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w:t>
      </w:r>
      <w:r>
        <w:rPr>
          <w:rFonts w:ascii="Arial" w:cs="Arial" w:eastAsia="Arial" w:hAnsi="Arial"/>
          <w:sz w:val="12"/>
          <w:szCs w:val="12"/>
          <w:color w:val="auto"/>
        </w:rPr>
        <w:t>EGAL</w:t>
      </w:r>
      <w:r>
        <w:rPr>
          <w:rFonts w:ascii="Arial" w:cs="Arial" w:eastAsia="Arial" w:hAnsi="Arial"/>
          <w:sz w:val="18"/>
          <w:szCs w:val="18"/>
          <w:color w:val="auto"/>
        </w:rPr>
        <w:t xml:space="preserve"> C</w:t>
      </w:r>
      <w:r>
        <w:rPr>
          <w:rFonts w:ascii="Arial" w:cs="Arial" w:eastAsia="Arial" w:hAnsi="Arial"/>
          <w:sz w:val="12"/>
          <w:szCs w:val="12"/>
          <w:color w:val="auto"/>
        </w:rPr>
        <w:t>ONDITIONS ON</w:t>
      </w:r>
      <w:r>
        <w:rPr>
          <w:rFonts w:ascii="Arial" w:cs="Arial" w:eastAsia="Arial" w:hAnsi="Arial"/>
          <w:sz w:val="18"/>
          <w:szCs w:val="18"/>
          <w:color w:val="auto"/>
        </w:rPr>
        <w:t xml:space="preserve"> D</w:t>
      </w:r>
      <w:r>
        <w:rPr>
          <w:rFonts w:ascii="Arial" w:cs="Arial" w:eastAsia="Arial" w:hAnsi="Arial"/>
          <w:sz w:val="12"/>
          <w:szCs w:val="12"/>
          <w:color w:val="auto"/>
        </w:rPr>
        <w:t>ELIVERY OF</w:t>
      </w:r>
      <w:r>
        <w:rPr>
          <w:rFonts w:ascii="Arial" w:cs="Arial" w:eastAsia="Arial" w:hAnsi="Arial"/>
          <w:sz w:val="18"/>
          <w:szCs w:val="18"/>
          <w:color w:val="auto"/>
        </w:rPr>
        <w:t xml:space="preserve"> S</w:t>
      </w:r>
      <w:r>
        <w:rPr>
          <w:rFonts w:ascii="Arial" w:cs="Arial" w:eastAsia="Arial" w:hAnsi="Arial"/>
          <w:sz w:val="12"/>
          <w:szCs w:val="12"/>
          <w:color w:val="auto"/>
        </w:rPr>
        <w:t>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not be obligated to deliver any Shares pursuant to the Plan or to remove any restriction from Shares previously delivered under the Plan until: (i) the Company is satisfied that all legal matters in connection with the issuance and delivery of such Shares have been addressed and resolved; (ii) if the outstanding Shares are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Shares has not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Company may require, as a condition to exercise of the Award, such representations or agreements as counsel for the Company may consider appropriate to avoid violation of the Securities Act. The Company may require that certificates evidencing Shares issued under the Plan bear an appropriate legend reflecting any restriction on transfer applicable to such Shares, and the Company may hold the certificates pending lapse of the applicable restrictions.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Restricted Stock Award Agreement</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KCAP FINANCIAL, INC. STRONGLY ENCOURAGES YOU TO SEEK THE ADVICE OF YOUR OWN LEGAL AND FINANCIAL ADVISORS WITH RESPECT TO YOUR AWARD AND ITS TAX CONSEQUENCES.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Grantee (the “</w:t>
      </w:r>
      <w:r>
        <w:rPr>
          <w:rFonts w:ascii="Arial" w:cs="Arial" w:eastAsia="Arial" w:hAnsi="Arial"/>
          <w:sz w:val="18"/>
          <w:szCs w:val="18"/>
          <w:u w:val="single" w:color="auto"/>
          <w:color w:val="auto"/>
        </w:rPr>
        <w:t>Grantee</w:t>
      </w:r>
      <w:r>
        <w:rPr>
          <w:rFonts w:ascii="Arial" w:cs="Arial" w:eastAsia="Arial" w:hAnsi="Arial"/>
          <w:sz w:val="18"/>
          <w:szCs w:val="18"/>
          <w:color w:val="auto"/>
        </w:rPr>
        <w:t>”) (i) acknowledges receipt of an award (the “</w:t>
      </w:r>
      <w:r>
        <w:rPr>
          <w:rFonts w:ascii="Arial" w:cs="Arial" w:eastAsia="Arial" w:hAnsi="Arial"/>
          <w:sz w:val="18"/>
          <w:szCs w:val="18"/>
          <w:u w:val="single" w:color="auto"/>
          <w:color w:val="auto"/>
        </w:rPr>
        <w:t>Award</w:t>
      </w:r>
      <w:r>
        <w:rPr>
          <w:rFonts w:ascii="Arial" w:cs="Arial" w:eastAsia="Arial" w:hAnsi="Arial"/>
          <w:sz w:val="18"/>
          <w:szCs w:val="18"/>
          <w:color w:val="auto"/>
        </w:rPr>
        <w:t>”) of restricted stock from KCAP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under the Company’s 2006 Equity Incentive Plan as Amended and Restated Effective June 20, 2014 (the “</w:t>
      </w:r>
      <w:r>
        <w:rPr>
          <w:rFonts w:ascii="Arial" w:cs="Arial" w:eastAsia="Arial" w:hAnsi="Arial"/>
          <w:sz w:val="18"/>
          <w:szCs w:val="18"/>
          <w:u w:val="single" w:color="auto"/>
          <w:color w:val="auto"/>
        </w:rPr>
        <w:t>Plan</w:t>
      </w:r>
      <w:r>
        <w:rPr>
          <w:rFonts w:ascii="Arial" w:cs="Arial" w:eastAsia="Arial" w:hAnsi="Arial"/>
          <w:sz w:val="18"/>
          <w:szCs w:val="18"/>
          <w:color w:val="auto"/>
        </w:rPr>
        <w:t>”), subject to the terms set forth below and in the Plan; and (ii) agrees with the Company as follows:</w:t>
      </w:r>
    </w:p>
    <w:p>
      <w:pPr>
        <w:spacing w:after="0" w:line="181" w:lineRule="exact"/>
        <w:rPr>
          <w:sz w:val="20"/>
          <w:szCs w:val="20"/>
          <w:color w:val="auto"/>
        </w:rPr>
      </w:pPr>
    </w:p>
    <w:p>
      <w:pPr>
        <w:ind w:left="660" w:right="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Restricted Stock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take effect as of June 20, 2014, which is the grant date of the Award (the “</w:t>
      </w:r>
      <w:r>
        <w:rPr>
          <w:rFonts w:ascii="Arial" w:cs="Arial" w:eastAsia="Arial" w:hAnsi="Arial"/>
          <w:sz w:val="18"/>
          <w:szCs w:val="18"/>
          <w:u w:val="single" w:color="auto"/>
          <w:color w:val="auto"/>
        </w:rPr>
        <w:t>Grant Date</w:t>
      </w:r>
      <w:r>
        <w:rPr>
          <w:rFonts w:ascii="Arial" w:cs="Arial" w:eastAsia="Arial" w:hAnsi="Arial"/>
          <w:sz w:val="18"/>
          <w:szCs w:val="18"/>
          <w:color w:val="auto"/>
        </w:rPr>
        <w:t>”). The Grantee shall be the record owner of the Shares on the Grant Date.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Shares Subject to Award</w:t>
      </w:r>
      <w:r>
        <w:rPr>
          <w:rFonts w:ascii="Arial" w:cs="Arial" w:eastAsia="Arial" w:hAnsi="Arial"/>
          <w:sz w:val="18"/>
          <w:szCs w:val="18"/>
          <w:color w:val="auto"/>
        </w:rPr>
        <w:t>. The Award consists of a total of _________________________ shares of Common Stock of the Company,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300"/>
        <w:spacing w:after="0" w:line="308" w:lineRule="auto"/>
        <w:rPr>
          <w:rFonts w:ascii="Arial" w:cs="Arial" w:eastAsia="Arial" w:hAnsi="Arial"/>
          <w:sz w:val="18"/>
          <w:szCs w:val="18"/>
          <w:color w:val="auto"/>
        </w:rPr>
      </w:pPr>
      <w:r>
        <w:rPr>
          <w:rFonts w:ascii="Arial" w:cs="Arial" w:eastAsia="Arial" w:hAnsi="Arial"/>
          <w:sz w:val="17"/>
          <w:szCs w:val="17"/>
          <w:color w:val="auto"/>
        </w:rPr>
        <w:t>The Grantee’s rights to the Shares are subject to the restrictions described in this Award Agreement and the Plan (which is incorporated herein by reference with the same effect as if set forth herein in full) in addition to such other restrictions, if any, as may be imposed by law.</w:t>
      </w:r>
    </w:p>
    <w:p>
      <w:pPr>
        <w:spacing w:after="0" w:line="146" w:lineRule="exact"/>
        <w:rPr>
          <w:rFonts w:ascii="Arial" w:cs="Arial" w:eastAsia="Arial" w:hAnsi="Arial"/>
          <w:sz w:val="18"/>
          <w:szCs w:val="18"/>
          <w:color w:val="auto"/>
        </w:rPr>
      </w:pPr>
    </w:p>
    <w:p>
      <w:pPr>
        <w:jc w:val="both"/>
        <w:ind w:left="660" w:right="240" w:hanging="328"/>
        <w:spacing w:after="0" w:line="34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Nontransferability of Shares</w:t>
      </w:r>
      <w:r>
        <w:rPr>
          <w:rFonts w:ascii="Arial" w:cs="Arial" w:eastAsia="Arial" w:hAnsi="Arial"/>
          <w:sz w:val="16"/>
          <w:szCs w:val="16"/>
          <w:color w:val="auto"/>
        </w:rPr>
        <w:t>. Except as provided in this Award Agreement or the Plan, the Shares acquired by the Grantee pursuant to this Award Agreement shall not be sold, transferred, pledged, assigned or otherwise encumbered or disposed and are subject to a substantial risk of forfeiture.</w:t>
      </w:r>
    </w:p>
    <w:p>
      <w:pPr>
        <w:spacing w:after="0" w:line="123" w:lineRule="exact"/>
        <w:rPr>
          <w:rFonts w:ascii="Arial" w:cs="Arial" w:eastAsia="Arial" w:hAnsi="Arial"/>
          <w:sz w:val="16"/>
          <w:szCs w:val="16"/>
          <w:color w:val="auto"/>
        </w:rPr>
      </w:pPr>
    </w:p>
    <w:p>
      <w:pPr>
        <w:ind w:left="660" w:right="6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Forfeiture Risk</w:t>
      </w:r>
      <w:r>
        <w:rPr>
          <w:rFonts w:ascii="Arial" w:cs="Arial" w:eastAsia="Arial" w:hAnsi="Arial"/>
          <w:sz w:val="17"/>
          <w:szCs w:val="17"/>
          <w:color w:val="auto"/>
        </w:rPr>
        <w:t>. If the Grantee's employment with the Company and its subsidiaries ceases for any reason, then, except as provided in Section 7, any and all outstanding and unvested Shares acquired by the Grantee hereunder shall be automatically and immediately forfeited.</w:t>
      </w:r>
    </w:p>
    <w:p>
      <w:pPr>
        <w:spacing w:after="0" w:line="146" w:lineRule="exact"/>
        <w:rPr>
          <w:rFonts w:ascii="Arial" w:cs="Arial" w:eastAsia="Arial" w:hAnsi="Arial"/>
          <w:sz w:val="17"/>
          <w:szCs w:val="17"/>
          <w:color w:val="auto"/>
        </w:rPr>
      </w:pPr>
    </w:p>
    <w:p>
      <w:pPr>
        <w:ind w:left="660" w:right="20"/>
        <w:spacing w:after="0" w:line="276" w:lineRule="auto"/>
        <w:rPr>
          <w:rFonts w:ascii="Arial" w:cs="Arial" w:eastAsia="Arial" w:hAnsi="Arial"/>
          <w:sz w:val="17"/>
          <w:szCs w:val="17"/>
          <w:color w:val="auto"/>
        </w:rPr>
      </w:pPr>
      <w:r>
        <w:rPr>
          <w:rFonts w:ascii="Arial" w:cs="Arial" w:eastAsia="Arial" w:hAnsi="Arial"/>
          <w:sz w:val="17"/>
          <w:szCs w:val="17"/>
          <w:color w:val="auto"/>
        </w:rPr>
        <w:t>The Grantee hereby (i) appoints the Company as the attorney-in-fact of the Grantee to take such actions as may be necessary or appropriate to effectuate a transfer of the record ownership of any Shares that are unvested and forfeited hereunder, (ii) agrees to deliver to the Company, as a precondition to the issuance of any certificate or certificates with respect to unvested Shares hereunder, one or more stock powers, endorsed in blank, with respect to such Shares, and (iii) agrees to sign such other powers and take such other actions as the Company may reasonably request to accomplish the transfer or forfeiture of any unvested Shares that are forfeited hereunder.</w:t>
      </w:r>
    </w:p>
    <w:p>
      <w:pPr>
        <w:spacing w:after="0" w:line="172" w:lineRule="exact"/>
        <w:rPr>
          <w:rFonts w:ascii="Arial" w:cs="Arial" w:eastAsia="Arial" w:hAnsi="Arial"/>
          <w:sz w:val="17"/>
          <w:szCs w:val="17"/>
          <w:color w:val="auto"/>
        </w:rPr>
      </w:pPr>
    </w:p>
    <w:p>
      <w:pPr>
        <w:ind w:left="660" w:right="40" w:hanging="328"/>
        <w:spacing w:after="0" w:line="34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Book Entry Form</w:t>
      </w:r>
      <w:r>
        <w:rPr>
          <w:rFonts w:ascii="Arial" w:cs="Arial" w:eastAsia="Arial" w:hAnsi="Arial"/>
          <w:sz w:val="16"/>
          <w:szCs w:val="16"/>
          <w:color w:val="auto"/>
        </w:rPr>
        <w:t>. Unvested Shares are to be held in book entry form and the Grantee agrees that the Company may give stop transfer instructions to the depositary, stock transfer agent or other keeper of the Company’s stock records to ensure compliance with the provisions hereof.</w:t>
      </w:r>
    </w:p>
    <w:p>
      <w:pPr>
        <w:spacing w:after="0" w:line="123" w:lineRule="exact"/>
        <w:rPr>
          <w:rFonts w:ascii="Arial" w:cs="Arial" w:eastAsia="Arial" w:hAnsi="Arial"/>
          <w:sz w:val="16"/>
          <w:szCs w:val="16"/>
          <w:color w:val="auto"/>
        </w:rPr>
      </w:pPr>
    </w:p>
    <w:p>
      <w:pPr>
        <w:jc w:val="both"/>
        <w:ind w:left="660" w:right="140" w:hanging="328"/>
        <w:spacing w:after="0" w:line="286"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Certificates for Unvested Shares</w:t>
      </w:r>
      <w:r>
        <w:rPr>
          <w:rFonts w:ascii="Arial" w:cs="Arial" w:eastAsia="Arial" w:hAnsi="Arial"/>
          <w:sz w:val="17"/>
          <w:szCs w:val="17"/>
          <w:color w:val="auto"/>
        </w:rPr>
        <w:t>. The Company may, upon request, issue the Grantee a certificate representing unvested Shares. The administrative costs and risk of loss of such certificated shares are the sole responsibility of the Grantee. In addition to any legend required by applicable law, any certificates issued representing Shares shall contain a legend substantially in the following form:</w:t>
      </w:r>
    </w:p>
    <w:p>
      <w:pPr>
        <w:spacing w:after="0" w:line="165" w:lineRule="exact"/>
        <w:rPr>
          <w:rFonts w:ascii="Arial" w:cs="Arial" w:eastAsia="Arial" w:hAnsi="Arial"/>
          <w:sz w:val="17"/>
          <w:szCs w:val="17"/>
          <w:color w:val="auto"/>
        </w:rPr>
      </w:pPr>
    </w:p>
    <w:p>
      <w:pPr>
        <w:ind w:left="660" w:right="60"/>
        <w:spacing w:after="0" w:line="257" w:lineRule="auto"/>
        <w:rPr>
          <w:rFonts w:ascii="Arial" w:cs="Arial" w:eastAsia="Arial" w:hAnsi="Arial"/>
          <w:sz w:val="17"/>
          <w:szCs w:val="17"/>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KCAP FINANCIAL, INC. 2006 EQUITY INCENTIVE PLAN AS AMENDED AND RESTATED EFFECTIVE JUNE 20, 2014, AND THE RESTRICTED STOCK AWARD AGREEMENT RELATING TO THE SHARES ENTERED INTO BETWEEN THE REGISTERED OWNER AND KCAP FINANCIAL, INC. COPIES OF SUCH PLAN AND AWARD AGREEMENT ARE ON FILE IN THE OFFICES OF KCAP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3" w:name="page94"/>
    <w:bookmarkEnd w:id="93"/>
    <w:p>
      <w:pPr>
        <w:ind w:left="328" w:right="200" w:hanging="328"/>
        <w:spacing w:after="0" w:line="264"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Vesting of Shares</w:t>
      </w:r>
      <w:r>
        <w:rPr>
          <w:rFonts w:ascii="Arial" w:cs="Arial" w:eastAsia="Arial" w:hAnsi="Arial"/>
          <w:sz w:val="18"/>
          <w:szCs w:val="18"/>
          <w:color w:val="auto"/>
        </w:rPr>
        <w:t>. Unless earlier vested pursuant to the Plan, the restrictions on the Shares granted hereunder shall lapse, i.e., the Shares shall vest, during the Grantee’s employment by the Company or a subsidiary thereof in accordance with the provisions of this Section 7 and applicable provisions of the Plan, as follows:</w:t>
      </w:r>
    </w:p>
    <w:p>
      <w:pPr>
        <w:spacing w:after="0" w:line="181" w:lineRule="exact"/>
        <w:rPr>
          <w:rFonts w:ascii="Arial" w:cs="Arial" w:eastAsia="Arial" w:hAnsi="Arial"/>
          <w:sz w:val="18"/>
          <w:szCs w:val="18"/>
          <w:color w:val="auto"/>
        </w:rPr>
      </w:pPr>
    </w:p>
    <w:p>
      <w:pPr>
        <w:ind w:left="648" w:right="560" w:hanging="324"/>
        <w:spacing w:after="0" w:line="258" w:lineRule="auto"/>
        <w:tabs>
          <w:tab w:leader="none" w:pos="64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Shares shall vest in four (4) equal annual installments beginning on the first anniversary of the Grant Date, provided that the Grantee remains in the continuous employment of the Company or a subsidiary through each vesting date.</w:t>
      </w:r>
    </w:p>
    <w:p>
      <w:pPr>
        <w:spacing w:after="0" w:line="1" w:lineRule="exact"/>
        <w:rPr>
          <w:rFonts w:ascii="Arial" w:cs="Arial" w:eastAsia="Arial" w:hAnsi="Arial"/>
          <w:sz w:val="18"/>
          <w:szCs w:val="18"/>
          <w:color w:val="auto"/>
        </w:rPr>
      </w:pPr>
    </w:p>
    <w:p>
      <w:pPr>
        <w:ind w:left="648" w:right="160" w:hanging="324"/>
        <w:spacing w:after="0" w:line="255" w:lineRule="auto"/>
        <w:tabs>
          <w:tab w:leader="none" w:pos="648"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Notwithstanding the foregoing, if the Grantee’s employment terminates for any reason, then all unvested Shares will be automatically and immediately forfeited back to the Company. (However, if Grantee has a written employment agreement with the Company with terms contrary to this provision 7(ii), the terms of the written employment agreement shall govern.)</w:t>
      </w:r>
    </w:p>
    <w:p>
      <w:pPr>
        <w:spacing w:after="0" w:line="190"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Settlement of Vested Shares</w:t>
      </w:r>
      <w:r>
        <w:rPr>
          <w:rFonts w:ascii="Arial" w:cs="Arial" w:eastAsia="Arial" w:hAnsi="Arial"/>
          <w:sz w:val="18"/>
          <w:szCs w:val="18"/>
          <w:color w:val="auto"/>
        </w:rPr>
        <w:t>. Each Share that is vested in accordance with this Award Agreement shall be settled by the issuance of a whole share of Common Stock.</w:t>
      </w:r>
    </w:p>
    <w:p>
      <w:pPr>
        <w:spacing w:after="0" w:line="170" w:lineRule="exact"/>
        <w:rPr>
          <w:rFonts w:ascii="Arial" w:cs="Arial" w:eastAsia="Arial" w:hAnsi="Arial"/>
          <w:sz w:val="18"/>
          <w:szCs w:val="18"/>
          <w:color w:val="auto"/>
        </w:rPr>
      </w:pPr>
    </w:p>
    <w:p>
      <w:pPr>
        <w:ind w:left="328" w:right="540"/>
        <w:spacing w:after="0" w:line="277" w:lineRule="auto"/>
        <w:rPr>
          <w:rFonts w:ascii="Arial" w:cs="Arial" w:eastAsia="Arial" w:hAnsi="Arial"/>
          <w:sz w:val="18"/>
          <w:szCs w:val="18"/>
          <w:color w:val="auto"/>
        </w:rPr>
      </w:pPr>
      <w:r>
        <w:rPr>
          <w:rFonts w:ascii="Arial" w:cs="Arial" w:eastAsia="Arial" w:hAnsi="Arial"/>
          <w:sz w:val="18"/>
          <w:szCs w:val="18"/>
          <w:color w:val="auto"/>
        </w:rPr>
        <w:t>Unless a Section 83(b) election is made within 30 days of the Grant Date, vested Shares shall be treated as compensation and shall be taxed at normal federal, state and local income tax rates at the fair value of the Shares on the vesting date.</w:t>
      </w:r>
    </w:p>
    <w:p>
      <w:pPr>
        <w:spacing w:after="0" w:line="170" w:lineRule="exact"/>
        <w:rPr>
          <w:rFonts w:ascii="Arial" w:cs="Arial" w:eastAsia="Arial" w:hAnsi="Arial"/>
          <w:sz w:val="18"/>
          <w:szCs w:val="18"/>
          <w:color w:val="auto"/>
        </w:rPr>
      </w:pPr>
    </w:p>
    <w:p>
      <w:pPr>
        <w:ind w:left="328" w:right="40"/>
        <w:spacing w:after="0" w:line="272" w:lineRule="auto"/>
        <w:rPr>
          <w:rFonts w:ascii="Arial" w:cs="Arial" w:eastAsia="Arial" w:hAnsi="Arial"/>
          <w:sz w:val="18"/>
          <w:szCs w:val="18"/>
          <w:color w:val="auto"/>
        </w:rPr>
      </w:pPr>
      <w:r>
        <w:rPr>
          <w:rFonts w:ascii="Arial" w:cs="Arial" w:eastAsia="Arial" w:hAnsi="Arial"/>
          <w:sz w:val="17"/>
          <w:szCs w:val="17"/>
          <w:color w:val="auto"/>
        </w:rPr>
        <w:t>The Company's obligation to deliver a certificate upon vesting representing such vested Shares shall be subject to the Grantee’s satisfaction of all applicable federal, state and local income and employment tax withholding obligations. The Grantee may satisfy such obligation(s), in whole or in part, by (i) delivering to the Company a check for the amount required to be withheld or (ii) if permitted under the 1940 Act and as the Board in its sole discretion approves in any specific or general case, having the Company withhold Shares or delivering to the Company already-owned shares of Common Stock, in either case having a fair market value equal to the amount required to be withheld, as determined by the Company. In addition, to the extent that the Company so chooses, the Company can hold back 100% of the Grantee's compensation earned after such obligations arose and such held back amount shall be applied by the Company to satisfy such obligations.</w:t>
      </w:r>
    </w:p>
    <w:p>
      <w:pPr>
        <w:spacing w:after="0" w:line="177" w:lineRule="exact"/>
        <w:rPr>
          <w:rFonts w:ascii="Arial" w:cs="Arial" w:eastAsia="Arial" w:hAnsi="Arial"/>
          <w:sz w:val="18"/>
          <w:szCs w:val="18"/>
          <w:color w:val="auto"/>
        </w:rPr>
      </w:pPr>
    </w:p>
    <w:p>
      <w:pPr>
        <w:ind w:left="328" w:right="200" w:hanging="328"/>
        <w:spacing w:after="0" w:line="312" w:lineRule="auto"/>
        <w:tabs>
          <w:tab w:leader="none" w:pos="32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Delivery of Vested Shares</w:t>
      </w:r>
      <w:r>
        <w:rPr>
          <w:rFonts w:ascii="Arial" w:cs="Arial" w:eastAsia="Arial" w:hAnsi="Arial"/>
          <w:sz w:val="16"/>
          <w:szCs w:val="16"/>
          <w:color w:val="auto"/>
        </w:rPr>
        <w:t>. Delivery of vested Shares is conditioned on: (i) the Grantee’s satisfaction of applicable tax withholding requirements as set forth in Section 8 of this Award Agreement; (ii) the completion of any administrative steps (for example, but without limitation, the transfer of certificates) that the Company may reasonably impose; and (iii) applicable requirements of federal and state securities laws.</w:t>
      </w:r>
    </w:p>
    <w:p>
      <w:pPr>
        <w:spacing w:after="0" w:line="146" w:lineRule="exact"/>
        <w:rPr>
          <w:rFonts w:ascii="Arial" w:cs="Arial" w:eastAsia="Arial" w:hAnsi="Arial"/>
          <w:sz w:val="16"/>
          <w:szCs w:val="16"/>
          <w:color w:val="auto"/>
        </w:rPr>
      </w:pPr>
    </w:p>
    <w:p>
      <w:pPr>
        <w:ind w:left="328"/>
        <w:spacing w:after="0" w:line="276" w:lineRule="auto"/>
        <w:rPr>
          <w:rFonts w:ascii="Arial" w:cs="Arial" w:eastAsia="Arial" w:hAnsi="Arial"/>
          <w:sz w:val="16"/>
          <w:szCs w:val="16"/>
          <w:color w:val="auto"/>
        </w:rPr>
      </w:pPr>
      <w:r>
        <w:rPr>
          <w:rFonts w:ascii="Arial" w:cs="Arial" w:eastAsia="Arial" w:hAnsi="Arial"/>
          <w:sz w:val="17"/>
          <w:szCs w:val="17"/>
          <w:color w:val="auto"/>
        </w:rPr>
        <w:t>For any vested Shares that have been requested to be settled by the Grantee, the Company will take such steps as it deems necessary or appropriate to record and manifest such Shares for delivery to the Grantee without restriction on transferability. At the direction of the Grantee, delivery may be either in book-entry form through the Depository Trust Company (or a nominee thereof) to an account at the Grantee’s direction or certificated, without the aforesaid legend, and issued and delivered to the Grantee. The Grantee agrees to complete and execute any documents and to take any additional action that the Company may request to enable it to deliver the vested Shares to the Grantee.</w:t>
      </w:r>
    </w:p>
    <w:p>
      <w:pPr>
        <w:spacing w:after="0" w:line="172"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Fractional shares shall not vest hereunder, and when any provision hereof may cause a fractional share to vest, any vesting in such fractional share shall be postponed until such fractional share and other fractional shares equal a vested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391795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94" w:name="page95"/>
    <w:bookmarkEnd w:id="94"/>
    <w:p>
      <w:pPr>
        <w:ind w:left="660" w:right="40" w:hanging="328"/>
        <w:spacing w:after="0" w:line="270"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Dividends, etc</w:t>
      </w:r>
      <w:r>
        <w:rPr>
          <w:rFonts w:ascii="Arial" w:cs="Arial" w:eastAsia="Arial" w:hAnsi="Arial"/>
          <w:sz w:val="17"/>
          <w:szCs w:val="17"/>
          <w:color w:val="auto"/>
        </w:rPr>
        <w:t xml:space="preserve">. The Grantee shall be entitled to (i) receive any and all dividends or other distributions paid with respect to those vested and unvested Shares of which the Grantee is the record owner on the record date for such dividend or other distribution, whether or not vested at such time, in the same form and amount as any holder of Stock receives, and (ii) vote any Shares of which the Grantee is the record owner on the record date for such vote;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property (other than cash) distributed with respect to a share of Stock (the “</w:t>
      </w:r>
      <w:r>
        <w:rPr>
          <w:rFonts w:ascii="Arial" w:cs="Arial" w:eastAsia="Arial" w:hAnsi="Arial"/>
          <w:sz w:val="17"/>
          <w:szCs w:val="17"/>
          <w:u w:val="single" w:color="auto"/>
          <w:color w:val="auto"/>
        </w:rPr>
        <w:t>Associated Share</w:t>
      </w:r>
      <w:r>
        <w:rPr>
          <w:rFonts w:ascii="Arial" w:cs="Arial" w:eastAsia="Arial" w:hAnsi="Arial"/>
          <w:sz w:val="17"/>
          <w:szCs w:val="17"/>
          <w:color w:val="auto"/>
        </w:rPr>
        <w:t>”) acquired hereunder, by reason of a stock dividend, stock split or other similar adjustment to the Stock pursuant to Section 4(d) of the Plan, shall be subject to the restrictions of this Award Agreement in the same manner and for so long as the Associated Share remains subject to such restrictions, and shall be promptly forfeited if and when the Associated Share is so forfeited. Notwithstanding the foregoing, the Grantee shall elect, and hereby irrevocably appoints the Company’s Chairman of the Board and the Company’s Secretary as the Grantee’s attorneys-in-fact to elect on Grantee’s behalf in the absence of an election from Grantee, to receive cash distributions under the Company’s dividend reinvestment plan in respect of all unvested Shares under this Award Agreement.</w:t>
      </w:r>
    </w:p>
    <w:p>
      <w:pPr>
        <w:spacing w:after="0" w:line="177"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Sale of Vested Shares</w:t>
      </w:r>
      <w:r>
        <w:rPr>
          <w:rFonts w:ascii="Arial" w:cs="Arial" w:eastAsia="Arial" w:hAnsi="Arial"/>
          <w:sz w:val="18"/>
          <w:szCs w:val="18"/>
          <w:color w:val="auto"/>
        </w:rPr>
        <w:t>. The Grantee acknowledges and agrees that any Common Stock issued in respect of vested Shares hereunder may be traded only as permitted by the Company’s Codes of Ethics, policies and procedures</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 This Grant is subject in its entirety to the provisions of the Plan, which are incorporated herein by reference. A copy of the Plan as in effect on the date of the grant of this Award is available to the Grantee and the Grantee agrees to be bound by the terms of the Plan and this Award. In the event of any conflict between the terms of this Award and the Plan, the terms of this Award shall control.</w:t>
      </w:r>
    </w:p>
    <w:p>
      <w:pPr>
        <w:spacing w:after="0" w:line="165"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defined in this Award Agreement are used herein as so defined. Capitalized terms used in this Award Agreement and not otherwise defined herein shall have the meaning provided in the Plan.</w:t>
      </w:r>
    </w:p>
    <w:p>
      <w:pPr>
        <w:spacing w:after="0" w:line="170"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Change in Capital Structure</w:t>
      </w:r>
      <w:r>
        <w:rPr>
          <w:rFonts w:ascii="Arial" w:cs="Arial" w:eastAsia="Arial" w:hAnsi="Arial"/>
          <w:sz w:val="18"/>
          <w:szCs w:val="18"/>
          <w:color w:val="auto"/>
        </w:rPr>
        <w:t>. In accordance with Section 4(d) of the Plan, the terms of this Award Agreement shall be adjusted as the Board determines is equitably required in the event the Company effects one or more stock dividends, stock split-ups, subdivisions or consolidations of shares or other similar changes in capitalization.</w:t>
      </w:r>
    </w:p>
    <w:p>
      <w:pPr>
        <w:spacing w:after="0" w:line="181"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 Employment Commitment; Tax Treatment</w:t>
      </w:r>
      <w:r>
        <w:rPr>
          <w:rFonts w:ascii="Arial" w:cs="Arial" w:eastAsia="Arial" w:hAnsi="Arial"/>
          <w:sz w:val="17"/>
          <w:szCs w:val="17"/>
          <w:color w:val="auto"/>
        </w:rPr>
        <w:t>. Nothing herein contained shall be deemed to be or constitute an agreement or commitment by the Company or any of its subsidiaries to continue the Grantee in its employ. The Company makes no representation about the tax treatment to the Grantee with respect to receipt or settlement of the restricted Shares or acquiring, holding or disposing of the Shares.</w:t>
      </w:r>
    </w:p>
    <w:p>
      <w:pPr>
        <w:spacing w:after="0" w:line="165" w:lineRule="exact"/>
        <w:rPr>
          <w:rFonts w:ascii="Arial" w:cs="Arial" w:eastAsia="Arial" w:hAnsi="Arial"/>
          <w:sz w:val="17"/>
          <w:szCs w:val="17"/>
          <w:color w:val="auto"/>
        </w:rPr>
      </w:pPr>
    </w:p>
    <w:p>
      <w:pPr>
        <w:jc w:val="both"/>
        <w:ind w:left="660" w:right="420" w:hanging="328"/>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Grantee Bound by Plan</w:t>
      </w:r>
      <w:r>
        <w:rPr>
          <w:rFonts w:ascii="Arial" w:cs="Arial" w:eastAsia="Arial" w:hAnsi="Arial"/>
          <w:sz w:val="18"/>
          <w:szCs w:val="18"/>
          <w:color w:val="auto"/>
        </w:rPr>
        <w:t>. The Grantee hereby acknowledges that a copy of the Plan as in effect on the date hereof has been made available to the Grantee and agrees to be bound by all the terms and provisions thereof (as such Plan may be amended from time to time in accordance with the terms thereof).</w:t>
      </w:r>
    </w:p>
    <w:p>
      <w:pPr>
        <w:spacing w:after="0" w:line="181"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For purposes of this Award Agreement and any determinations to be made by the Board or the Committee, as the case may be, hereunder, the determinations by the Board or the Committee, as the case may be, shall be binding upon the Grantee and any transferee.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4"/>
          </w:tcPr>
          <w:p>
            <w:pPr>
              <w:spacing w:after="0"/>
              <w:rPr>
                <w:sz w:val="20"/>
                <w:szCs w:val="20"/>
                <w:color w:val="auto"/>
              </w:rPr>
            </w:pPr>
            <w:r>
              <w:rPr>
                <w:rFonts w:ascii="Arial" w:cs="Arial" w:eastAsia="Arial" w:hAnsi="Arial"/>
                <w:sz w:val="18"/>
                <w:szCs w:val="18"/>
                <w:b w:val="1"/>
                <w:bCs w:val="1"/>
                <w:color w:val="auto"/>
              </w:rPr>
              <w:t>Agreed as of the Grant Date Shown Above:</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gridSpan w:val="4"/>
          </w:tcPr>
          <w:p>
            <w:pPr>
              <w:spacing w:after="0"/>
              <w:rPr>
                <w:sz w:val="20"/>
                <w:szCs w:val="20"/>
                <w:color w:val="auto"/>
              </w:rPr>
            </w:pPr>
            <w:r>
              <w:rPr>
                <w:rFonts w:ascii="Arial" w:cs="Arial" w:eastAsia="Arial" w:hAnsi="Arial"/>
                <w:sz w:val="18"/>
                <w:szCs w:val="18"/>
                <w:b w:val="1"/>
                <w:bCs w:val="1"/>
                <w:color w:val="auto"/>
              </w:rPr>
              <w:t>KCAP FINANCIAL, INC.</w:t>
            </w:r>
          </w:p>
        </w:tc>
        <w:tc>
          <w:tcPr>
            <w:tcW w:w="524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0" w:type="dxa"/>
            <w:vAlign w:val="bottom"/>
          </w:tcPr>
          <w:p>
            <w:pPr>
              <w:spacing w:after="0"/>
              <w:rPr>
                <w:sz w:val="1"/>
                <w:szCs w:val="1"/>
                <w:color w:val="auto"/>
              </w:rPr>
            </w:pPr>
          </w:p>
        </w:tc>
      </w:tr>
      <w:tr>
        <w:trPr>
          <w:trHeight w:val="446"/>
        </w:trPr>
        <w:tc>
          <w:tcPr>
            <w:tcW w:w="20" w:type="dxa"/>
            <w:vAlign w:val="bottom"/>
            <w:vMerge w:val="restart"/>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900" w:type="dxa"/>
            <w:vAlign w:val="bottom"/>
            <w:vMerge w:val="restart"/>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4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452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Edward U. Gilpin</w:t>
            </w:r>
          </w:p>
        </w:tc>
        <w:tc>
          <w:tcPr>
            <w:tcW w:w="900" w:type="dxa"/>
            <w:vAlign w:val="bottom"/>
            <w:vMerge w:val="continue"/>
          </w:tcPr>
          <w:p>
            <w:pPr>
              <w:spacing w:after="0"/>
              <w:rPr>
                <w:sz w:val="16"/>
                <w:szCs w:val="16"/>
                <w:color w:val="auto"/>
              </w:rPr>
            </w:pPr>
          </w:p>
        </w:tc>
        <w:tc>
          <w:tcPr>
            <w:tcW w:w="5240" w:type="dxa"/>
            <w:vAlign w:val="bottom"/>
          </w:tcPr>
          <w:p>
            <w:pPr>
              <w:spacing w:after="0" w:line="191" w:lineRule="exact"/>
              <w:rPr>
                <w:sz w:val="20"/>
                <w:szCs w:val="20"/>
                <w:color w:val="auto"/>
              </w:rPr>
            </w:pPr>
            <w:r>
              <w:rPr>
                <w:rFonts w:ascii="Arial" w:cs="Arial" w:eastAsia="Arial" w:hAnsi="Arial"/>
                <w:sz w:val="18"/>
                <w:szCs w:val="18"/>
                <w:b w:val="1"/>
                <w:bCs w:val="1"/>
                <w:color w:val="auto"/>
              </w:rPr>
              <w:t>Print Name</w:t>
            </w:r>
          </w:p>
        </w:tc>
        <w:tc>
          <w:tcPr>
            <w:tcW w:w="0" w:type="dxa"/>
            <w:vAlign w:val="bottom"/>
          </w:tcPr>
          <w:p>
            <w:pPr>
              <w:spacing w:after="0"/>
              <w:rPr>
                <w:sz w:val="1"/>
                <w:szCs w:val="1"/>
                <w:color w:val="auto"/>
              </w:rPr>
            </w:pPr>
          </w:p>
        </w:tc>
      </w:t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5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Chief Financial Officer</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33274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KCAP FINANCIAL, INC. STRONGLY ENCOURAGES YOU TO SEEK THE ADVICE OF YOUR OWN LEGAL AND FINANCIAL ADVISORS WITH RESPECT TO YOUR AWARD AND ITS TAX CONSEQUENCES.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Grantee (the “</w:t>
      </w:r>
      <w:r>
        <w:rPr>
          <w:rFonts w:ascii="Arial" w:cs="Arial" w:eastAsia="Arial" w:hAnsi="Arial"/>
          <w:sz w:val="18"/>
          <w:szCs w:val="18"/>
          <w:u w:val="single" w:color="auto"/>
          <w:color w:val="auto"/>
        </w:rPr>
        <w:t>Grantee</w:t>
      </w:r>
      <w:r>
        <w:rPr>
          <w:rFonts w:ascii="Arial" w:cs="Arial" w:eastAsia="Arial" w:hAnsi="Arial"/>
          <w:sz w:val="18"/>
          <w:szCs w:val="18"/>
          <w:color w:val="auto"/>
        </w:rPr>
        <w:t>”) (i) acknowledges receipt of an award (the “</w:t>
      </w:r>
      <w:r>
        <w:rPr>
          <w:rFonts w:ascii="Arial" w:cs="Arial" w:eastAsia="Arial" w:hAnsi="Arial"/>
          <w:sz w:val="18"/>
          <w:szCs w:val="18"/>
          <w:u w:val="single" w:color="auto"/>
          <w:color w:val="auto"/>
        </w:rPr>
        <w:t>Award</w:t>
      </w:r>
      <w:r>
        <w:rPr>
          <w:rFonts w:ascii="Arial" w:cs="Arial" w:eastAsia="Arial" w:hAnsi="Arial"/>
          <w:sz w:val="18"/>
          <w:szCs w:val="18"/>
          <w:color w:val="auto"/>
        </w:rPr>
        <w:t>”) of restricted stock from KCAP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under the Company’s 2006 Equity Incentive Plan as Amended and Restated Effective June 20, 2014 (the “</w:t>
      </w:r>
      <w:r>
        <w:rPr>
          <w:rFonts w:ascii="Arial" w:cs="Arial" w:eastAsia="Arial" w:hAnsi="Arial"/>
          <w:sz w:val="18"/>
          <w:szCs w:val="18"/>
          <w:u w:val="single" w:color="auto"/>
          <w:color w:val="auto"/>
        </w:rPr>
        <w:t>Plan</w:t>
      </w:r>
      <w:r>
        <w:rPr>
          <w:rFonts w:ascii="Arial" w:cs="Arial" w:eastAsia="Arial" w:hAnsi="Arial"/>
          <w:sz w:val="18"/>
          <w:szCs w:val="18"/>
          <w:color w:val="auto"/>
        </w:rPr>
        <w:t>”), subject to the terms set forth below and in the Plan; and (ii) agrees with the Company as follows:</w:t>
      </w:r>
    </w:p>
    <w:p>
      <w:pPr>
        <w:spacing w:after="0" w:line="181" w:lineRule="exact"/>
        <w:rPr>
          <w:sz w:val="20"/>
          <w:szCs w:val="20"/>
          <w:color w:val="auto"/>
        </w:rPr>
      </w:pPr>
    </w:p>
    <w:p>
      <w:pPr>
        <w:ind w:left="660" w:right="2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Restricted Stock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take effect as of June 20, 2014, which is the grant date of the Award (the “</w:t>
      </w:r>
      <w:r>
        <w:rPr>
          <w:rFonts w:ascii="Arial" w:cs="Arial" w:eastAsia="Arial" w:hAnsi="Arial"/>
          <w:sz w:val="18"/>
          <w:szCs w:val="18"/>
          <w:u w:val="single" w:color="auto"/>
          <w:color w:val="auto"/>
        </w:rPr>
        <w:t>Grant Date</w:t>
      </w:r>
      <w:r>
        <w:rPr>
          <w:rFonts w:ascii="Arial" w:cs="Arial" w:eastAsia="Arial" w:hAnsi="Arial"/>
          <w:sz w:val="18"/>
          <w:szCs w:val="18"/>
          <w:color w:val="auto"/>
        </w:rPr>
        <w:t>”). The Grantee shall be the record owner of the Shares on the Grant Date.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Shares Subject to Award</w:t>
      </w:r>
      <w:r>
        <w:rPr>
          <w:rFonts w:ascii="Arial" w:cs="Arial" w:eastAsia="Arial" w:hAnsi="Arial"/>
          <w:sz w:val="18"/>
          <w:szCs w:val="18"/>
          <w:color w:val="auto"/>
        </w:rPr>
        <w:t>. The Award consists of a total of _________________________ shares of Common Stock of the Company,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300"/>
        <w:spacing w:after="0" w:line="308" w:lineRule="auto"/>
        <w:rPr>
          <w:rFonts w:ascii="Arial" w:cs="Arial" w:eastAsia="Arial" w:hAnsi="Arial"/>
          <w:sz w:val="18"/>
          <w:szCs w:val="18"/>
          <w:color w:val="auto"/>
        </w:rPr>
      </w:pPr>
      <w:r>
        <w:rPr>
          <w:rFonts w:ascii="Arial" w:cs="Arial" w:eastAsia="Arial" w:hAnsi="Arial"/>
          <w:sz w:val="17"/>
          <w:szCs w:val="17"/>
          <w:color w:val="auto"/>
        </w:rPr>
        <w:t>The Grantee’s rights to the Shares are subject to the restrictions described in this Award Agreement and the Plan (which is incorporated herein by reference with the same effect as if set forth herein in full) in addition to such other restrictions, if any, as may be imposed by law.</w:t>
      </w:r>
    </w:p>
    <w:p>
      <w:pPr>
        <w:spacing w:after="0" w:line="146" w:lineRule="exact"/>
        <w:rPr>
          <w:rFonts w:ascii="Arial" w:cs="Arial" w:eastAsia="Arial" w:hAnsi="Arial"/>
          <w:sz w:val="18"/>
          <w:szCs w:val="18"/>
          <w:color w:val="auto"/>
        </w:rPr>
      </w:pPr>
    </w:p>
    <w:p>
      <w:pPr>
        <w:jc w:val="both"/>
        <w:ind w:left="660" w:right="240" w:hanging="328"/>
        <w:spacing w:after="0" w:line="34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Nontransferability of Shares</w:t>
      </w:r>
      <w:r>
        <w:rPr>
          <w:rFonts w:ascii="Arial" w:cs="Arial" w:eastAsia="Arial" w:hAnsi="Arial"/>
          <w:sz w:val="16"/>
          <w:szCs w:val="16"/>
          <w:color w:val="auto"/>
        </w:rPr>
        <w:t>. Except as provided in this Award Agreement or the Plan, the Shares acquired by the Grantee pursuant to this Award Agreement shall not be sold, transferred, pledged, assigned or otherwise encumbered or disposed and are subject to a substantial risk of forfeiture.</w:t>
      </w:r>
    </w:p>
    <w:p>
      <w:pPr>
        <w:spacing w:after="0" w:line="123" w:lineRule="exact"/>
        <w:rPr>
          <w:rFonts w:ascii="Arial" w:cs="Arial" w:eastAsia="Arial" w:hAnsi="Arial"/>
          <w:sz w:val="16"/>
          <w:szCs w:val="16"/>
          <w:color w:val="auto"/>
        </w:rPr>
      </w:pPr>
    </w:p>
    <w:p>
      <w:pPr>
        <w:ind w:left="660" w:right="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Forfeiture Risk</w:t>
      </w:r>
      <w:r>
        <w:rPr>
          <w:rFonts w:ascii="Arial" w:cs="Arial" w:eastAsia="Arial" w:hAnsi="Arial"/>
          <w:sz w:val="17"/>
          <w:szCs w:val="17"/>
          <w:color w:val="auto"/>
        </w:rPr>
        <w:t>. If the Grantee's employment with the Company and its subsidiaries ceases for any reason, then, except as provided in Section 7, any and all outstanding and unvested Shares acquired by the Grantee hereunder shall be automatically and immediately forfeited.</w:t>
      </w:r>
    </w:p>
    <w:p>
      <w:pPr>
        <w:spacing w:after="0" w:line="146" w:lineRule="exact"/>
        <w:rPr>
          <w:rFonts w:ascii="Arial" w:cs="Arial" w:eastAsia="Arial" w:hAnsi="Arial"/>
          <w:sz w:val="17"/>
          <w:szCs w:val="17"/>
          <w:color w:val="auto"/>
        </w:rPr>
      </w:pPr>
    </w:p>
    <w:p>
      <w:pPr>
        <w:ind w:left="660" w:right="20"/>
        <w:spacing w:after="0" w:line="276" w:lineRule="auto"/>
        <w:rPr>
          <w:rFonts w:ascii="Arial" w:cs="Arial" w:eastAsia="Arial" w:hAnsi="Arial"/>
          <w:sz w:val="17"/>
          <w:szCs w:val="17"/>
          <w:color w:val="auto"/>
        </w:rPr>
      </w:pPr>
      <w:r>
        <w:rPr>
          <w:rFonts w:ascii="Arial" w:cs="Arial" w:eastAsia="Arial" w:hAnsi="Arial"/>
          <w:sz w:val="17"/>
          <w:szCs w:val="17"/>
          <w:color w:val="auto"/>
        </w:rPr>
        <w:t>The Grantee hereby (i) appoints the Company as the attorney-in-fact of the Grantee to take such actions as may be necessary or appropriate to effectuate a transfer of the record ownership of any Shares that are unvested and forfeited hereunder, (ii) agrees to deliver to the Company, as a precondition to the issuance of any certificate or certificates with respect to unvested Shares hereunder, one or more stock powers, endorsed in blank, with respect to such Shares, and (iii) agrees to sign such other powers and take such other actions as the Company may reasonably request to accomplish the transfer or forfeiture of any unvested Shares that are forfeited hereunder.</w:t>
      </w:r>
    </w:p>
    <w:p>
      <w:pPr>
        <w:spacing w:after="0" w:line="172" w:lineRule="exact"/>
        <w:rPr>
          <w:rFonts w:ascii="Arial" w:cs="Arial" w:eastAsia="Arial" w:hAnsi="Arial"/>
          <w:sz w:val="17"/>
          <w:szCs w:val="17"/>
          <w:color w:val="auto"/>
        </w:rPr>
      </w:pPr>
    </w:p>
    <w:p>
      <w:pPr>
        <w:ind w:left="660" w:right="40" w:hanging="328"/>
        <w:spacing w:after="0" w:line="34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Book Entry Form</w:t>
      </w:r>
      <w:r>
        <w:rPr>
          <w:rFonts w:ascii="Arial" w:cs="Arial" w:eastAsia="Arial" w:hAnsi="Arial"/>
          <w:sz w:val="16"/>
          <w:szCs w:val="16"/>
          <w:color w:val="auto"/>
        </w:rPr>
        <w:t>. Unvested Shares are to be held in book entry form and the Grantee agrees that the Company may give stop transfer instructions to the depositary, stock transfer agent or other keeper of the Company’s stock records to ensure compliance with the provisions hereof.</w:t>
      </w:r>
    </w:p>
    <w:p>
      <w:pPr>
        <w:spacing w:after="0" w:line="123" w:lineRule="exact"/>
        <w:rPr>
          <w:rFonts w:ascii="Arial" w:cs="Arial" w:eastAsia="Arial" w:hAnsi="Arial"/>
          <w:sz w:val="16"/>
          <w:szCs w:val="16"/>
          <w:color w:val="auto"/>
        </w:rPr>
      </w:pPr>
    </w:p>
    <w:p>
      <w:pPr>
        <w:jc w:val="both"/>
        <w:ind w:left="660" w:right="140" w:hanging="328"/>
        <w:spacing w:after="0" w:line="286"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Certificates for Unvested Shares</w:t>
      </w:r>
      <w:r>
        <w:rPr>
          <w:rFonts w:ascii="Arial" w:cs="Arial" w:eastAsia="Arial" w:hAnsi="Arial"/>
          <w:sz w:val="17"/>
          <w:szCs w:val="17"/>
          <w:color w:val="auto"/>
        </w:rPr>
        <w:t>. The Company may, upon request, issue the Grantee a certificate representing unvested Shares. The administrative costs and risk of loss of such certificated shares are the sole responsibility of the Grantee. In addition to any legend required by applicable law, any certificates issued representing Shares shall contain a legend substantially in the following form:</w:t>
      </w:r>
    </w:p>
    <w:p>
      <w:pPr>
        <w:spacing w:after="0" w:line="165" w:lineRule="exact"/>
        <w:rPr>
          <w:rFonts w:ascii="Arial" w:cs="Arial" w:eastAsia="Arial" w:hAnsi="Arial"/>
          <w:sz w:val="17"/>
          <w:szCs w:val="17"/>
          <w:color w:val="auto"/>
        </w:rPr>
      </w:pPr>
    </w:p>
    <w:p>
      <w:pPr>
        <w:ind w:left="660" w:right="60"/>
        <w:spacing w:after="0" w:line="257" w:lineRule="auto"/>
        <w:rPr>
          <w:rFonts w:ascii="Arial" w:cs="Arial" w:eastAsia="Arial" w:hAnsi="Arial"/>
          <w:sz w:val="17"/>
          <w:szCs w:val="17"/>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KCAP FINANCIAL, INC. 2006 EQUITY INCENTIVE PLAN AS AMENDED AND RESTATED EFFECTIVE JUNE 20, 2014, AND THE RESTRICTED STOCK AWARD AGREEMENT RELATING TO THE SHARES ENTERED INTO BETWEEN THE REGISTERED OWNER AND KCAP FINANCIAL, INC. COPIES OF SUCH PLAN AND AWARD AGREEMENT ARE ON FILE IN THE OFFICES OF KCAP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ind w:left="328" w:right="200" w:hanging="328"/>
        <w:spacing w:after="0" w:line="264" w:lineRule="auto"/>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Vesting of Shares</w:t>
      </w:r>
      <w:r>
        <w:rPr>
          <w:rFonts w:ascii="Arial" w:cs="Arial" w:eastAsia="Arial" w:hAnsi="Arial"/>
          <w:sz w:val="18"/>
          <w:szCs w:val="18"/>
          <w:color w:val="auto"/>
        </w:rPr>
        <w:t>. Unless earlier vested pursuant to the Plan, the restrictions on the Shares granted hereunder shall lapse, i.e., the Shares shall vest, during the Grantee’s employment by the Company or a subsidiary thereof in accordance with the provisions of this Section 7 and applicable provisions of the Plan, as follows:</w:t>
      </w:r>
    </w:p>
    <w:p>
      <w:pPr>
        <w:spacing w:after="0" w:line="181" w:lineRule="exact"/>
        <w:rPr>
          <w:rFonts w:ascii="Arial" w:cs="Arial" w:eastAsia="Arial" w:hAnsi="Arial"/>
          <w:sz w:val="18"/>
          <w:szCs w:val="18"/>
          <w:color w:val="auto"/>
        </w:rPr>
      </w:pPr>
    </w:p>
    <w:p>
      <w:pPr>
        <w:ind w:left="648" w:right="560" w:hanging="324"/>
        <w:spacing w:after="0" w:line="258" w:lineRule="auto"/>
        <w:tabs>
          <w:tab w:leader="none" w:pos="648"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Shares shall vest in four (4) equal annual installments beginning on the first anniversary of the Grant Date, provided that the Grantee remains in the continuous employment of the Company or a subsidiary through each vesting date.</w:t>
      </w:r>
    </w:p>
    <w:p>
      <w:pPr>
        <w:spacing w:after="0" w:line="1"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93"/>
        </w:numPr>
        <w:rPr>
          <w:rFonts w:ascii="Arial" w:cs="Arial" w:eastAsia="Arial" w:hAnsi="Arial"/>
          <w:sz w:val="17"/>
          <w:szCs w:val="17"/>
          <w:color w:val="auto"/>
        </w:rPr>
      </w:pPr>
      <w:r>
        <w:rPr>
          <w:rFonts w:ascii="Arial" w:cs="Arial" w:eastAsia="Arial" w:hAnsi="Arial"/>
          <w:sz w:val="17"/>
          <w:szCs w:val="17"/>
          <w:color w:val="auto"/>
        </w:rPr>
        <w:t>Notwithstanding the foregoing, if the Grantee’s employment is terminated by the Company without Cause or due to the Grantee’s death or Disability, then the Shares that otherwise would have vested on the anniversary of the Grant Date that next follows the date of Grantee’s termination (if not already vested) shall immediately vest, and all other unvested Shares will be automatically and immediately forfeited.</w:t>
      </w:r>
    </w:p>
    <w:p>
      <w:pPr>
        <w:jc w:val="both"/>
        <w:ind w:left="648" w:hanging="324"/>
        <w:spacing w:after="0" w:line="269" w:lineRule="auto"/>
        <w:tabs>
          <w:tab w:leader="none" w:pos="648" w:val="left"/>
        </w:tabs>
        <w:numPr>
          <w:ilvl w:val="1"/>
          <w:numId w:val="93"/>
        </w:numPr>
        <w:rPr>
          <w:rFonts w:ascii="Arial" w:cs="Arial" w:eastAsia="Arial" w:hAnsi="Arial"/>
          <w:sz w:val="17"/>
          <w:szCs w:val="17"/>
          <w:color w:val="auto"/>
        </w:rPr>
      </w:pPr>
      <w:r>
        <w:rPr>
          <w:rFonts w:ascii="Arial" w:cs="Arial" w:eastAsia="Arial" w:hAnsi="Arial"/>
          <w:sz w:val="17"/>
          <w:szCs w:val="17"/>
          <w:color w:val="auto"/>
        </w:rPr>
        <w:t>Further notwithstanding the foregoing and except as otherwise provided in an employment agreement between the Grantee and the Company, if there is a Covered Transaction and (x) the successor or acquiring entity (if any) does not assume, convert or replace the Award with an equivalent award, then the Shares shall vest in full upon such Covered Transaction, or (y) the successor or acquiring entity (if any) does assume, convert or replace the Award with an equivalent award and the Grantee’s employment is terminated by the Company (or any successor or acquiring entity) without Cause or the Grantee resigns from his or her employment with the Company (or any successor or acquiring entity) for Good Reason, in either case within twenty-four (24) months immediately following the Covered Transaction, then the Shares shall vest in full upon such termination of employment or resignation (as applicable).</w:t>
      </w:r>
    </w:p>
    <w:p>
      <w:pPr>
        <w:spacing w:after="0" w:line="181" w:lineRule="exact"/>
        <w:rPr>
          <w:sz w:val="20"/>
          <w:szCs w:val="20"/>
          <w:color w:val="auto"/>
        </w:rPr>
      </w:pPr>
    </w:p>
    <w:p>
      <w:pPr>
        <w:ind w:left="328" w:right="20"/>
        <w:spacing w:after="0" w:line="270" w:lineRule="auto"/>
        <w:rPr>
          <w:sz w:val="20"/>
          <w:szCs w:val="20"/>
          <w:color w:val="auto"/>
        </w:rPr>
      </w:pPr>
      <w:r>
        <w:rPr>
          <w:rFonts w:ascii="Arial" w:cs="Arial" w:eastAsia="Arial" w:hAnsi="Arial"/>
          <w:sz w:val="17"/>
          <w:szCs w:val="17"/>
          <w:color w:val="auto"/>
        </w:rPr>
        <w:t>Notwithstanding any provision to the contrary in the Plan or this Agreement, if any accelerated vesting of Shares pursuant to Section 7(iii), either alone or together with all other payments and benefits received or to be received by the Grantee from the Company or any of its affiliates would be subject to the excise tax imposed by Section 4999 of the Internal Revenue Code (or any successor thereto), and the net amount that would be retained by the Grantee after all taxes were paid would be less than if the accelerated vesting of Shares was limited to the greatest amount of acceleration that would result in no amounts being subject to such excise tax, then the accelerated vesting to which the Participant is entitled shall be so limited. The Company shall make all determinations under this paragraph, provided that if the Participant disagrees with any such determinations, the Company shall engage a national accounting firm selected by the Company to make such determinations, and such determinations shall be final and binding on the Participant. To the extent that Shares hereunder are not vested as a consequence of the limitation contained in this paragraph, then the Award (to the extent not so accelerated) shall be deemed to remain outstanding and shall be subject to the provisions hereof and of the Plan as if no acceleration of vesting had occurred.</w:t>
      </w:r>
    </w:p>
    <w:p>
      <w:pPr>
        <w:spacing w:after="0" w:line="17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For purposes of this Award Agreement:</w:t>
      </w:r>
    </w:p>
    <w:p>
      <w:pPr>
        <w:spacing w:after="0" w:line="225" w:lineRule="exact"/>
        <w:rPr>
          <w:sz w:val="20"/>
          <w:szCs w:val="20"/>
          <w:color w:val="auto"/>
        </w:rPr>
      </w:pPr>
    </w:p>
    <w:p>
      <w:pPr>
        <w:jc w:val="both"/>
        <w:ind w:left="968" w:hanging="644"/>
        <w:spacing w:after="0" w:line="253" w:lineRule="auto"/>
        <w:tabs>
          <w:tab w:leader="none" w:pos="9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“Cause” shall mean (i) Grantee’s repeated material failure to perform (other than by reason of Disability), or gross negligence in the performance of, his or her duties and responsibilities to the Company or any of its Affiliates which failure is not cured within thirty (30) days after written notice of such failure or negligence is delivered to Grantee; (ii) Grantee’s material breach of any agreement between Grantee and the Company or any of its Affiliates which breach is not cured within thirty (30) days after written notice of such breach is delivered to Grantee; (iii) commission by Grantee of a felony involving moral turpitude or fraud with respect to the Company or any of its Affiliates; (iv) Grantee being sanctioned by a federal or state government or agency with violations of federal or state securities laws in any judicial or administrative process or proceeding, or having been found by any court to have committed any such violation; or (v) Grantee’s failure to comply with (A) any material Company policy or procedure, including without limitation, the Codes of Ethics, policies and procedures of the Company, or (B) any legal or regulatory obligations or requirements, including, without limitation, failure to provide any certifications as may be required by law which is not cured within thirty (30) days after written notice of such violation is delivered to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405765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97" w:name="page98"/>
    <w:bookmarkEnd w:id="97"/>
    <w:p>
      <w:pPr>
        <w:ind w:left="968" w:hanging="644"/>
        <w:spacing w:after="0"/>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“Covered Transaction” shall mean the occurrence of one of the following events:</w:t>
      </w:r>
    </w:p>
    <w:p>
      <w:pPr>
        <w:spacing w:after="0" w:line="225" w:lineRule="exact"/>
        <w:rPr>
          <w:rFonts w:ascii="Arial" w:cs="Arial" w:eastAsia="Arial" w:hAnsi="Arial"/>
          <w:sz w:val="18"/>
          <w:szCs w:val="18"/>
          <w:color w:val="auto"/>
        </w:rPr>
      </w:pPr>
    </w:p>
    <w:p>
      <w:pPr>
        <w:jc w:val="both"/>
        <w:ind w:left="968" w:firstLine="653"/>
        <w:spacing w:after="0" w:line="259" w:lineRule="auto"/>
        <w:tabs>
          <w:tab w:leader="none" w:pos="2373"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acquisition by any person, entity or “group”, within the meaning of Section 13(d)(3) or 14(d)(2) of the Securities Exchange Act (excluding, for this purpose, the Company or its Affiliates) of beneficial ownership of 33% or more of either the then outstanding shares of the Company’s common stock or the combined voting power of the Company’s then outstanding voting securities entitled to vote generally in the election of directors.</w:t>
      </w:r>
    </w:p>
    <w:p>
      <w:pPr>
        <w:spacing w:after="0" w:line="186" w:lineRule="exact"/>
        <w:rPr>
          <w:rFonts w:ascii="Arial" w:cs="Arial" w:eastAsia="Arial" w:hAnsi="Arial"/>
          <w:sz w:val="18"/>
          <w:szCs w:val="18"/>
          <w:color w:val="auto"/>
        </w:rPr>
      </w:pPr>
    </w:p>
    <w:p>
      <w:pPr>
        <w:jc w:val="both"/>
        <w:ind w:left="968" w:firstLine="653"/>
        <w:spacing w:after="0" w:line="255" w:lineRule="auto"/>
        <w:tabs>
          <w:tab w:leader="none" w:pos="22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that any person who first becomes a director subsequent to the date hereof whose recommendation,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described in Rule 14a-11 of Regulation 14A promulgated under the Securities Exchange Act) shall be, for the purposes of this agreement, considered as though such person were a member of the Incumbent Board; or</w:t>
      </w:r>
    </w:p>
    <w:p>
      <w:pPr>
        <w:spacing w:after="0" w:line="189" w:lineRule="exact"/>
        <w:rPr>
          <w:rFonts w:ascii="Arial" w:cs="Arial" w:eastAsia="Arial" w:hAnsi="Arial"/>
          <w:sz w:val="18"/>
          <w:szCs w:val="18"/>
          <w:color w:val="auto"/>
        </w:rPr>
      </w:pPr>
    </w:p>
    <w:p>
      <w:pPr>
        <w:jc w:val="both"/>
        <w:ind w:left="968" w:firstLine="653"/>
        <w:spacing w:after="0" w:line="259" w:lineRule="auto"/>
        <w:tabs>
          <w:tab w:leader="none" w:pos="2236" w:val="left"/>
        </w:tabs>
        <w:numPr>
          <w:ilvl w:val="2"/>
          <w:numId w:val="95"/>
        </w:numPr>
        <w:rPr>
          <w:rFonts w:ascii="Arial" w:cs="Arial" w:eastAsia="Arial" w:hAnsi="Arial"/>
          <w:sz w:val="18"/>
          <w:szCs w:val="18"/>
          <w:color w:val="auto"/>
        </w:rPr>
      </w:pPr>
      <w:r>
        <w:rPr>
          <w:rFonts w:ascii="Arial" w:cs="Arial" w:eastAsia="Arial" w:hAnsi="Arial"/>
          <w:sz w:val="18"/>
          <w:szCs w:val="18"/>
          <w:color w:val="auto"/>
        </w:rPr>
        <w:t>Approval by the stockholders of the Company of a reorganization, share exchange, merger or consolidation with respect to which, in any such case, the persons who were the stockholders of the Company immediately prior to such reorganization, share exchange, merger or consolidation do not, immediately thereafter, own more than 50% of the combined voting power entitled to vote in the election of directors of the reorganized, merged or consolidated company;</w:t>
      </w:r>
    </w:p>
    <w:p>
      <w:pPr>
        <w:spacing w:after="0" w:line="186" w:lineRule="exact"/>
        <w:rPr>
          <w:rFonts w:ascii="Arial" w:cs="Arial" w:eastAsia="Arial" w:hAnsi="Arial"/>
          <w:sz w:val="18"/>
          <w:szCs w:val="18"/>
          <w:color w:val="auto"/>
        </w:rPr>
      </w:pPr>
    </w:p>
    <w:p>
      <w:pPr>
        <w:ind w:left="2228" w:hanging="607"/>
        <w:spacing w:after="0"/>
        <w:tabs>
          <w:tab w:leader="none" w:pos="2228" w:val="left"/>
        </w:tabs>
        <w:numPr>
          <w:ilvl w:val="2"/>
          <w:numId w:val="95"/>
        </w:numPr>
        <w:rPr>
          <w:rFonts w:ascii="Arial" w:cs="Arial" w:eastAsia="Arial" w:hAnsi="Arial"/>
          <w:sz w:val="18"/>
          <w:szCs w:val="18"/>
          <w:color w:val="auto"/>
        </w:rPr>
      </w:pPr>
      <w:r>
        <w:rPr>
          <w:rFonts w:ascii="Arial" w:cs="Arial" w:eastAsia="Arial" w:hAnsi="Arial"/>
          <w:sz w:val="18"/>
          <w:szCs w:val="18"/>
          <w:color w:val="auto"/>
        </w:rPr>
        <w:t>Approval by the stockholders of a plan of complete liquidation or dissolution of the Company; or</w:t>
      </w:r>
    </w:p>
    <w:p>
      <w:pPr>
        <w:spacing w:after="0" w:line="225" w:lineRule="exact"/>
        <w:rPr>
          <w:rFonts w:ascii="Arial" w:cs="Arial" w:eastAsia="Arial" w:hAnsi="Arial"/>
          <w:sz w:val="18"/>
          <w:szCs w:val="18"/>
          <w:color w:val="auto"/>
        </w:rPr>
      </w:pPr>
    </w:p>
    <w:p>
      <w:pPr>
        <w:ind w:left="2228" w:hanging="607"/>
        <w:spacing w:after="0"/>
        <w:tabs>
          <w:tab w:leader="none" w:pos="2228" w:val="left"/>
        </w:tabs>
        <w:numPr>
          <w:ilvl w:val="2"/>
          <w:numId w:val="95"/>
        </w:numPr>
        <w:rPr>
          <w:rFonts w:ascii="Arial" w:cs="Arial" w:eastAsia="Arial" w:hAnsi="Arial"/>
          <w:sz w:val="18"/>
          <w:szCs w:val="18"/>
          <w:color w:val="auto"/>
        </w:rPr>
      </w:pPr>
      <w:r>
        <w:rPr>
          <w:rFonts w:ascii="Arial" w:cs="Arial" w:eastAsia="Arial" w:hAnsi="Arial"/>
          <w:sz w:val="18"/>
          <w:szCs w:val="18"/>
          <w:color w:val="auto"/>
        </w:rPr>
        <w:t>A sale of all or substantially all of the assets of the Company.</w:t>
      </w:r>
    </w:p>
    <w:p>
      <w:pPr>
        <w:spacing w:after="0" w:line="225" w:lineRule="exact"/>
        <w:rPr>
          <w:rFonts w:ascii="Arial" w:cs="Arial" w:eastAsia="Arial" w:hAnsi="Arial"/>
          <w:sz w:val="18"/>
          <w:szCs w:val="18"/>
          <w:color w:val="auto"/>
        </w:rPr>
      </w:pPr>
    </w:p>
    <w:p>
      <w:pPr>
        <w:jc w:val="both"/>
        <w:ind w:left="968" w:hanging="644"/>
        <w:spacing w:after="0" w:line="259" w:lineRule="auto"/>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“Disability” means Grantee’s inability to perform the essential duties, responsibilities and functions of his or her position with the Company (as determined by the Board in its good faith judgment, consistent with its policies and past practice) as a result of any mental or physical disability or incapacity even with reasonable accommodations of such disability or incapacity provided by the Company or if providing such accommodations would be unreasonable..</w:t>
      </w:r>
    </w:p>
    <w:p>
      <w:pPr>
        <w:spacing w:after="0" w:line="186" w:lineRule="exact"/>
        <w:rPr>
          <w:rFonts w:ascii="Arial" w:cs="Arial" w:eastAsia="Arial" w:hAnsi="Arial"/>
          <w:sz w:val="18"/>
          <w:szCs w:val="18"/>
          <w:color w:val="auto"/>
        </w:rPr>
      </w:pPr>
    </w:p>
    <w:p>
      <w:pPr>
        <w:ind w:left="968" w:right="40" w:hanging="644"/>
        <w:spacing w:after="0" w:line="255" w:lineRule="auto"/>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“Good Reason” shall mean, without Grantee’s consent, the occurrence of one or more of the following events: (i) material diminution in the nature or scope of Grantee’s responsibilities, duties or authority; (ii) material reduction in Grantee’s annual base salary or annual target bonus opportunity; (iii) Grantee being required to relocate to a principal place of employment outside of New York, New York; (iv) the Company’s failure to renew any employment agreement with Grantee in accordance with the terms of such employment agreement; or (v) a change in Grantee’s reporting relationships within the Company that occurs in anticipation of or within twenty four (24) months after a Covered Transaction.</w:t>
      </w:r>
    </w:p>
    <w:p>
      <w:pPr>
        <w:spacing w:after="0" w:line="193" w:lineRule="exact"/>
        <w:rPr>
          <w:rFonts w:ascii="Arial" w:cs="Arial" w:eastAsia="Arial" w:hAnsi="Arial"/>
          <w:sz w:val="18"/>
          <w:szCs w:val="18"/>
          <w:color w:val="auto"/>
        </w:rPr>
      </w:pPr>
    </w:p>
    <w:p>
      <w:pPr>
        <w:ind w:left="968" w:hanging="644"/>
        <w:spacing w:after="0"/>
        <w:tabs>
          <w:tab w:leader="none" w:pos="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“Payment” shall mean any transfer of property within the meaning of Section 280G of the Internal Revenue Code.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Settlement of Vested Shares</w:t>
      </w:r>
      <w:r>
        <w:rPr>
          <w:rFonts w:ascii="Arial" w:cs="Arial" w:eastAsia="Arial" w:hAnsi="Arial"/>
          <w:sz w:val="18"/>
          <w:szCs w:val="18"/>
          <w:color w:val="auto"/>
        </w:rPr>
        <w:t>. Each Share that is vested in accordance with this Award Agreement shall be settled by the issuance of a whole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391795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98" w:name="page99"/>
    <w:bookmarkEnd w:id="98"/>
    <w:p>
      <w:pPr>
        <w:ind w:left="328" w:right="540"/>
        <w:spacing w:after="0" w:line="277" w:lineRule="auto"/>
        <w:rPr>
          <w:sz w:val="20"/>
          <w:szCs w:val="20"/>
          <w:color w:val="auto"/>
        </w:rPr>
      </w:pPr>
      <w:r>
        <w:rPr>
          <w:rFonts w:ascii="Arial" w:cs="Arial" w:eastAsia="Arial" w:hAnsi="Arial"/>
          <w:sz w:val="18"/>
          <w:szCs w:val="18"/>
          <w:color w:val="auto"/>
        </w:rPr>
        <w:t>Unless a Section 83(b) election is made within 30 days of the Grant Date, vested Shares shall be treated as compensation and shall be taxed at normal federal, state and local income tax rates at the fair value of the Shares on the vesting date.</w:t>
      </w:r>
    </w:p>
    <w:p>
      <w:pPr>
        <w:spacing w:after="0" w:line="170" w:lineRule="exact"/>
        <w:rPr>
          <w:sz w:val="20"/>
          <w:szCs w:val="20"/>
          <w:color w:val="auto"/>
        </w:rPr>
      </w:pPr>
    </w:p>
    <w:p>
      <w:pPr>
        <w:ind w:left="328" w:right="40"/>
        <w:spacing w:after="0" w:line="272" w:lineRule="auto"/>
        <w:rPr>
          <w:sz w:val="20"/>
          <w:szCs w:val="20"/>
          <w:color w:val="auto"/>
        </w:rPr>
      </w:pPr>
      <w:r>
        <w:rPr>
          <w:rFonts w:ascii="Arial" w:cs="Arial" w:eastAsia="Arial" w:hAnsi="Arial"/>
          <w:sz w:val="17"/>
          <w:szCs w:val="17"/>
          <w:color w:val="auto"/>
        </w:rPr>
        <w:t>The Company's obligation to deliver a certificate upon vesting representing such vested Shares shall be subject to the Grantee’s satisfaction of all applicable federal, state and local income and employment tax withholding obligations. The Grantee may satisfy such obligation(s), in whole or in part, by (i) delivering to the Company a check for the amount required to be withheld or (ii) if permitted under the 1940 Act and as the Board in its sole discretion approves in any specific or general case, having the Company withhold Shares or delivering to the Company already-owned shares of Common Stock, in either case having a fair market value equal to the amount required to be withheld, as determined by the Company. In addition, to the extent that the Company so chooses, the Company can hold back 100% of the Grantee's compensation earned after such obligations arose and such held back amount shall be applied by the Company to satisfy such obligations.</w:t>
      </w:r>
    </w:p>
    <w:p>
      <w:pPr>
        <w:spacing w:after="0" w:line="178" w:lineRule="exact"/>
        <w:rPr>
          <w:sz w:val="20"/>
          <w:szCs w:val="20"/>
          <w:color w:val="auto"/>
        </w:rPr>
      </w:pPr>
    </w:p>
    <w:p>
      <w:pPr>
        <w:ind w:left="328" w:right="200" w:hanging="328"/>
        <w:spacing w:after="0" w:line="312" w:lineRule="auto"/>
        <w:tabs>
          <w:tab w:leader="none" w:pos="32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Delivery of Vested Shares</w:t>
      </w:r>
      <w:r>
        <w:rPr>
          <w:rFonts w:ascii="Arial" w:cs="Arial" w:eastAsia="Arial" w:hAnsi="Arial"/>
          <w:sz w:val="16"/>
          <w:szCs w:val="16"/>
          <w:color w:val="auto"/>
        </w:rPr>
        <w:t>. Delivery of vested Shares is conditioned on: (i) the Grantee’s satisfaction of applicable tax withholding requirements as set forth in Section 8 of this Award Agreement; (ii) the completion of any administrative steps (for example, but without limitation, the transfer of certificates) that the Company may reasonably impose; and (iii) applicable requirements of federal and state securities laws.</w:t>
      </w:r>
    </w:p>
    <w:p>
      <w:pPr>
        <w:spacing w:after="0" w:line="146" w:lineRule="exact"/>
        <w:rPr>
          <w:rFonts w:ascii="Arial" w:cs="Arial" w:eastAsia="Arial" w:hAnsi="Arial"/>
          <w:sz w:val="16"/>
          <w:szCs w:val="16"/>
          <w:color w:val="auto"/>
        </w:rPr>
      </w:pPr>
    </w:p>
    <w:p>
      <w:pPr>
        <w:ind w:left="328"/>
        <w:spacing w:after="0" w:line="276" w:lineRule="auto"/>
        <w:rPr>
          <w:rFonts w:ascii="Arial" w:cs="Arial" w:eastAsia="Arial" w:hAnsi="Arial"/>
          <w:sz w:val="16"/>
          <w:szCs w:val="16"/>
          <w:color w:val="auto"/>
        </w:rPr>
      </w:pPr>
      <w:r>
        <w:rPr>
          <w:rFonts w:ascii="Arial" w:cs="Arial" w:eastAsia="Arial" w:hAnsi="Arial"/>
          <w:sz w:val="17"/>
          <w:szCs w:val="17"/>
          <w:color w:val="auto"/>
        </w:rPr>
        <w:t>For any vested Shares that have been requested to be settled by the Grantee, the Company will take such steps as it deems necessary or appropriate to record and manifest such Shares for delivery to the Grantee without restriction on transferability. At the direction of the Grantee, delivery may be either in book-entry form through the Depository Trust Company (or a nominee thereof) to an account at the Grantee’s direction or certificated, without the aforesaid legend, and issued and delivered to the Grantee. The Grantee agrees to complete and execute any documents and to take any additional action that the Company may request to enable it to deliver the vested Shares to the Grantee.</w:t>
      </w:r>
    </w:p>
    <w:p>
      <w:pPr>
        <w:spacing w:after="0" w:line="172" w:lineRule="exact"/>
        <w:rPr>
          <w:rFonts w:ascii="Arial" w:cs="Arial" w:eastAsia="Arial" w:hAnsi="Arial"/>
          <w:sz w:val="16"/>
          <w:szCs w:val="16"/>
          <w:color w:val="auto"/>
        </w:rPr>
      </w:pPr>
    </w:p>
    <w:p>
      <w:pPr>
        <w:ind w:left="328" w:right="40" w:hanging="328"/>
        <w:spacing w:after="0" w:line="308" w:lineRule="auto"/>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Fractional shares shall not vest hereunder, and when any provision hereof may cause a fractional share to vest, any vesting in such fractional share shall be postponed until such fractional share and other fractional shares equal a vested whole share.</w:t>
      </w:r>
    </w:p>
    <w:p>
      <w:pPr>
        <w:spacing w:after="0" w:line="146" w:lineRule="exact"/>
        <w:rPr>
          <w:rFonts w:ascii="Arial" w:cs="Arial" w:eastAsia="Arial" w:hAnsi="Arial"/>
          <w:sz w:val="17"/>
          <w:szCs w:val="17"/>
          <w:color w:val="auto"/>
        </w:rPr>
      </w:pPr>
    </w:p>
    <w:p>
      <w:pPr>
        <w:ind w:left="328" w:right="40" w:hanging="328"/>
        <w:spacing w:after="0" w:line="270" w:lineRule="auto"/>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Dividends, etc</w:t>
      </w:r>
      <w:r>
        <w:rPr>
          <w:rFonts w:ascii="Arial" w:cs="Arial" w:eastAsia="Arial" w:hAnsi="Arial"/>
          <w:sz w:val="17"/>
          <w:szCs w:val="17"/>
          <w:color w:val="auto"/>
        </w:rPr>
        <w:t xml:space="preserve">. The Grantee shall be entitled to (i) receive any and all dividends or other distributions paid with respect to those vested and unvested Shares of which the Grantee is the record owner on the record date for such dividend or other distribution, whether or not vested at such time, in the same form and amount as any holder of Stock receives, and (ii) vote any Shares of which the Grantee is the record owner on the record date for such vote;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property (other than cash) distributed with respect to a share of Stock (the “</w:t>
      </w:r>
      <w:r>
        <w:rPr>
          <w:rFonts w:ascii="Arial" w:cs="Arial" w:eastAsia="Arial" w:hAnsi="Arial"/>
          <w:sz w:val="17"/>
          <w:szCs w:val="17"/>
          <w:u w:val="single" w:color="auto"/>
          <w:color w:val="auto"/>
        </w:rPr>
        <w:t>Associated Share</w:t>
      </w:r>
      <w:r>
        <w:rPr>
          <w:rFonts w:ascii="Arial" w:cs="Arial" w:eastAsia="Arial" w:hAnsi="Arial"/>
          <w:sz w:val="17"/>
          <w:szCs w:val="17"/>
          <w:color w:val="auto"/>
        </w:rPr>
        <w:t>”) acquired hereunder, by reason of a stock dividend, stock split or other similar adjustment to the Stock pursuant to Section 4(d) of the Plan, shall be subject to the restrictions of this Award Agreement in the same manner and for so long as the Associated Share remains subject to such restrictions, and shall be promptly forfeited if and when the Associated Share is so forfeited. Notwithstanding the foregoing, the Grantee shall elect, and hereby irrevocably appoints the Company’s Chairman of the Board and the Company’s Secretary as the Grantee’s attorneys-in-fact to elect on Grantee’s behalf in the absence of an election from Grantee, to receive cash distributions under the Company’s dividend reinvestment plan in respect of all unvested Shares under this Award Agreement.</w:t>
      </w:r>
    </w:p>
    <w:p>
      <w:pPr>
        <w:spacing w:after="0" w:line="177" w:lineRule="exact"/>
        <w:rPr>
          <w:rFonts w:ascii="Arial" w:cs="Arial" w:eastAsia="Arial" w:hAnsi="Arial"/>
          <w:sz w:val="17"/>
          <w:szCs w:val="17"/>
          <w:color w:val="auto"/>
        </w:rPr>
      </w:pPr>
    </w:p>
    <w:p>
      <w:pPr>
        <w:ind w:left="328" w:right="280" w:hanging="328"/>
        <w:spacing w:after="0" w:line="277"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Sale of Vested Shares</w:t>
      </w:r>
      <w:r>
        <w:rPr>
          <w:rFonts w:ascii="Arial" w:cs="Arial" w:eastAsia="Arial" w:hAnsi="Arial"/>
          <w:sz w:val="18"/>
          <w:szCs w:val="18"/>
          <w:color w:val="auto"/>
        </w:rPr>
        <w:t>. The Grantee acknowledges and agrees that any Common Stock issued in respect of vested Shares hereunder may be traded only as permitted by the Company’s Codes of Ethics, policies and procedures</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328" w:hanging="328"/>
        <w:spacing w:after="0" w:line="286" w:lineRule="auto"/>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 This Grant is subject in its entirety to the provisions of the Plan, which are incorporated herein by reference. A copy of the Plan as in effect on the date of the grant of this Award is available to the Grantee and the Grantee agrees to be bound by the terms of the Plan and this Award. In the event of any conflict between the terms of this Award and the Plan, the terms of this Award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388620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99" w:name="page100"/>
    <w:bookmarkEnd w:id="99"/>
    <w:p>
      <w:pPr>
        <w:ind w:left="660" w:right="1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defined in this Award Agreement are used herein as so defined. Capitalized terms used in this Award Agreement and not otherwise defined herein shall have the meaning provided in the Plan.</w:t>
      </w:r>
    </w:p>
    <w:p>
      <w:pPr>
        <w:spacing w:after="0" w:line="170"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Change in Capital Structure</w:t>
      </w:r>
      <w:r>
        <w:rPr>
          <w:rFonts w:ascii="Arial" w:cs="Arial" w:eastAsia="Arial" w:hAnsi="Arial"/>
          <w:sz w:val="18"/>
          <w:szCs w:val="18"/>
          <w:color w:val="auto"/>
        </w:rPr>
        <w:t>. In accordance with Section 4(d) of the Plan, the terms of this Award Agreement shall be adjusted as the Board determines is equitably required in the event the Company effects one or more stock dividends, stock split-ups, subdivisions or consolidations of shares or other similar changes in capitalization.</w:t>
      </w:r>
    </w:p>
    <w:p>
      <w:pPr>
        <w:spacing w:after="0" w:line="181"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Employment Commitment; Tax Treatment</w:t>
      </w:r>
      <w:r>
        <w:rPr>
          <w:rFonts w:ascii="Arial" w:cs="Arial" w:eastAsia="Arial" w:hAnsi="Arial"/>
          <w:sz w:val="17"/>
          <w:szCs w:val="17"/>
          <w:color w:val="auto"/>
        </w:rPr>
        <w:t>. Nothing herein contained shall be deemed to be or constitute an agreement or commitment by the Company or any of its subsidiaries to continue the Grantee in its employ. The Company makes no representation about the tax treatment to the Grantee with respect to receipt or settlement of the restricted Shares or acquiring, holding or disposing of the Shares.</w:t>
      </w:r>
    </w:p>
    <w:p>
      <w:pPr>
        <w:spacing w:after="0" w:line="165" w:lineRule="exact"/>
        <w:rPr>
          <w:rFonts w:ascii="Arial" w:cs="Arial" w:eastAsia="Arial" w:hAnsi="Arial"/>
          <w:sz w:val="17"/>
          <w:szCs w:val="17"/>
          <w:color w:val="auto"/>
        </w:rPr>
      </w:pPr>
    </w:p>
    <w:p>
      <w:pPr>
        <w:jc w:val="both"/>
        <w:ind w:left="660" w:right="42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Grantee Bound by Plan</w:t>
      </w:r>
      <w:r>
        <w:rPr>
          <w:rFonts w:ascii="Arial" w:cs="Arial" w:eastAsia="Arial" w:hAnsi="Arial"/>
          <w:sz w:val="18"/>
          <w:szCs w:val="18"/>
          <w:color w:val="auto"/>
        </w:rPr>
        <w:t>. The Grantee hereby acknowledges that a copy of the Plan as in effect on the date hereof has been made available to the Grantee and agrees to be bound by all the terms and provisions thereof (as such Plan may be amended from time to time in accordance with the terms thereof).</w:t>
      </w:r>
    </w:p>
    <w:p>
      <w:pPr>
        <w:spacing w:after="0" w:line="181"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For purposes of this Award Agreement and any determinations to be made by the Board or the Committee, as the case may be, hereunder, the determinations by the Board or the Committee, as the case may be, shall be binding upon the Grantee and any transferee.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4"/>
          </w:tcPr>
          <w:p>
            <w:pPr>
              <w:spacing w:after="0"/>
              <w:rPr>
                <w:sz w:val="20"/>
                <w:szCs w:val="20"/>
                <w:color w:val="auto"/>
              </w:rPr>
            </w:pPr>
            <w:r>
              <w:rPr>
                <w:rFonts w:ascii="Arial" w:cs="Arial" w:eastAsia="Arial" w:hAnsi="Arial"/>
                <w:sz w:val="18"/>
                <w:szCs w:val="18"/>
                <w:b w:val="1"/>
                <w:bCs w:val="1"/>
                <w:color w:val="auto"/>
              </w:rPr>
              <w:t>Agreed as of the Grant Date Shown Above:</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gridSpan w:val="4"/>
          </w:tcPr>
          <w:p>
            <w:pPr>
              <w:spacing w:after="0"/>
              <w:rPr>
                <w:sz w:val="20"/>
                <w:szCs w:val="20"/>
                <w:color w:val="auto"/>
              </w:rPr>
            </w:pPr>
            <w:r>
              <w:rPr>
                <w:rFonts w:ascii="Arial" w:cs="Arial" w:eastAsia="Arial" w:hAnsi="Arial"/>
                <w:sz w:val="18"/>
                <w:szCs w:val="18"/>
                <w:b w:val="1"/>
                <w:bCs w:val="1"/>
                <w:color w:val="auto"/>
              </w:rPr>
              <w:t>KCAP FINANCIAL, INC.</w:t>
            </w:r>
          </w:p>
        </w:tc>
        <w:tc>
          <w:tcPr>
            <w:tcW w:w="524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900" w:type="dxa"/>
            <w:vAlign w:val="bottom"/>
            <w:vMerge w:val="restart"/>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4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452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Edward U. Gilpin</w:t>
            </w:r>
          </w:p>
        </w:tc>
        <w:tc>
          <w:tcPr>
            <w:tcW w:w="900" w:type="dxa"/>
            <w:vAlign w:val="bottom"/>
            <w:vMerge w:val="continue"/>
          </w:tcPr>
          <w:p>
            <w:pPr>
              <w:spacing w:after="0"/>
              <w:rPr>
                <w:sz w:val="16"/>
                <w:szCs w:val="16"/>
                <w:color w:val="auto"/>
              </w:rPr>
            </w:pPr>
          </w:p>
        </w:tc>
        <w:tc>
          <w:tcPr>
            <w:tcW w:w="5240" w:type="dxa"/>
            <w:vAlign w:val="bottom"/>
          </w:tcPr>
          <w:p>
            <w:pPr>
              <w:spacing w:after="0" w:line="191" w:lineRule="exact"/>
              <w:rPr>
                <w:sz w:val="20"/>
                <w:szCs w:val="20"/>
                <w:color w:val="auto"/>
              </w:rPr>
            </w:pPr>
            <w:r>
              <w:rPr>
                <w:rFonts w:ascii="Arial" w:cs="Arial" w:eastAsia="Arial" w:hAnsi="Arial"/>
                <w:sz w:val="18"/>
                <w:szCs w:val="18"/>
                <w:b w:val="1"/>
                <w:bCs w:val="1"/>
                <w:color w:val="auto"/>
              </w:rPr>
              <w:t>Print Name</w:t>
            </w:r>
          </w:p>
        </w:tc>
        <w:tc>
          <w:tcPr>
            <w:tcW w:w="0" w:type="dxa"/>
            <w:vAlign w:val="bottom"/>
          </w:tcPr>
          <w:p>
            <w:pPr>
              <w:spacing w:after="0"/>
              <w:rPr>
                <w:sz w:val="1"/>
                <w:szCs w:val="1"/>
                <w:color w:val="auto"/>
              </w:rPr>
            </w:pPr>
          </w:p>
        </w:tc>
      </w:t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5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Chief Financial Officer</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33274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620" w:val="left"/>
          <w:tab w:leader="none" w:pos="8480" w:val="left"/>
        </w:tabs>
        <w:rPr>
          <w:sz w:val="20"/>
          <w:szCs w:val="20"/>
          <w:color w:val="auto"/>
        </w:rPr>
      </w:pPr>
      <w:r>
        <w:rPr>
          <w:rFonts w:ascii="Arial" w:cs="Arial" w:eastAsia="Arial" w:hAnsi="Arial"/>
          <w:sz w:val="18"/>
          <w:szCs w:val="18"/>
          <w:color w:val="auto"/>
        </w:rPr>
        <w:t>Date: August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940" w:val="left"/>
          <w:tab w:leader="none" w:pos="8160" w:val="left"/>
        </w:tabs>
        <w:rPr>
          <w:sz w:val="20"/>
          <w:szCs w:val="20"/>
          <w:color w:val="auto"/>
        </w:rPr>
      </w:pPr>
      <w:r>
        <w:rPr>
          <w:rFonts w:ascii="Arial" w:cs="Arial" w:eastAsia="Arial" w:hAnsi="Arial"/>
          <w:sz w:val="18"/>
          <w:szCs w:val="18"/>
          <w:color w:val="auto"/>
        </w:rPr>
        <w:t>Date: August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2014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840" w:val="left"/>
          <w:tab w:leader="none" w:pos="8580" w:val="left"/>
        </w:tabs>
        <w:rPr>
          <w:sz w:val="20"/>
          <w:szCs w:val="20"/>
          <w:color w:val="auto"/>
        </w:rPr>
      </w:pPr>
      <w:r>
        <w:rPr>
          <w:rFonts w:ascii="Arial" w:cs="Arial" w:eastAsia="Arial" w:hAnsi="Arial"/>
          <w:sz w:val="18"/>
          <w:szCs w:val="18"/>
          <w:color w:val="auto"/>
        </w:rPr>
        <w:t>Date: August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2014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040" w:val="left"/>
          <w:tab w:leader="none" w:pos="8160" w:val="left"/>
        </w:tabs>
        <w:rPr>
          <w:sz w:val="20"/>
          <w:szCs w:val="20"/>
          <w:color w:val="auto"/>
        </w:rPr>
      </w:pPr>
      <w:r>
        <w:rPr>
          <w:rFonts w:ascii="Arial" w:cs="Arial" w:eastAsia="Arial" w:hAnsi="Arial"/>
          <w:sz w:val="18"/>
          <w:szCs w:val="18"/>
          <w:color w:val="auto"/>
        </w:rPr>
        <w:t>Date: August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upperLetter"/>
      <w:start w:val="54"/>
    </w:lvl>
  </w:abstractNum>
  <w:abstractNum w:abstractNumId="1">
    <w:nsid w:val="23F9C13C"/>
    <w:multiLevelType w:val="hybridMultilevel"/>
    <w:lvl w:ilvl="0">
      <w:lvlJc w:val="left"/>
      <w:lvlText w:val="1"/>
      <w:numFmt w:val="bullet"/>
      <w:start w:val="1"/>
    </w:lvl>
  </w:abstractNum>
  <w:abstractNum w:abstractNumId="2">
    <w:nsid w:val="649BB77C"/>
    <w:multiLevelType w:val="hybridMultilevel"/>
    <w:lvl w:ilvl="0">
      <w:lvlJc w:val="left"/>
      <w:lvlText w:val="2"/>
      <w:numFmt w:val="bullet"/>
      <w:start w:val="1"/>
    </w:lvl>
  </w:abstractNum>
  <w:abstractNum w:abstractNumId="3">
    <w:nsid w:val="275AC794"/>
    <w:multiLevelType w:val="hybridMultilevel"/>
    <w:lvl w:ilvl="0">
      <w:lvlJc w:val="left"/>
      <w:lvlText w:val="3"/>
      <w:numFmt w:val="bullet"/>
      <w:start w:val="1"/>
    </w:lvl>
  </w:abstractNum>
  <w:abstractNum w:abstractNumId="4">
    <w:nsid w:val="39386575"/>
    <w:multiLevelType w:val="hybridMultilevel"/>
    <w:lvl w:ilvl="0">
      <w:lvlJc w:val="left"/>
      <w:lvlText w:val="4"/>
      <w:numFmt w:val="bullet"/>
      <w:start w:val="1"/>
    </w:lvl>
  </w:abstractNum>
  <w:abstractNum w:abstractNumId="5">
    <w:nsid w:val="1CF10FD8"/>
    <w:multiLevelType w:val="hybridMultilevel"/>
    <w:lvl w:ilvl="0">
      <w:lvlJc w:val="left"/>
      <w:lvlText w:val="5"/>
      <w:numFmt w:val="bullet"/>
      <w:start w:val="1"/>
    </w:lvl>
  </w:abstractNum>
  <w:abstractNum w:abstractNumId="6">
    <w:nsid w:val="180115BE"/>
    <w:multiLevelType w:val="hybridMultilevel"/>
    <w:lvl w:ilvl="0">
      <w:lvlJc w:val="left"/>
      <w:lvlText w:val="6"/>
      <w:numFmt w:val="bullet"/>
      <w:start w:val="1"/>
    </w:lvl>
  </w:abstractNum>
  <w:abstractNum w:abstractNumId="7">
    <w:nsid w:val="235BA861"/>
    <w:multiLevelType w:val="hybridMultilevel"/>
    <w:lvl w:ilvl="0">
      <w:lvlJc w:val="left"/>
      <w:lvlText w:val="7"/>
      <w:numFmt w:val="bullet"/>
      <w:start w:val="1"/>
    </w:lvl>
  </w:abstractNum>
  <w:abstractNum w:abstractNumId="8">
    <w:nsid w:val="47398C89"/>
    <w:multiLevelType w:val="hybridMultilevel"/>
    <w:lvl w:ilvl="0">
      <w:lvlJc w:val="left"/>
      <w:lvlText w:val="8"/>
      <w:numFmt w:val="bullet"/>
      <w:start w:val="1"/>
    </w:lvl>
  </w:abstractNum>
  <w:abstractNum w:abstractNumId="9">
    <w:nsid w:val="354FE9F9"/>
    <w:multiLevelType w:val="hybridMultilevel"/>
    <w:lvl w:ilvl="0">
      <w:lvlJc w:val="left"/>
      <w:lvlText w:val="9"/>
      <w:numFmt w:val="bullet"/>
      <w:start w:val="1"/>
    </w:lvl>
  </w:abstractNum>
  <w:abstractNum w:abstractNumId="10">
    <w:nsid w:val="15B5AF5C"/>
    <w:multiLevelType w:val="hybridMultilevel"/>
    <w:lvl w:ilvl="0">
      <w:lvlJc w:val="left"/>
      <w:lvlText w:val="%1"/>
      <w:numFmt w:val="decimal"/>
      <w:start w:val="10"/>
    </w:lvl>
  </w:abstractNum>
  <w:abstractNum w:abstractNumId="11">
    <w:nsid w:val="741226BB"/>
    <w:multiLevelType w:val="hybridMultilevel"/>
    <w:lvl w:ilvl="0">
      <w:lvlJc w:val="left"/>
      <w:lvlText w:val="%1"/>
      <w:numFmt w:val="upperLetter"/>
      <w:start w:val="54"/>
    </w:lvl>
  </w:abstractNum>
  <w:abstractNum w:abstractNumId="12">
    <w:nsid w:val="D34B6A8"/>
    <w:multiLevelType w:val="hybridMultilevel"/>
    <w:lvl w:ilvl="0">
      <w:lvlJc w:val="left"/>
      <w:lvlText w:val="1"/>
      <w:numFmt w:val="bullet"/>
      <w:start w:val="1"/>
    </w:lvl>
  </w:abstractNum>
  <w:abstractNum w:abstractNumId="13">
    <w:nsid w:val="10233C99"/>
    <w:multiLevelType w:val="hybridMultilevel"/>
    <w:lvl w:ilvl="0">
      <w:lvlJc w:val="left"/>
      <w:lvlText w:val="2"/>
      <w:numFmt w:val="bullet"/>
      <w:start w:val="1"/>
    </w:lvl>
  </w:abstractNum>
  <w:abstractNum w:abstractNumId="14">
    <w:nsid w:val="3F6AB60F"/>
    <w:multiLevelType w:val="hybridMultilevel"/>
    <w:lvl w:ilvl="0">
      <w:lvlJc w:val="left"/>
      <w:lvlText w:val="3"/>
      <w:numFmt w:val="bullet"/>
      <w:start w:val="1"/>
    </w:lvl>
  </w:abstractNum>
  <w:abstractNum w:abstractNumId="15">
    <w:nsid w:val="61574095"/>
    <w:multiLevelType w:val="hybridMultilevel"/>
    <w:lvl w:ilvl="0">
      <w:lvlJc w:val="left"/>
      <w:lvlText w:val="4"/>
      <w:numFmt w:val="bullet"/>
      <w:start w:val="1"/>
    </w:lvl>
  </w:abstractNum>
  <w:abstractNum w:abstractNumId="16">
    <w:nsid w:val="7E0C57B1"/>
    <w:multiLevelType w:val="hybridMultilevel"/>
    <w:lvl w:ilvl="0">
      <w:lvlJc w:val="left"/>
      <w:lvlText w:val="5"/>
      <w:numFmt w:val="bullet"/>
      <w:start w:val="1"/>
    </w:lvl>
  </w:abstractNum>
  <w:abstractNum w:abstractNumId="17">
    <w:nsid w:val="77AE35EB"/>
    <w:multiLevelType w:val="hybridMultilevel"/>
    <w:lvl w:ilvl="0">
      <w:lvlJc w:val="left"/>
      <w:lvlText w:val="6"/>
      <w:numFmt w:val="bullet"/>
      <w:start w:val="1"/>
    </w:lvl>
  </w:abstractNum>
  <w:abstractNum w:abstractNumId="18">
    <w:nsid w:val="579BE4F1"/>
    <w:multiLevelType w:val="hybridMultilevel"/>
    <w:lvl w:ilvl="0">
      <w:lvlJc w:val="left"/>
      <w:lvlText w:val="7"/>
      <w:numFmt w:val="bullet"/>
      <w:start w:val="1"/>
    </w:lvl>
  </w:abstractNum>
  <w:abstractNum w:abstractNumId="19">
    <w:nsid w:val="310C50B3"/>
    <w:multiLevelType w:val="hybridMultilevel"/>
    <w:lvl w:ilvl="0">
      <w:lvlJc w:val="left"/>
      <w:lvlText w:val="8"/>
      <w:numFmt w:val="bullet"/>
      <w:start w:val="1"/>
    </w:lvl>
  </w:abstractNum>
  <w:abstractNum w:abstractNumId="20">
    <w:nsid w:val="5FF87E05"/>
    <w:multiLevelType w:val="hybridMultilevel"/>
    <w:lvl w:ilvl="0">
      <w:lvlJc w:val="left"/>
      <w:lvlText w:val="9"/>
      <w:numFmt w:val="bullet"/>
      <w:start w:val="1"/>
    </w:lvl>
  </w:abstractNum>
  <w:abstractNum w:abstractNumId="21">
    <w:nsid w:val="2F305DEF"/>
    <w:multiLevelType w:val="hybridMultilevel"/>
    <w:lvl w:ilvl="0">
      <w:lvlJc w:val="left"/>
      <w:lvlText w:val="%1"/>
      <w:numFmt w:val="decimal"/>
      <w:start w:val="10"/>
    </w:lvl>
  </w:abstractNum>
  <w:abstractNum w:abstractNumId="22">
    <w:nsid w:val="25A70BF7"/>
    <w:multiLevelType w:val="hybridMultilevel"/>
    <w:lvl w:ilvl="0">
      <w:lvlJc w:val="left"/>
      <w:lvlText w:val="1"/>
      <w:numFmt w:val="bullet"/>
      <w:start w:val="1"/>
    </w:lvl>
  </w:abstractNum>
  <w:abstractNum w:abstractNumId="23">
    <w:nsid w:val="1DBABF00"/>
    <w:multiLevelType w:val="hybridMultilevel"/>
    <w:lvl w:ilvl="0">
      <w:lvlJc w:val="left"/>
      <w:lvlText w:val="2"/>
      <w:numFmt w:val="bullet"/>
      <w:start w:val="1"/>
    </w:lvl>
  </w:abstractNum>
  <w:abstractNum w:abstractNumId="24">
    <w:nsid w:val="4AD084E9"/>
    <w:multiLevelType w:val="hybridMultilevel"/>
    <w:lvl w:ilvl="0">
      <w:lvlJc w:val="left"/>
      <w:lvlText w:val="3"/>
      <w:numFmt w:val="bullet"/>
      <w:start w:val="1"/>
    </w:lvl>
  </w:abstractNum>
  <w:abstractNum w:abstractNumId="25">
    <w:nsid w:val="1F48EAA1"/>
    <w:multiLevelType w:val="hybridMultilevel"/>
    <w:lvl w:ilvl="0">
      <w:lvlJc w:val="left"/>
      <w:lvlText w:val="4"/>
      <w:numFmt w:val="bullet"/>
      <w:start w:val="1"/>
    </w:lvl>
  </w:abstractNum>
  <w:abstractNum w:abstractNumId="26">
    <w:nsid w:val="1381823A"/>
    <w:multiLevelType w:val="hybridMultilevel"/>
    <w:lvl w:ilvl="0">
      <w:lvlJc w:val="left"/>
      <w:lvlText w:val="%1."/>
      <w:numFmt w:val="decimal"/>
      <w:start w:val="2"/>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¹"/>
      <w:numFmt w:val="bullet"/>
      <w:start w:val="1"/>
    </w:lvl>
  </w:abstractNum>
  <w:abstractNum w:abstractNumId="29">
    <w:nsid w:val="6590700B"/>
    <w:multiLevelType w:val="hybridMultilevel"/>
    <w:lvl w:ilvl="0">
      <w:lvlJc w:val="left"/>
      <w:lvlText w:val="²"/>
      <w:numFmt w:val="bullet"/>
      <w:start w:val="1"/>
    </w:lvl>
  </w:abstractNum>
  <w:abstractNum w:abstractNumId="30">
    <w:nsid w:val="15014ACB"/>
    <w:multiLevelType w:val="hybridMultilevel"/>
    <w:lvl w:ilvl="0">
      <w:lvlJc w:val="left"/>
      <w:lvlText w:val="1"/>
      <w:numFmt w:val="bullet"/>
      <w:start w:val="1"/>
    </w:lvl>
  </w:abstractNum>
  <w:abstractNum w:abstractNumId="31">
    <w:nsid w:val="5F5E7FD0"/>
    <w:multiLevelType w:val="hybridMultilevel"/>
    <w:lvl w:ilvl="0">
      <w:lvlJc w:val="left"/>
      <w:lvlText w:val="2"/>
      <w:numFmt w:val="bullet"/>
      <w:start w:val="1"/>
    </w:lvl>
  </w:abstractNum>
  <w:abstractNum w:abstractNumId="32">
    <w:nsid w:val="98A3148"/>
    <w:multiLevelType w:val="hybridMultilevel"/>
    <w:lvl w:ilvl="0">
      <w:lvlJc w:val="left"/>
      <w:lvlText w:val="3"/>
      <w:numFmt w:val="bullet"/>
      <w:start w:val="1"/>
    </w:lvl>
  </w:abstractNum>
  <w:abstractNum w:abstractNumId="33">
    <w:nsid w:val="799D0247"/>
    <w:multiLevelType w:val="hybridMultilevel"/>
    <w:lvl w:ilvl="0">
      <w:lvlJc w:val="left"/>
      <w:lvlText w:val="4"/>
      <w:numFmt w:val="bullet"/>
      <w:start w:val="1"/>
    </w:lvl>
  </w:abstractNum>
  <w:abstractNum w:abstractNumId="34">
    <w:nsid w:val="6B94764"/>
    <w:multiLevelType w:val="hybridMultilevel"/>
    <w:lvl w:ilvl="0">
      <w:lvlJc w:val="left"/>
      <w:lvlText w:val="¹"/>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bullet"/>
      <w:start w:val="1"/>
    </w:lvl>
  </w:abstractNum>
  <w:abstractNum w:abstractNumId="37">
    <w:nsid w:val="1EBA5D23"/>
    <w:multiLevelType w:val="hybridMultilevel"/>
    <w:lvl w:ilvl="0">
      <w:lvlJc w:val="left"/>
      <w:lvlText w:val="(%1)"/>
      <w:numFmt w:val="lowerRoman"/>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¹"/>
      <w:numFmt w:val="bullet"/>
      <w:start w:val="1"/>
    </w:lvl>
  </w:abstractNum>
  <w:abstractNum w:abstractNumId="40">
    <w:nsid w:val="540A471C"/>
    <w:multiLevelType w:val="hybridMultilevel"/>
    <w:lvl w:ilvl="0">
      <w:lvlJc w:val="left"/>
      <w:lvlText w:val="²"/>
      <w:numFmt w:val="bullet"/>
      <w:start w:val="1"/>
    </w:lvl>
  </w:abstractNum>
  <w:abstractNum w:abstractNumId="41">
    <w:nsid w:val="7BD3EE7B"/>
    <w:multiLevelType w:val="hybridMultilevel"/>
    <w:lvl w:ilvl="0">
      <w:lvlJc w:val="left"/>
      <w:lvlText w:val="1"/>
      <w:numFmt w:val="bullet"/>
      <w:start w:val="1"/>
    </w:lvl>
  </w:abstractNum>
  <w:abstractNum w:abstractNumId="42">
    <w:nsid w:val="51D9C564"/>
    <w:multiLevelType w:val="hybridMultilevel"/>
    <w:lvl w:ilvl="0">
      <w:lvlJc w:val="left"/>
      <w:lvlText w:val="2"/>
      <w:numFmt w:val="bullet"/>
      <w:start w:val="1"/>
    </w:lvl>
  </w:abstractNum>
  <w:abstractNum w:abstractNumId="43">
    <w:nsid w:val="613EFDC5"/>
    <w:multiLevelType w:val="hybridMultilevel"/>
    <w:lvl w:ilvl="0">
      <w:lvlJc w:val="left"/>
      <w:lvlText w:val="3"/>
      <w:numFmt w:val="bullet"/>
      <w:start w:val="1"/>
    </w:lvl>
  </w:abstractNum>
  <w:abstractNum w:abstractNumId="44">
    <w:nsid w:val="BF72B14"/>
    <w:multiLevelType w:val="hybridMultilevel"/>
    <w:lvl w:ilvl="0">
      <w:lvlJc w:val="left"/>
      <w:lvlText w:val="4"/>
      <w:numFmt w:val="bullet"/>
      <w:start w:val="1"/>
    </w:lvl>
  </w:abstractNum>
  <w:abstractNum w:abstractNumId="45">
    <w:nsid w:val="11447B73"/>
    <w:multiLevelType w:val="hybridMultilevel"/>
    <w:lvl w:ilvl="0">
      <w:lvlJc w:val="left"/>
      <w:lvlText w:val="¹"/>
      <w:numFmt w:val="bullet"/>
      <w:start w:val="1"/>
    </w:lvl>
  </w:abstractNum>
  <w:abstractNum w:abstractNumId="46">
    <w:nsid w:val="42963E5A"/>
    <w:multiLevelType w:val="hybridMultilevel"/>
    <w:lvl w:ilvl="0">
      <w:lvlJc w:val="left"/>
      <w:lvlText w:val="²"/>
      <w:numFmt w:val="bullet"/>
      <w:start w:val="1"/>
    </w:lvl>
  </w:abstractNum>
  <w:abstractNum w:abstractNumId="47">
    <w:nsid w:val="A0382C5"/>
    <w:multiLevelType w:val="hybridMultilevel"/>
    <w:lvl w:ilvl="0">
      <w:lvlJc w:val="left"/>
      <w:lvlText w:val="³"/>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2"/>
    </w:lvl>
  </w:abstractNum>
  <w:abstractNum w:abstractNumId="53">
    <w:nsid w:val="60B6DF70"/>
    <w:multiLevelType w:val="hybridMultilevel"/>
    <w:lvl w:ilvl="0">
      <w:lvlJc w:val="left"/>
      <w:lvlText w:val="%1."/>
      <w:numFmt w:val="decimal"/>
      <w:start w:val="3"/>
    </w:lvl>
  </w:abstractNum>
  <w:abstractNum w:abstractNumId="54">
    <w:nsid w:val="6A5EE64"/>
    <w:multiLevelType w:val="hybridMultilevel"/>
    <w:lvl w:ilvl="0">
      <w:lvlJc w:val="left"/>
      <w:lvlText w:val="%1."/>
      <w:numFmt w:val="decimal"/>
      <w:start w:val="4"/>
    </w:lvl>
    <w:lvl w:ilvl="1">
      <w:lvlJc w:val="left"/>
      <w:lvlText w:val="(%2)"/>
      <w:numFmt w:val="lowerLetter"/>
      <w:start w:val="1"/>
    </w:lvl>
  </w:abstractNum>
  <w:abstractNum w:abstractNumId="55">
    <w:nsid w:val="14330624"/>
    <w:multiLevelType w:val="hybridMultilevel"/>
    <w:lvl w:ilvl="0">
      <w:lvlJc w:val="left"/>
      <w:lvlText w:val="(%1)"/>
      <w:numFmt w:val="lowerLetter"/>
      <w:start w:val="2"/>
    </w:lvl>
    <w:lvl w:ilvl="1">
      <w:lvlJc w:val="left"/>
      <w:lvlText w:val="-"/>
      <w:numFmt w:val="bullet"/>
      <w:start w:val="1"/>
    </w:lvl>
  </w:abstractNum>
  <w:abstractNum w:abstractNumId="56">
    <w:nsid w:val="7FFFCA11"/>
    <w:multiLevelType w:val="hybridMultilevel"/>
    <w:lvl w:ilvl="0">
      <w:lvlJc w:val="left"/>
      <w:lvlText w:val="(%1)"/>
      <w:numFmt w:val="lowerLetter"/>
      <w:start w:val="4"/>
    </w:lvl>
  </w:abstractNum>
  <w:abstractNum w:abstractNumId="57">
    <w:nsid w:val="1A27709E"/>
    <w:multiLevelType w:val="hybridMultilevel"/>
    <w:lvl w:ilvl="0">
      <w:lvlJc w:val="left"/>
      <w:lvlText w:val="%1."/>
      <w:numFmt w:val="decimal"/>
      <w:start w:val="5"/>
    </w:lvl>
  </w:abstractNum>
  <w:abstractNum w:abstractNumId="58">
    <w:nsid w:val="71EA1109"/>
    <w:multiLevelType w:val="hybridMultilevel"/>
    <w:lvl w:ilvl="0">
      <w:lvlJc w:val="left"/>
      <w:lvlText w:val="%1."/>
      <w:numFmt w:val="decimal"/>
      <w:start w:val="6"/>
    </w:lvl>
    <w:lvl w:ilvl="1">
      <w:lvlJc w:val="left"/>
      <w:lvlText w:val="(%2)"/>
      <w:numFmt w:val="lowerLetter"/>
      <w:start w:val="1"/>
    </w:lvl>
  </w:abstractNum>
  <w:abstractNum w:abstractNumId="59">
    <w:nsid w:val="100F59DC"/>
    <w:multiLevelType w:val="hybridMultilevel"/>
    <w:lvl w:ilvl="0">
      <w:lvlJc w:val="left"/>
      <w:lvlText w:val="(%1)"/>
      <w:numFmt w:val="decimal"/>
      <w:start w:val="1"/>
    </w:lvl>
    <w:lvl w:ilvl="1">
      <w:lvlJc w:val="left"/>
      <w:lvlText w:val="-"/>
      <w:numFmt w:val="bullet"/>
      <w:start w:val="1"/>
    </w:lvl>
  </w:abstractNum>
  <w:abstractNum w:abstractNumId="60">
    <w:nsid w:val="7FB7E0AA"/>
    <w:multiLevelType w:val="hybridMultilevel"/>
    <w:lvl w:ilvl="0">
      <w:lvlJc w:val="left"/>
      <w:lvlText w:val="(%1)"/>
      <w:numFmt w:val="decimal"/>
      <w:start w:val="4"/>
    </w:lvl>
  </w:abstractNum>
  <w:abstractNum w:abstractNumId="61">
    <w:nsid w:val="6EB5BD4"/>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lvl w:ilvl="3">
      <w:lvlJc w:val="left"/>
      <w:lvlText w:val="-"/>
      <w:numFmt w:val="bullet"/>
      <w:start w:val="1"/>
    </w:lvl>
  </w:abstractNum>
  <w:abstractNum w:abstractNumId="62">
    <w:nsid w:val="6F6DD9A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63">
    <w:nsid w:val="94211F2"/>
    <w:multiLevelType w:val="hybridMultilevel"/>
    <w:lvl w:ilvl="0">
      <w:lvlJc w:val="left"/>
      <w:lvlText w:val="(%1)"/>
      <w:numFmt w:val="decimal"/>
      <w:start w:val="2"/>
    </w:lvl>
    <w:lvl w:ilvl="1">
      <w:lvlJc w:val="left"/>
      <w:lvlText w:val="(%2)"/>
      <w:numFmt w:val="lowerLetter"/>
      <w:start w:val="10"/>
    </w:lvl>
    <w:lvl w:ilvl="2">
      <w:lvlJc w:val="left"/>
      <w:lvlText w:val="-"/>
      <w:numFmt w:val="bullet"/>
      <w:start w:val="1"/>
    </w:lvl>
  </w:abstractNum>
  <w:abstractNum w:abstractNumId="64">
    <w:nsid w:val="885E1B"/>
    <w:multiLevelType w:val="hybridMultilevel"/>
    <w:lvl w:ilvl="0">
      <w:lvlJc w:val="left"/>
      <w:lvlText w:val="%1."/>
      <w:numFmt w:val="decimal"/>
      <w:start w:val="7"/>
    </w:lvl>
    <w:lvl w:ilvl="1">
      <w:lvlJc w:val="left"/>
      <w:lvlText w:val="(%2)"/>
      <w:numFmt w:val="lowerLetter"/>
      <w:start w:val="1"/>
    </w:lvl>
  </w:abstractNum>
  <w:abstractNum w:abstractNumId="65">
    <w:nsid w:val="76272110"/>
    <w:multiLevelType w:val="hybridMultilevel"/>
    <w:lvl w:ilvl="0">
      <w:lvlJc w:val="left"/>
      <w:lvlText w:val="(%1)"/>
      <w:numFmt w:val="decimal"/>
      <w:start w:val="1"/>
    </w:lvl>
    <w:lvl w:ilvl="1">
      <w:lvlJc w:val="left"/>
      <w:lvlText w:val="-"/>
      <w:numFmt w:val="bullet"/>
      <w:start w:val="1"/>
    </w:lvl>
  </w:abstractNum>
  <w:abstractNum w:abstractNumId="66">
    <w:nsid w:val="4C04A8AF"/>
    <w:multiLevelType w:val="hybridMultilevel"/>
    <w:lvl w:ilvl="0">
      <w:lvlJc w:val="left"/>
      <w:lvlText w:val="(%1)"/>
      <w:numFmt w:val="decimal"/>
      <w:start w:val="4"/>
    </w:lvl>
  </w:abstractNum>
  <w:abstractNum w:abstractNumId="67">
    <w:nsid w:val="1716703B"/>
    <w:multiLevelType w:val="hybridMultilevel"/>
    <w:lvl w:ilvl="0">
      <w:lvlJc w:val="left"/>
      <w:lvlText w:val="%1"/>
      <w:numFmt w:val="decimal"/>
      <w:start w:val="1"/>
    </w:lvl>
    <w:lvl w:ilvl="1">
      <w:lvlJc w:val="left"/>
      <w:lvlText w:val="(%2)"/>
      <w:numFmt w:val="lowerLetter"/>
      <w:start w:val="2"/>
    </w:lvl>
  </w:abstractNum>
  <w:abstractNum w:abstractNumId="68">
    <w:nsid w:val="14E17E33"/>
    <w:multiLevelType w:val="hybridMultilevel"/>
    <w:lvl w:ilvl="0">
      <w:lvlJc w:val="left"/>
      <w:lvlText w:val="%1."/>
      <w:numFmt w:val="decimal"/>
      <w:start w:val="8"/>
    </w:lvl>
    <w:lvl w:ilvl="1">
      <w:lvlJc w:val="left"/>
      <w:lvlText w:val="%2"/>
      <w:numFmt w:val="lowerLetter"/>
      <w:start w:val="1"/>
    </w:lvl>
  </w:abstractNum>
  <w:abstractNum w:abstractNumId="69">
    <w:nsid w:val="3222E7CD"/>
    <w:multiLevelType w:val="hybridMultilevel"/>
    <w:lvl w:ilvl="0">
      <w:lvlJc w:val="left"/>
      <w:lvlText w:val="%1."/>
      <w:numFmt w:val="decimal"/>
      <w:start w:val="9"/>
    </w:lvl>
  </w:abstractNum>
  <w:abstractNum w:abstractNumId="70">
    <w:nsid w:val="74DE0EE3"/>
    <w:multiLevelType w:val="hybridMultilevel"/>
    <w:lvl w:ilvl="0">
      <w:lvlJc w:val="left"/>
      <w:lvlText w:val="%1."/>
      <w:numFmt w:val="decimal"/>
      <w:start w:val="10"/>
    </w:lvl>
  </w:abstractNum>
  <w:abstractNum w:abstractNumId="71">
    <w:nsid w:val="68EBC550"/>
    <w:multiLevelType w:val="hybridMultilevel"/>
    <w:lvl w:ilvl="0">
      <w:lvlJc w:val="left"/>
      <w:lvlText w:val="%1."/>
      <w:numFmt w:val="decimal"/>
      <w:start w:val="11"/>
    </w:lvl>
  </w:abstractNum>
  <w:abstractNum w:abstractNumId="72">
    <w:nsid w:val="2DF6D648"/>
    <w:multiLevelType w:val="hybridMultilevel"/>
    <w:lvl w:ilvl="0">
      <w:lvlJc w:val="left"/>
      <w:lvlText w:val="%1."/>
      <w:numFmt w:val="decimal"/>
      <w:start w:val="12"/>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2"/>
    </w:lvl>
  </w:abstractNum>
  <w:abstractNum w:abstractNumId="75">
    <w:nsid w:val="39EE015C"/>
    <w:multiLevelType w:val="hybridMultilevel"/>
    <w:lvl w:ilvl="0">
      <w:lvlJc w:val="left"/>
      <w:lvlText w:val="%1."/>
      <w:numFmt w:val="decimal"/>
      <w:start w:val="3"/>
    </w:lvl>
  </w:abstractNum>
  <w:abstractNum w:abstractNumId="76">
    <w:nsid w:val="57FC4FBB"/>
    <w:multiLevelType w:val="hybridMultilevel"/>
    <w:lvl w:ilvl="0">
      <w:lvlJc w:val="left"/>
      <w:lvlText w:val="%1."/>
      <w:numFmt w:val="decimal"/>
      <w:start w:val="4"/>
    </w:lvl>
    <w:lvl w:ilvl="1">
      <w:lvlJc w:val="left"/>
      <w:lvlText w:val="(%2)"/>
      <w:numFmt w:val="lowerLetter"/>
      <w:start w:val="1"/>
    </w:lvl>
  </w:abstractNum>
  <w:abstractNum w:abstractNumId="77">
    <w:nsid w:val="CC1016F"/>
    <w:multiLevelType w:val="hybridMultilevel"/>
    <w:lvl w:ilvl="0">
      <w:lvlJc w:val="left"/>
      <w:lvlText w:val="(%1)"/>
      <w:numFmt w:val="lowerLetter"/>
      <w:start w:val="3"/>
    </w:lvl>
  </w:abstractNum>
  <w:abstractNum w:abstractNumId="78">
    <w:nsid w:val="43F18422"/>
    <w:multiLevelType w:val="hybridMultilevel"/>
    <w:lvl w:ilvl="0">
      <w:lvlJc w:val="left"/>
      <w:lvlText w:val="%1."/>
      <w:numFmt w:val="decimal"/>
      <w:start w:val="5"/>
    </w:lvl>
  </w:abstractNum>
  <w:abstractNum w:abstractNumId="79">
    <w:nsid w:val="60EF011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80">
    <w:nsid w:val="26F324BA"/>
    <w:multiLevelType w:val="hybridMultilevel"/>
    <w:lvl w:ilvl="0">
      <w:lvlJc w:val="left"/>
      <w:lvlText w:val="%1"/>
      <w:numFmt w:val="lowerLetter"/>
      <w:start w:val="1"/>
    </w:lvl>
    <w:lvl w:ilvl="1">
      <w:lvlJc w:val="left"/>
      <w:lvlText w:val="(%2)"/>
      <w:numFmt w:val="decimal"/>
      <w:start w:val="2"/>
    </w:lvl>
  </w:abstractNum>
  <w:abstractNum w:abstractNumId="81">
    <w:nsid w:val="7F01579B"/>
    <w:multiLevelType w:val="hybridMultilevel"/>
    <w:lvl w:ilvl="0">
      <w:lvlJc w:val="left"/>
      <w:lvlText w:val="(%1)"/>
      <w:numFmt w:val="lowerLetter"/>
      <w:start w:val="3"/>
    </w:lvl>
    <w:lvl w:ilvl="1">
      <w:lvlJc w:val="left"/>
      <w:lvlText w:val="(%2)"/>
      <w:numFmt w:val="decimal"/>
      <w:start w:val="1"/>
    </w:lvl>
  </w:abstractNum>
  <w:abstractNum w:abstractNumId="82">
    <w:nsid w:val="49DA307D"/>
    <w:multiLevelType w:val="hybridMultilevel"/>
    <w:lvl w:ilvl="0">
      <w:lvlJc w:val="left"/>
      <w:lvlText w:val="%1"/>
      <w:numFmt w:val="decimal"/>
      <w:start w:val="1"/>
    </w:lvl>
    <w:lvl w:ilvl="1">
      <w:lvlJc w:val="left"/>
      <w:lvlText w:val="(%2)"/>
      <w:numFmt w:val="lowerLetter"/>
      <w:start w:val="6"/>
    </w:lvl>
  </w:abstractNum>
  <w:abstractNum w:abstractNumId="83">
    <w:nsid w:val="7055A5F5"/>
    <w:multiLevelType w:val="hybridMultilevel"/>
    <w:lvl w:ilvl="0">
      <w:lvlJc w:val="left"/>
      <w:lvlText w:val="%1."/>
      <w:numFmt w:val="decimal"/>
      <w:start w:val="7"/>
    </w:lvl>
    <w:lvl w:ilvl="1">
      <w:lvlJc w:val="left"/>
      <w:lvlText w:val="%2"/>
      <w:numFmt w:val="lowerLetter"/>
      <w:start w:val="1"/>
    </w:lvl>
  </w:abstractNum>
  <w:abstractNum w:abstractNumId="84">
    <w:nsid w:val="5FB8370B"/>
    <w:multiLevelType w:val="hybridMultilevel"/>
    <w:lvl w:ilvl="0">
      <w:lvlJc w:val="left"/>
      <w:lvlText w:val="%1."/>
      <w:numFmt w:val="decimal"/>
      <w:start w:val="8"/>
    </w:lvl>
  </w:abstractNum>
  <w:abstractNum w:abstractNumId="85">
    <w:nsid w:val="50801EE1"/>
    <w:multiLevelType w:val="hybridMultilevel"/>
    <w:lvl w:ilvl="0">
      <w:lvlJc w:val="left"/>
      <w:lvlText w:val="%1."/>
      <w:numFmt w:val="decimal"/>
      <w:start w:val="9"/>
    </w:lvl>
    <w:lvl w:ilvl="1">
      <w:lvlJc w:val="left"/>
      <w:lvlText w:val="(%2)"/>
      <w:numFmt w:val="lowerLetter"/>
      <w:start w:val="1"/>
    </w:lvl>
  </w:abstractNum>
  <w:abstractNum w:abstractNumId="86">
    <w:nsid w:val="488AC1A"/>
    <w:multiLevelType w:val="hybridMultilevel"/>
    <w:lvl w:ilvl="0">
      <w:lvlJc w:val="left"/>
      <w:lvlText w:val="%1."/>
      <w:numFmt w:val="decimal"/>
      <w:start w:val="10"/>
    </w:lvl>
  </w:abstractNum>
  <w:abstractNum w:abstractNumId="87">
    <w:nsid w:val="5FB8011C"/>
    <w:multiLevelType w:val="hybridMultilevel"/>
    <w:lvl w:ilvl="0">
      <w:lvlJc w:val="left"/>
      <w:lvlText w:val="%1."/>
      <w:numFmt w:val="decimal"/>
      <w:start w:val="1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1."/>
      <w:numFmt w:val="decimal"/>
      <w:start w:val="7"/>
    </w:lvl>
    <w:lvl w:ilvl="1">
      <w:lvlJc w:val="left"/>
      <w:lvlText w:val="%2."/>
      <w:numFmt w:val="lowerRoman"/>
      <w:start w:val="1"/>
    </w:lvl>
  </w:abstractNum>
  <w:abstractNum w:abstractNumId="90">
    <w:nsid w:val="6FC75AF8"/>
    <w:multiLevelType w:val="hybridMultilevel"/>
    <w:lvl w:ilvl="0">
      <w:lvlJc w:val="left"/>
      <w:lvlText w:val="%1."/>
      <w:numFmt w:val="decimal"/>
      <w:start w:val="11"/>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1."/>
      <w:numFmt w:val="decimal"/>
      <w:start w:val="7"/>
    </w:lvl>
    <w:lvl w:ilvl="1">
      <w:lvlJc w:val="left"/>
      <w:lvlText w:val="%2."/>
      <w:numFmt w:val="lowerRoman"/>
      <w:start w:val="1"/>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5">
    <w:nsid w:val="7DE6771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6">
    <w:nsid w:val="555C55B5"/>
    <w:multiLevelType w:val="hybridMultilevel"/>
    <w:lvl w:ilvl="0">
      <w:lvlJc w:val="left"/>
      <w:lvlText w:val="%1."/>
      <w:numFmt w:val="decimal"/>
      <w:start w:val="9"/>
    </w:lvl>
  </w:abstractNum>
  <w:abstractNum w:abstractNumId="97">
    <w:nsid w:val="3FA62ACA"/>
    <w:multiLevelType w:val="hybridMultilevel"/>
    <w:lvl w:ilvl="0">
      <w:lvlJc w:val="left"/>
      <w:lvlText w:val="%1."/>
      <w:numFmt w:val="decimal"/>
      <w:start w:val="14"/>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decimal"/>
      <w:start w:val="5"/>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decimal"/>
      <w:start w:val="5"/>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2019-12-07T14:11:30Z</dcterms:created>
  <dcterms:modified xsi:type="dcterms:W3CDTF">2019-12-07T14:11:30Z</dcterms:modified>
</cp:coreProperties>
</file>