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As filed with the Securities and Exchange Commission on October 5, 2021</w:t>
      </w:r>
    </w:p>
    <w:p>
      <w:pPr>
        <w:spacing w:after="0" w:line="26" w:lineRule="exact"/>
        <w:rPr>
          <w:sz w:val="24"/>
          <w:szCs w:val="24"/>
          <w:color w:val="auto"/>
        </w:rPr>
      </w:pPr>
    </w:p>
    <w:p>
      <w:pPr>
        <w:ind w:left="8720"/>
        <w:spacing w:after="0"/>
        <w:rPr>
          <w:sz w:val="20"/>
          <w:szCs w:val="20"/>
          <w:color w:val="auto"/>
        </w:rPr>
      </w:pPr>
      <w:r>
        <w:rPr>
          <w:rFonts w:ascii="Arial" w:cs="Arial" w:eastAsia="Arial" w:hAnsi="Arial"/>
          <w:sz w:val="16"/>
          <w:szCs w:val="16"/>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U.S. SECURITIES AND EXCHANGE COMMISSION</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146050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N-2</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820" w:type="dxa"/>
        <w:tblCellMar>
          <w:top w:w="0" w:type="dxa"/>
          <w:left w:w="0" w:type="dxa"/>
          <w:bottom w:w="0" w:type="dxa"/>
          <w:right w:w="0" w:type="dxa"/>
        </w:tblCellMar>
      </w:tblPr>
      <w:tr>
        <w:trPr>
          <w:trHeight w:val="214"/>
        </w:trPr>
        <w:tc>
          <w:tcPr>
            <w:tcW w:w="5140" w:type="dxa"/>
            <w:vAlign w:val="bottom"/>
          </w:tcPr>
          <w:p>
            <w:pPr>
              <w:jc w:val="center"/>
              <w:ind w:right="1425"/>
              <w:spacing w:after="0" w:line="214" w:lineRule="exact"/>
              <w:rPr>
                <w:sz w:val="20"/>
                <w:szCs w:val="20"/>
                <w:color w:val="auto"/>
              </w:rPr>
            </w:pPr>
            <w:r>
              <w:rPr>
                <w:rFonts w:ascii="Arial" w:cs="Arial" w:eastAsia="Arial" w:hAnsi="Arial"/>
                <w:sz w:val="20"/>
                <w:szCs w:val="20"/>
                <w:b w:val="1"/>
                <w:bCs w:val="1"/>
                <w:i w:val="1"/>
                <w:iCs w:val="1"/>
                <w:color w:val="auto"/>
                <w:w w:val="98"/>
              </w:rPr>
              <w:t>UNDER</w:t>
            </w:r>
          </w:p>
        </w:tc>
        <w:tc>
          <w:tcPr>
            <w:tcW w:w="2220" w:type="dxa"/>
            <w:vAlign w:val="bottom"/>
            <w:vMerge w:val="restart"/>
          </w:tcPr>
          <w:p>
            <w:pPr>
              <w:ind w:left="20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20"/>
                <w:szCs w:val="20"/>
                <w:b w:val="1"/>
                <w:bCs w:val="1"/>
                <w:i w:val="1"/>
                <w:iCs w:val="1"/>
                <w:color w:val="auto"/>
              </w:rPr>
              <w:t>THE SECURITIES ACT OF 1933</w:t>
            </w: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5140" w:type="dxa"/>
            <w:vAlign w:val="bottom"/>
          </w:tcPr>
          <w:p>
            <w:pPr>
              <w:jc w:val="center"/>
              <w:ind w:right="1445"/>
              <w:spacing w:after="0"/>
              <w:rPr>
                <w:sz w:val="20"/>
                <w:szCs w:val="20"/>
                <w:color w:val="auto"/>
              </w:rPr>
            </w:pPr>
            <w:r>
              <w:rPr>
                <w:rFonts w:ascii="Arial" w:cs="Arial" w:eastAsia="Arial" w:hAnsi="Arial"/>
                <w:sz w:val="16"/>
                <w:szCs w:val="16"/>
                <w:b w:val="1"/>
                <w:bCs w:val="1"/>
                <w:color w:val="auto"/>
                <w:w w:val="90"/>
              </w:rPr>
              <w:t>Check the appropriate box or boxes: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140" w:type="dxa"/>
            <w:vAlign w:val="bottom"/>
          </w:tcPr>
          <w:p>
            <w:pPr>
              <w:jc w:val="center"/>
              <w:ind w:right="1765"/>
              <w:spacing w:after="0"/>
              <w:rPr>
                <w:sz w:val="20"/>
                <w:szCs w:val="20"/>
                <w:color w:val="auto"/>
              </w:rPr>
            </w:pPr>
            <w:r>
              <w:rPr>
                <w:rFonts w:ascii="Arial" w:cs="Arial" w:eastAsia="Arial" w:hAnsi="Arial"/>
                <w:sz w:val="20"/>
                <w:szCs w:val="20"/>
                <w:b w:val="1"/>
                <w:bCs w:val="1"/>
                <w:color w:val="auto"/>
                <w:w w:val="89"/>
              </w:rPr>
              <w:t>Pre-Effective Amendment No.</w:t>
            </w:r>
          </w:p>
        </w:tc>
        <w:tc>
          <w:tcPr>
            <w:tcW w:w="222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73"/>
        </w:trPr>
        <w:tc>
          <w:tcPr>
            <w:tcW w:w="5140" w:type="dxa"/>
            <w:vAlign w:val="bottom"/>
          </w:tcPr>
          <w:p>
            <w:pPr>
              <w:jc w:val="center"/>
              <w:ind w:right="1765"/>
              <w:spacing w:after="0"/>
              <w:rPr>
                <w:sz w:val="20"/>
                <w:szCs w:val="20"/>
                <w:color w:val="auto"/>
              </w:rPr>
            </w:pPr>
            <w:r>
              <w:rPr>
                <w:rFonts w:ascii="Arial" w:cs="Arial" w:eastAsia="Arial" w:hAnsi="Arial"/>
                <w:sz w:val="20"/>
                <w:szCs w:val="20"/>
                <w:b w:val="1"/>
                <w:bCs w:val="1"/>
                <w:color w:val="auto"/>
                <w:w w:val="88"/>
              </w:rPr>
              <w:t>Post-Effective Amendment No.</w:t>
            </w:r>
          </w:p>
        </w:tc>
        <w:tc>
          <w:tcPr>
            <w:tcW w:w="222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142875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PORTMAN RIDGE FINANCE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158750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38" w:lineRule="exact"/>
        <w:rPr>
          <w:sz w:val="24"/>
          <w:szCs w:val="24"/>
          <w:color w:val="auto"/>
        </w:rPr>
      </w:pPr>
    </w:p>
    <w:p>
      <w:pPr>
        <w:ind w:left="5260" w:right="4840" w:hanging="350"/>
        <w:spacing w:after="0" w:line="238" w:lineRule="auto"/>
        <w:tabs>
          <w:tab w:leader="none" w:pos="5188"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Madison Avenue 23</w:t>
      </w:r>
      <w:r>
        <w:rPr>
          <w:rFonts w:ascii="Arial" w:cs="Arial" w:eastAsia="Arial" w:hAnsi="Arial"/>
          <w:sz w:val="23"/>
          <w:szCs w:val="23"/>
          <w:b w:val="1"/>
          <w:bCs w:val="1"/>
          <w:color w:val="auto"/>
          <w:vertAlign w:val="superscript"/>
        </w:rPr>
        <w:t>rd</w:t>
      </w:r>
      <w:r>
        <w:rPr>
          <w:rFonts w:ascii="Arial" w:cs="Arial" w:eastAsia="Arial" w:hAnsi="Arial"/>
          <w:sz w:val="14"/>
          <w:szCs w:val="14"/>
          <w:b w:val="1"/>
          <w:bCs w:val="1"/>
          <w:color w:val="auto"/>
        </w:rPr>
        <w:t xml:space="preserve">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New York, NY 10022</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(212) 891-2880</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Edward Goldthorpe</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650 Madison Avenue</w:t>
      </w:r>
    </w:p>
    <w:p>
      <w:pPr>
        <w:jc w:val="center"/>
        <w:ind w:right="-59"/>
        <w:spacing w:after="0" w:line="185" w:lineRule="auto"/>
        <w:rPr>
          <w:sz w:val="20"/>
          <w:szCs w:val="20"/>
          <w:color w:val="auto"/>
        </w:rPr>
      </w:pPr>
      <w:r>
        <w:rPr>
          <w:rFonts w:ascii="Arial" w:cs="Arial" w:eastAsia="Arial" w:hAnsi="Arial"/>
          <w:sz w:val="16"/>
          <w:szCs w:val="16"/>
          <w:b w:val="1"/>
          <w:bCs w:val="1"/>
          <w:color w:val="auto"/>
        </w:rPr>
        <w:t>23</w:t>
      </w:r>
      <w:r>
        <w:rPr>
          <w:rFonts w:ascii="Arial" w:cs="Arial" w:eastAsia="Arial" w:hAnsi="Arial"/>
          <w:sz w:val="26"/>
          <w:szCs w:val="26"/>
          <w:b w:val="1"/>
          <w:bCs w:val="1"/>
          <w:color w:val="auto"/>
          <w:vertAlign w:val="superscript"/>
        </w:rPr>
        <w:t>rd</w:t>
      </w:r>
      <w:r>
        <w:rPr>
          <w:rFonts w:ascii="Arial" w:cs="Arial" w:eastAsia="Arial" w:hAnsi="Arial"/>
          <w:sz w:val="16"/>
          <w:szCs w:val="16"/>
          <w:b w:val="1"/>
          <w:bCs w:val="1"/>
          <w:color w:val="auto"/>
        </w:rPr>
        <w:t xml:space="preserve">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New York, NY 10022</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142240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COPIES TO:</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Harry S. Pangas, Esq.</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Dechert LLP</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1900 K Street NW</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20006</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Tel: (202) 261-3300</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Fax: (202) 261-3333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161290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proposed public offering: </w:t>
      </w:r>
      <w:r>
        <w:rPr>
          <w:rFonts w:ascii="Arial" w:cs="Arial" w:eastAsia="Arial" w:hAnsi="Arial"/>
          <w:sz w:val="16"/>
          <w:szCs w:val="16"/>
          <w:color w:val="auto"/>
        </w:rPr>
        <w:t>From time to time after the effective date of this registration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box if the only securities being registered on this Form are being offered pursuant to dividend or interest reinvestment plans.</w:t>
      </w:r>
    </w:p>
    <w:p>
      <w:pPr>
        <w:spacing w:after="0" w:line="86" w:lineRule="exact"/>
        <w:rPr>
          <w:sz w:val="24"/>
          <w:szCs w:val="24"/>
          <w:color w:val="auto"/>
        </w:rPr>
      </w:pPr>
    </w:p>
    <w:p>
      <w:pPr>
        <w:ind w:left="460" w:right="180" w:hanging="452"/>
        <w:spacing w:after="0" w:line="288"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30" w:lineRule="exact"/>
        <w:rPr>
          <w:rFonts w:ascii="MS PGothic" w:cs="MS PGothic" w:eastAsia="MS PGothic" w:hAnsi="MS PGothic"/>
          <w:sz w:val="16"/>
          <w:szCs w:val="16"/>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this Form is a registration statement pursuant to General Instruction A.2 or a post-effective amendment thereto.</w:t>
      </w:r>
    </w:p>
    <w:p>
      <w:pPr>
        <w:spacing w:after="0" w:line="86" w:lineRule="exact"/>
        <w:rPr>
          <w:sz w:val="24"/>
          <w:szCs w:val="24"/>
          <w:color w:val="auto"/>
        </w:rPr>
      </w:pPr>
    </w:p>
    <w:p>
      <w:pPr>
        <w:ind w:left="460" w:hanging="452"/>
        <w:spacing w:after="0" w:line="288"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30" w:lineRule="exact"/>
        <w:rPr>
          <w:rFonts w:ascii="MS PGothic" w:cs="MS PGothic" w:eastAsia="MS PGothic" w:hAnsi="MS PGothic"/>
          <w:sz w:val="16"/>
          <w:szCs w:val="16"/>
          <w:color w:val="auto"/>
        </w:rPr>
      </w:pPr>
    </w:p>
    <w:p>
      <w:pPr>
        <w:ind w:left="460" w:right="80" w:hanging="452"/>
        <w:spacing w:after="0" w:line="293"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this Form is a post-effective amendment to a registration statement filed pursuant to General Instruction B to register additional securities or additional classes of securities pursuant to Rule 413(b) under the Securities Act.</w:t>
      </w:r>
    </w:p>
    <w:p>
      <w:pPr>
        <w:sectPr>
          <w:pgSz w:w="11900" w:h="16838" w:orient="portrait"/>
          <w:cols w:equalWidth="0" w:num="1">
            <w:col w:w="11180"/>
          </w:cols>
          <w:pgMar w:left="32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is proposed that this filing will become effective (check appropriate box):</w:t>
      </w:r>
    </w:p>
    <w:p>
      <w:pPr>
        <w:spacing w:after="0" w:line="90" w:lineRule="exact"/>
        <w:rPr>
          <w:sz w:val="20"/>
          <w:szCs w:val="20"/>
          <w:color w:val="auto"/>
        </w:rPr>
      </w:pPr>
    </w:p>
    <w:p>
      <w:pPr>
        <w:ind w:left="460" w:hanging="452"/>
        <w:spacing w:after="0"/>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when declared effective pursuant to Section 8(c) of the Securities Act.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Check each box that appropriately characterizes the Registrant:</w:t>
      </w:r>
    </w:p>
    <w:p>
      <w:pPr>
        <w:spacing w:after="0" w:line="90" w:lineRule="exact"/>
        <w:rPr>
          <w:sz w:val="20"/>
          <w:szCs w:val="20"/>
          <w:color w:val="auto"/>
        </w:rPr>
      </w:pPr>
    </w:p>
    <w:p>
      <w:pPr>
        <w:ind w:left="460" w:hanging="452"/>
        <w:spacing w:after="0"/>
        <w:tabs>
          <w:tab w:leader="none" w:pos="46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Registered Closed-End Fund (closed-end company that is registered under the Investment Company Act of 1940 (“Investment Company Act”)).</w:t>
      </w:r>
    </w:p>
    <w:p>
      <w:pPr>
        <w:spacing w:after="0" w:line="86" w:lineRule="exact"/>
        <w:rPr>
          <w:sz w:val="20"/>
          <w:szCs w:val="20"/>
          <w:color w:val="auto"/>
        </w:rPr>
      </w:pPr>
    </w:p>
    <w:p>
      <w:pPr>
        <w:ind w:left="460" w:hanging="452"/>
        <w:spacing w:after="0" w:line="288" w:lineRule="auto"/>
        <w:tabs>
          <w:tab w:leader="none" w:pos="460"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Business Development Company (closed-end company that intends or has elected to be regulated as a business development company under the Investment Company Act).</w:t>
      </w:r>
    </w:p>
    <w:p>
      <w:pPr>
        <w:spacing w:after="0" w:line="31" w:lineRule="exact"/>
        <w:rPr>
          <w:sz w:val="20"/>
          <w:szCs w:val="20"/>
          <w:color w:val="auto"/>
        </w:rPr>
      </w:pPr>
    </w:p>
    <w:p>
      <w:pPr>
        <w:ind w:left="460" w:right="420" w:hanging="452"/>
        <w:spacing w:after="0" w:line="293" w:lineRule="auto"/>
        <w:tabs>
          <w:tab w:leader="none" w:pos="46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Interval Fund (Registered Closed-End Fund or a Business Development Company that makes periodic repurchase offers under Rule 23c-3 under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132715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1" w:lineRule="exact"/>
        <w:rPr>
          <w:sz w:val="20"/>
          <w:szCs w:val="20"/>
          <w:color w:val="auto"/>
        </w:rPr>
      </w:pPr>
    </w:p>
    <w:p>
      <w:pPr>
        <w:ind w:right="4600" w:firstLine="8"/>
        <w:spacing w:after="0" w:line="247" w:lineRule="exact"/>
        <w:tabs>
          <w:tab w:leader="none" w:pos="445" w:val="left"/>
        </w:tabs>
        <w:numPr>
          <w:ilvl w:val="0"/>
          <w:numId w:val="9"/>
        </w:numPr>
        <w:rPr>
          <w:rFonts w:ascii="MS PGothic" w:cs="MS PGothic" w:eastAsia="MS PGothic" w:hAnsi="MS PGothic"/>
          <w:sz w:val="16"/>
          <w:szCs w:val="16"/>
          <w:color w:val="auto"/>
        </w:rPr>
      </w:pPr>
      <w:r>
        <w:rPr>
          <w:rFonts w:ascii="Arial" w:cs="Arial" w:eastAsia="Arial" w:hAnsi="Arial"/>
          <w:sz w:val="16"/>
          <w:szCs w:val="16"/>
          <w:color w:val="auto"/>
        </w:rPr>
        <w:t xml:space="preserve">A.2 Qualified (qualified to register securities pursuant to General Instruction A.2 of this Form). </w:t>
      </w:r>
      <w:r>
        <w:rPr>
          <w:rFonts w:ascii="MS PGothic" w:cs="MS PGothic" w:eastAsia="MS PGothic" w:hAnsi="MS PGothic"/>
          <w:sz w:val="16"/>
          <w:szCs w:val="16"/>
          <w:color w:val="auto"/>
        </w:rPr>
        <w:t>☐</w:t>
      </w:r>
      <w:r>
        <w:rPr>
          <w:rFonts w:ascii="Arial" w:cs="Arial" w:eastAsia="Arial" w:hAnsi="Arial"/>
          <w:sz w:val="16"/>
          <w:szCs w:val="16"/>
          <w:color w:val="auto"/>
        </w:rPr>
        <w:t xml:space="preserve"> Well-Known Seasoned Issuer (as defined by Rule 405 under the Securities Act).</w:t>
      </w:r>
    </w:p>
    <w:p>
      <w:pPr>
        <w:spacing w:after="0" w:line="16"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4"/>
          <w:szCs w:val="14"/>
          <w:color w:val="auto"/>
        </w:rPr>
        <w:t>Emerging Growth Company (as defined by Rule 12b-2 under the Securities Exchange Act of 1934 (“Exchange Act”).</w:t>
      </w:r>
    </w:p>
    <w:p>
      <w:pPr>
        <w:spacing w:after="0" w:line="116" w:lineRule="exact"/>
        <w:rPr>
          <w:sz w:val="20"/>
          <w:szCs w:val="20"/>
          <w:color w:val="auto"/>
        </w:rPr>
      </w:pPr>
    </w:p>
    <w:p>
      <w:pPr>
        <w:ind w:left="460" w:right="500" w:hanging="452"/>
        <w:spacing w:after="0" w:line="288" w:lineRule="auto"/>
        <w:tabs>
          <w:tab w:leader="none" w:pos="46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30" w:lineRule="exact"/>
        <w:rPr>
          <w:rFonts w:ascii="MS PGothic" w:cs="MS PGothic" w:eastAsia="MS PGothic" w:hAnsi="MS PGothic"/>
          <w:sz w:val="16"/>
          <w:szCs w:val="16"/>
          <w:color w:val="auto"/>
        </w:rPr>
      </w:pPr>
    </w:p>
    <w:p>
      <w:pPr>
        <w:ind w:left="460" w:hanging="452"/>
        <w:spacing w:after="0"/>
        <w:tabs>
          <w:tab w:leader="none" w:pos="46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New Registrant (registered or regulated under the Investment Company Act for less than 12 calendar months preceding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172085</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 UNDER THE SECURITIES ACT OF 1933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4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54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4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w:t>
            </w:r>
          </w:p>
        </w:tc>
        <w:tc>
          <w:tcPr>
            <w:tcW w:w="148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420" w:type="dxa"/>
            <w:vAlign w:val="bottom"/>
            <w:vMerge w:val="restart"/>
          </w:tcPr>
          <w:p>
            <w:pPr>
              <w:jc w:val="center"/>
              <w:ind w:left="6"/>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542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5"/>
              </w:rPr>
              <w:t>Offering</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Borders>
              <w:right w:val="single" w:sz="8" w:color="auto"/>
            </w:tcBorders>
            <w:vMerge w:val="restart"/>
          </w:tcPr>
          <w:p>
            <w:pPr>
              <w:ind w:left="1640"/>
              <w:spacing w:after="0"/>
              <w:rPr>
                <w:sz w:val="20"/>
                <w:szCs w:val="20"/>
                <w:color w:val="auto"/>
              </w:rPr>
            </w:pPr>
            <w:r>
              <w:rPr>
                <w:rFonts w:ascii="Arial" w:cs="Arial" w:eastAsia="Arial" w:hAnsi="Arial"/>
                <w:sz w:val="14"/>
                <w:szCs w:val="14"/>
                <w:b w:val="1"/>
                <w:bCs w:val="1"/>
                <w:color w:val="auto"/>
              </w:rPr>
              <w:t>Title of Securities Being Registered</w:t>
            </w:r>
          </w:p>
        </w:tc>
        <w:tc>
          <w:tcPr>
            <w:tcW w:w="14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Being</w:t>
            </w:r>
          </w:p>
        </w:tc>
        <w:tc>
          <w:tcPr>
            <w:tcW w:w="148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3"/>
              </w:rPr>
              <w:t>Price</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142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right w:val="single" w:sz="8" w:color="auto"/>
            </w:tcBorders>
            <w:vMerge w:val="continue"/>
          </w:tcPr>
          <w:p>
            <w:pPr>
              <w:spacing w:after="0"/>
              <w:rPr>
                <w:sz w:val="15"/>
                <w:szCs w:val="15"/>
                <w:color w:val="auto"/>
              </w:rPr>
            </w:pPr>
          </w:p>
        </w:tc>
        <w:tc>
          <w:tcPr>
            <w:tcW w:w="148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Registered</w:t>
            </w:r>
          </w:p>
        </w:tc>
        <w:tc>
          <w:tcPr>
            <w:tcW w:w="14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6"/>
              </w:rPr>
              <w:t>Per Unit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12"/>
                <w:szCs w:val="12"/>
                <w:b w:val="1"/>
                <w:bCs w:val="1"/>
                <w:color w:val="auto"/>
                <w:w w:val="93"/>
              </w:rPr>
              <w:t>(1)</w:t>
            </w:r>
          </w:p>
        </w:tc>
        <w:tc>
          <w:tcPr>
            <w:tcW w:w="142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2"/>
              </w:rPr>
              <w:t>Fee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right w:val="single" w:sz="8" w:color="auto"/>
            </w:tcBorders>
          </w:tcPr>
          <w:p>
            <w:pPr>
              <w:spacing w:after="0" w:line="195" w:lineRule="exact"/>
              <w:rPr>
                <w:sz w:val="20"/>
                <w:szCs w:val="20"/>
                <w:color w:val="auto"/>
              </w:rPr>
            </w:pPr>
            <w:r>
              <w:rPr>
                <w:rFonts w:ascii="Arial" w:cs="Arial" w:eastAsia="Arial" w:hAnsi="Arial"/>
                <w:sz w:val="14"/>
                <w:szCs w:val="14"/>
                <w:color w:val="auto"/>
              </w:rPr>
              <w:t>Common Stock, $0.01 par value per share</w:t>
            </w:r>
            <w:r>
              <w:rPr>
                <w:rFonts w:ascii="Arial" w:cs="Arial" w:eastAsia="Arial" w:hAnsi="Arial"/>
                <w:sz w:val="22"/>
                <w:szCs w:val="22"/>
                <w:color w:val="auto"/>
                <w:vertAlign w:val="superscript"/>
              </w:rPr>
              <w:t>(2)(3)</w:t>
            </w:r>
          </w:p>
        </w:tc>
        <w:tc>
          <w:tcPr>
            <w:tcW w:w="14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right w:val="single" w:sz="8" w:color="auto"/>
            </w:tcBorders>
          </w:tcPr>
          <w:p>
            <w:pPr>
              <w:spacing w:after="0" w:line="195" w:lineRule="exact"/>
              <w:rPr>
                <w:sz w:val="20"/>
                <w:szCs w:val="20"/>
                <w:color w:val="auto"/>
              </w:rPr>
            </w:pPr>
            <w:r>
              <w:rPr>
                <w:rFonts w:ascii="Arial" w:cs="Arial" w:eastAsia="Arial" w:hAnsi="Arial"/>
                <w:sz w:val="14"/>
                <w:szCs w:val="14"/>
                <w:color w:val="auto"/>
              </w:rPr>
              <w:t>Preferred Stock, $0.01 par value per share</w:t>
            </w:r>
            <w:r>
              <w:rPr>
                <w:rFonts w:ascii="Arial" w:cs="Arial" w:eastAsia="Arial" w:hAnsi="Arial"/>
                <w:sz w:val="22"/>
                <w:szCs w:val="22"/>
                <w:color w:val="auto"/>
                <w:vertAlign w:val="superscript"/>
              </w:rPr>
              <w:t>(2)</w:t>
            </w:r>
          </w:p>
        </w:tc>
        <w:tc>
          <w:tcPr>
            <w:tcW w:w="14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right w:val="single" w:sz="8" w:color="auto"/>
            </w:tcBorders>
          </w:tcPr>
          <w:p>
            <w:pPr>
              <w:spacing w:after="0" w:line="195" w:lineRule="exact"/>
              <w:rPr>
                <w:sz w:val="20"/>
                <w:szCs w:val="20"/>
                <w:color w:val="auto"/>
              </w:rPr>
            </w:pPr>
            <w:r>
              <w:rPr>
                <w:rFonts w:ascii="Arial" w:cs="Arial" w:eastAsia="Arial" w:hAnsi="Arial"/>
                <w:sz w:val="14"/>
                <w:szCs w:val="14"/>
                <w:color w:val="auto"/>
              </w:rPr>
              <w:t>Subscription Rights</w:t>
            </w:r>
            <w:r>
              <w:rPr>
                <w:rFonts w:ascii="Arial" w:cs="Arial" w:eastAsia="Arial" w:hAnsi="Arial"/>
                <w:sz w:val="22"/>
                <w:szCs w:val="22"/>
                <w:color w:val="auto"/>
                <w:vertAlign w:val="superscript"/>
              </w:rPr>
              <w:t>(2)</w:t>
            </w:r>
          </w:p>
        </w:tc>
        <w:tc>
          <w:tcPr>
            <w:tcW w:w="14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right w:val="single" w:sz="8" w:color="auto"/>
            </w:tcBorders>
          </w:tcPr>
          <w:p>
            <w:pPr>
              <w:spacing w:after="0" w:line="195" w:lineRule="exact"/>
              <w:rPr>
                <w:sz w:val="20"/>
                <w:szCs w:val="20"/>
                <w:color w:val="auto"/>
              </w:rPr>
            </w:pPr>
            <w:r>
              <w:rPr>
                <w:rFonts w:ascii="Arial" w:cs="Arial" w:eastAsia="Arial" w:hAnsi="Arial"/>
                <w:sz w:val="14"/>
                <w:szCs w:val="14"/>
                <w:color w:val="auto"/>
              </w:rPr>
              <w:t>Warrants</w:t>
            </w:r>
            <w:r>
              <w:rPr>
                <w:rFonts w:ascii="Arial" w:cs="Arial" w:eastAsia="Arial" w:hAnsi="Arial"/>
                <w:sz w:val="22"/>
                <w:szCs w:val="22"/>
                <w:color w:val="auto"/>
                <w:vertAlign w:val="superscript"/>
              </w:rPr>
              <w:t>(4)</w:t>
            </w:r>
          </w:p>
        </w:tc>
        <w:tc>
          <w:tcPr>
            <w:tcW w:w="14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right w:val="single" w:sz="8" w:color="auto"/>
            </w:tcBorders>
          </w:tcPr>
          <w:p>
            <w:pPr>
              <w:spacing w:after="0" w:line="195" w:lineRule="exact"/>
              <w:rPr>
                <w:sz w:val="20"/>
                <w:szCs w:val="20"/>
                <w:color w:val="auto"/>
              </w:rPr>
            </w:pPr>
            <w:r>
              <w:rPr>
                <w:rFonts w:ascii="Arial" w:cs="Arial" w:eastAsia="Arial" w:hAnsi="Arial"/>
                <w:sz w:val="14"/>
                <w:szCs w:val="14"/>
                <w:color w:val="auto"/>
              </w:rPr>
              <w:t>Debt Securities</w:t>
            </w:r>
            <w:r>
              <w:rPr>
                <w:rFonts w:ascii="Arial" w:cs="Arial" w:eastAsia="Arial" w:hAnsi="Arial"/>
                <w:sz w:val="22"/>
                <w:szCs w:val="22"/>
                <w:color w:val="auto"/>
                <w:vertAlign w:val="superscript"/>
              </w:rPr>
              <w:t>(5)</w:t>
            </w:r>
          </w:p>
        </w:tc>
        <w:tc>
          <w:tcPr>
            <w:tcW w:w="14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auto"/>
              <w:right w:val="single" w:sz="8" w:color="auto"/>
            </w:tcBorders>
          </w:tcPr>
          <w:p>
            <w:pPr>
              <w:ind w:left="340"/>
              <w:spacing w:after="0" w:line="195"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color w:val="auto"/>
                <w:vertAlign w:val="superscript"/>
              </w:rPr>
              <w:t>(6)</w:t>
            </w:r>
          </w:p>
        </w:tc>
        <w:tc>
          <w:tcPr>
            <w:tcW w:w="14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$500,000,000</w:t>
            </w:r>
          </w:p>
        </w:tc>
        <w:tc>
          <w:tcPr>
            <w:tcW w:w="1420" w:type="dxa"/>
            <w:vAlign w:val="bottom"/>
            <w:tcBorders>
              <w:bottom w:val="single" w:sz="8" w:color="auto"/>
            </w:tcBorders>
          </w:tcPr>
          <w:p>
            <w:pPr>
              <w:jc w:val="center"/>
              <w:ind w:left="6"/>
              <w:spacing w:after="0"/>
              <w:rPr>
                <w:sz w:val="20"/>
                <w:szCs w:val="20"/>
                <w:color w:val="auto"/>
              </w:rPr>
            </w:pPr>
            <w:r>
              <w:rPr>
                <w:rFonts w:ascii="Arial" w:cs="Arial" w:eastAsia="Arial" w:hAnsi="Arial"/>
                <w:sz w:val="16"/>
                <w:szCs w:val="16"/>
                <w:color w:val="auto"/>
                <w:w w:val="93"/>
              </w:rPr>
              <w:t>$46,350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460" w:right="60" w:hanging="452"/>
        <w:spacing w:after="0" w:line="26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Estimated pursuant to Rule 457(o) under the Securities Act of 1933, as amended (the “Securities Act”), solely for the purpose of determining the registration fee. The proposed maximum offering price per security will be determined, from time to time, by Portman Ridge Finance Corporation (the “Registrant”) in connection with the sale of the securities registered under this Registration Statement.</w:t>
      </w:r>
    </w:p>
    <w:p>
      <w:pPr>
        <w:spacing w:after="0" w:line="1" w:lineRule="exact"/>
        <w:rPr>
          <w:rFonts w:ascii="Arial" w:cs="Arial" w:eastAsia="Arial" w:hAnsi="Arial"/>
          <w:sz w:val="16"/>
          <w:szCs w:val="16"/>
          <w:color w:val="auto"/>
        </w:rPr>
      </w:pPr>
    </w:p>
    <w:p>
      <w:pPr>
        <w:ind w:left="460" w:right="300" w:hanging="452"/>
        <w:spacing w:after="0" w:line="26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number of shares of common stock, preferred stock, or subscription rights as may be sold, from time to time.</w:t>
      </w:r>
    </w:p>
    <w:p>
      <w:pPr>
        <w:ind w:left="460" w:right="60" w:hanging="452"/>
        <w:spacing w:after="0" w:line="26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such indeterminate number of shares of the Registrant’s common stock as may, from time to time, be issued upon conversion or exchange of other securities registered hereunder, to the extent any such securities are, by their terms, convertible or exchangeable for common stock.</w:t>
      </w:r>
    </w:p>
    <w:p>
      <w:pPr>
        <w:ind w:left="460" w:right="360" w:hanging="452"/>
        <w:spacing w:after="0" w:line="26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number of the Registrant’s warrants as may be sold, from time to time, representing rights to purchase common stock, preferred stock or debt securities of the Registrant.</w:t>
      </w:r>
    </w:p>
    <w:p>
      <w:pPr>
        <w:jc w:val="both"/>
        <w:ind w:left="460" w:hanging="452"/>
        <w:spacing w:after="0" w:line="26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number of debt securities of the Registrant as may be sold, from time to time. If any debt securities of the Registrant are issued at an original issue discount, then the offering price shall be in such greater principal amount as shall result in an aggregate price to investors not to exceed $500,000,000.</w:t>
      </w: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by the Registrant pursuant to this Registration Statement exceed $500,000,000.</w:t>
      </w:r>
    </w:p>
    <w:p>
      <w:pPr>
        <w:spacing w:after="0" w:line="14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480"/>
        <w:spacing w:after="0"/>
        <w:rPr>
          <w:sz w:val="20"/>
          <w:szCs w:val="20"/>
          <w:color w:val="auto"/>
        </w:rPr>
      </w:pPr>
      <w:r>
        <w:rPr>
          <w:rFonts w:ascii="Arial" w:cs="Arial" w:eastAsia="Arial" w:hAnsi="Arial"/>
          <w:sz w:val="14"/>
          <w:szCs w:val="14"/>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an offer or sale is not permitted.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4338"/>
        </w:rPr>
        <w:t>PROSPECTUS SUBJECT TO COMPLETION DATED OCTOBER 5, 2021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100330</wp:posOffset>
            </wp:positionV>
            <wp:extent cx="306895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689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39" w:lineRule="exact"/>
        <w:rPr>
          <w:sz w:val="20"/>
          <w:szCs w:val="20"/>
          <w:color w:val="auto"/>
        </w:rPr>
      </w:pPr>
    </w:p>
    <w:p>
      <w:pPr>
        <w:ind w:right="120" w:firstLine="449"/>
        <w:spacing w:after="0" w:line="293" w:lineRule="auto"/>
        <w:rPr>
          <w:sz w:val="20"/>
          <w:szCs w:val="20"/>
          <w:color w:val="auto"/>
        </w:rPr>
      </w:pPr>
      <w:r>
        <w:rPr>
          <w:rFonts w:ascii="Arial" w:cs="Arial" w:eastAsia="Arial" w:hAnsi="Arial"/>
          <w:sz w:val="15"/>
          <w:szCs w:val="15"/>
          <w:color w:val="auto"/>
        </w:rPr>
        <w:t>Portman Ridge Finance Corporation, or “we” “us” or the “Company”, is an externally managed, non-diversified closed-end investment company that has elected to be regulated as a business development company, or BDC, under the Investment Company Act of 1940, or the 1940 Act. Sierra Crest Investment Management LLC, or the Adviser, is an affiliate of BC Partners LLP, or BC Partners. Subject to the overall supervision of the Board of Directors, or the Board, of the Company,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8" w:lineRule="exact"/>
        <w:rPr>
          <w:sz w:val="20"/>
          <w:szCs w:val="20"/>
          <w:color w:val="auto"/>
        </w:rPr>
      </w:pPr>
    </w:p>
    <w:p>
      <w:pPr>
        <w:ind w:firstLine="449"/>
        <w:spacing w:after="0" w:line="271" w:lineRule="auto"/>
        <w:rPr>
          <w:sz w:val="20"/>
          <w:szCs w:val="20"/>
          <w:color w:val="auto"/>
        </w:rPr>
      </w:pPr>
      <w:r>
        <w:rPr>
          <w:rFonts w:ascii="Arial" w:cs="Arial" w:eastAsia="Arial" w:hAnsi="Arial"/>
          <w:sz w:val="16"/>
          <w:szCs w:val="16"/>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or “CLO Fund Securities.” In addition, from time to time we may invest in the equity securities of privately held middle market companies and may also receive warrants or options to purchase common stock in connection with our debt investments.</w:t>
      </w:r>
    </w:p>
    <w:p>
      <w:pPr>
        <w:spacing w:after="0" w:line="82" w:lineRule="exact"/>
        <w:rPr>
          <w:sz w:val="20"/>
          <w:szCs w:val="20"/>
          <w:color w:val="auto"/>
        </w:rPr>
      </w:pPr>
    </w:p>
    <w:p>
      <w:pPr>
        <w:ind w:firstLine="449"/>
        <w:spacing w:after="0" w:line="287" w:lineRule="auto"/>
        <w:rPr>
          <w:sz w:val="20"/>
          <w:szCs w:val="20"/>
          <w:color w:val="auto"/>
        </w:rPr>
      </w:pPr>
      <w:r>
        <w:rPr>
          <w:rFonts w:ascii="Arial" w:cs="Arial" w:eastAsia="Arial" w:hAnsi="Arial"/>
          <w:sz w:val="15"/>
          <w:szCs w:val="15"/>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(earnings before interest, taxes, depreciation and amortization)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first lien term loans may include traditional first lien senior secured loans or unitranche loans. Unitranche loans combine characteristics of traditional first lien senior secured loans as well as second lien and/or mezzanine debt, or Junior Debt. Unitranche loans will expose us to the risks associated with first lien loans and Junior Debt.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spacing w:after="0" w:line="74" w:lineRule="exact"/>
        <w:rPr>
          <w:sz w:val="20"/>
          <w:szCs w:val="20"/>
          <w:color w:val="auto"/>
        </w:rPr>
      </w:pPr>
    </w:p>
    <w:p>
      <w:pPr>
        <w:ind w:right="360" w:firstLine="449"/>
        <w:spacing w:after="0" w:line="305" w:lineRule="auto"/>
        <w:rPr>
          <w:sz w:val="20"/>
          <w:szCs w:val="20"/>
          <w:color w:val="auto"/>
        </w:rPr>
      </w:pPr>
      <w:r>
        <w:rPr>
          <w:rFonts w:ascii="Arial" w:cs="Arial" w:eastAsia="Arial" w:hAnsi="Arial"/>
          <w:sz w:val="15"/>
          <w:szCs w:val="15"/>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or CLO Funds, typically invest in broadly syndicated loans, high-yield bonds and other credit instruments.</w:t>
      </w:r>
    </w:p>
    <w:p>
      <w:pPr>
        <w:spacing w:after="0" w:line="58" w:lineRule="exact"/>
        <w:rPr>
          <w:sz w:val="20"/>
          <w:szCs w:val="20"/>
          <w:color w:val="auto"/>
        </w:rPr>
      </w:pPr>
    </w:p>
    <w:p>
      <w:pPr>
        <w:ind w:right="100" w:firstLine="449"/>
        <w:spacing w:after="0" w:line="271" w:lineRule="auto"/>
        <w:rPr>
          <w:sz w:val="20"/>
          <w:szCs w:val="20"/>
          <w:color w:val="auto"/>
        </w:rPr>
      </w:pPr>
      <w:r>
        <w:rPr>
          <w:rFonts w:ascii="Arial" w:cs="Arial" w:eastAsia="Arial" w:hAnsi="Arial"/>
          <w:sz w:val="16"/>
          <w:szCs w:val="16"/>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82" w:lineRule="exact"/>
        <w:rPr>
          <w:sz w:val="20"/>
          <w:szCs w:val="20"/>
          <w:color w:val="auto"/>
        </w:rPr>
      </w:pPr>
    </w:p>
    <w:p>
      <w:pPr>
        <w:ind w:right="440" w:firstLine="449"/>
        <w:spacing w:after="0" w:line="278" w:lineRule="auto"/>
        <w:rPr>
          <w:sz w:val="20"/>
          <w:szCs w:val="20"/>
          <w:color w:val="auto"/>
        </w:rPr>
      </w:pPr>
      <w:r>
        <w:rPr>
          <w:rFonts w:ascii="Arial" w:cs="Arial" w:eastAsia="Arial" w:hAnsi="Arial"/>
          <w:sz w:val="16"/>
          <w:szCs w:val="16"/>
          <w:color w:val="auto"/>
        </w:rPr>
        <w:t>We have elected to be treated for U.S. federal income tax purposes as a registered investment corporation, or RIC, under the Internal Revenue Code of 1986, as amended, or the Code, and intend to operate in a manner to maintain our RIC status. As a RIC, we intend to distribute to our stockholders substantially all of our net ordinary taxable income and the excess of</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76" w:lineRule="exact"/>
        <w:rPr>
          <w:sz w:val="20"/>
          <w:szCs w:val="20"/>
          <w:color w:val="auto"/>
        </w:rPr>
      </w:pPr>
    </w:p>
    <w:p>
      <w:pPr>
        <w:ind w:right="100" w:firstLine="449"/>
        <w:spacing w:after="0" w:line="297" w:lineRule="auto"/>
        <w:rPr>
          <w:sz w:val="20"/>
          <w:szCs w:val="20"/>
          <w:color w:val="auto"/>
        </w:rPr>
      </w:pPr>
      <w:r>
        <w:rPr>
          <w:rFonts w:ascii="Arial" w:cs="Arial" w:eastAsia="Arial" w:hAnsi="Arial"/>
          <w:sz w:val="15"/>
          <w:szCs w:val="15"/>
          <w:color w:val="auto"/>
        </w:rPr>
        <w:t>We may offer, from time to time, in one or more offerings or series, up to $500,000,000 of our common stock, preferred stock, debt securities, subscription rights to purchase shares of our common stock, and/or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64" w:lineRule="exact"/>
        <w:rPr>
          <w:sz w:val="20"/>
          <w:szCs w:val="20"/>
          <w:color w:val="auto"/>
        </w:rPr>
      </w:pPr>
    </w:p>
    <w:p>
      <w:pPr>
        <w:ind w:firstLine="449"/>
        <w:spacing w:after="0" w:line="297" w:lineRule="auto"/>
        <w:rPr>
          <w:sz w:val="20"/>
          <w:szCs w:val="20"/>
          <w:color w:val="auto"/>
        </w:rPr>
      </w:pPr>
      <w:r>
        <w:rPr>
          <w:rFonts w:ascii="Arial" w:cs="Arial" w:eastAsia="Arial" w:hAnsi="Arial"/>
          <w:sz w:val="15"/>
          <w:szCs w:val="15"/>
          <w:color w:val="auto"/>
        </w:rPr>
        <w:t>In the event we offer common stock, the net proceeds we receive on a per share basis, before offering expenses, will generally not be less than the net asset value per share of our common stock at the time we make the offering. However, we may receive net proceeds on a per share basis, before offering expenses, that are less than our net asset value per share (i) in connection with a rights offering to our existing stockholders, (ii) with the prior approval of the majority (as defined in the 1940 Act) of our common stockholders or (iii) under such other circumstances as the Securities and Exchange Commission, or the SEC, may permit.</w:t>
      </w:r>
    </w:p>
    <w:p>
      <w:pPr>
        <w:spacing w:after="0" w:line="64" w:lineRule="exact"/>
        <w:rPr>
          <w:sz w:val="20"/>
          <w:szCs w:val="20"/>
          <w:color w:val="auto"/>
        </w:rPr>
      </w:pPr>
    </w:p>
    <w:p>
      <w:pPr>
        <w:ind w:right="60" w:firstLine="449"/>
        <w:spacing w:after="0" w:line="273" w:lineRule="auto"/>
        <w:rPr>
          <w:sz w:val="20"/>
          <w:szCs w:val="20"/>
          <w:color w:val="auto"/>
        </w:rPr>
      </w:pPr>
      <w:r>
        <w:rPr>
          <w:rFonts w:ascii="Arial" w:cs="Arial" w:eastAsia="Arial" w:hAnsi="Arial"/>
          <w:sz w:val="16"/>
          <w:szCs w:val="16"/>
          <w:color w:val="auto"/>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w:t>
      </w:r>
    </w:p>
    <w:p>
      <w:pPr>
        <w:spacing w:after="0" w:line="81"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Our common stock is traded on the NASDAQ Global Select Market, or NASDAQ, under the symbol “PTMN.” The reported closing price for our common stock on October 4, 2021 was $24.11 per share.</w:t>
      </w:r>
    </w:p>
    <w:p>
      <w:pPr>
        <w:spacing w:after="0" w:line="60" w:lineRule="exact"/>
        <w:rPr>
          <w:sz w:val="20"/>
          <w:szCs w:val="20"/>
          <w:color w:val="auto"/>
        </w:rPr>
      </w:pPr>
    </w:p>
    <w:p>
      <w:pPr>
        <w:ind w:right="40" w:firstLine="449"/>
        <w:spacing w:after="0" w:line="281" w:lineRule="auto"/>
        <w:rPr>
          <w:sz w:val="20"/>
          <w:szCs w:val="20"/>
          <w:color w:val="auto"/>
        </w:rPr>
      </w:pPr>
      <w:r>
        <w:rPr>
          <w:rFonts w:ascii="Arial" w:cs="Arial" w:eastAsia="Arial" w:hAnsi="Arial"/>
          <w:sz w:val="16"/>
          <w:szCs w:val="16"/>
          <w:b w:val="1"/>
          <w:bCs w:val="1"/>
          <w:color w:val="auto"/>
        </w:rPr>
        <w:t>Shares of closed-end investment companies, including business development companies, frequently trade at a discount to their net asset value. If our shares trade at a discount to our net asset value, it will likely increase the risk of loss for purchasers in an offering made pursuant to this prospectus or any related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138430</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92" w:lineRule="exact"/>
        <w:rPr>
          <w:sz w:val="20"/>
          <w:szCs w:val="20"/>
          <w:color w:val="auto"/>
        </w:rPr>
      </w:pPr>
    </w:p>
    <w:p>
      <w:pPr>
        <w:ind w:right="240" w:firstLine="449"/>
        <w:spacing w:after="0" w:line="249"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a high degree of risk. You should review carefully the risks and uncertainties, including the risk of leverage and dilution, described in the section titled “</w:t>
      </w:r>
      <w:hyperlink w:anchor="page12">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6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 before investing in our securities.</w:t>
      </w:r>
    </w:p>
    <w:p>
      <w:pPr>
        <w:spacing w:after="0" w:line="80" w:lineRule="exact"/>
        <w:rPr>
          <w:sz w:val="20"/>
          <w:szCs w:val="20"/>
          <w:color w:val="auto"/>
        </w:rPr>
      </w:pPr>
    </w:p>
    <w:p>
      <w:pPr>
        <w:ind w:right="80" w:firstLine="449"/>
        <w:spacing w:after="0" w:line="265" w:lineRule="auto"/>
        <w:rPr>
          <w:sz w:val="20"/>
          <w:szCs w:val="20"/>
          <w:color w:val="auto"/>
        </w:rPr>
      </w:pPr>
      <w:r>
        <w:rPr>
          <w:rFonts w:ascii="Arial" w:cs="Arial" w:eastAsia="Arial" w:hAnsi="Arial"/>
          <w:sz w:val="15"/>
          <w:szCs w:val="15"/>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file annual, quarterly and current reports, proxy statements and other information with the SEC. The SEC also maintains a website at http://www.sec.gov that contains such information. This information is also available free of charge by contacting us at 650 Madison Avenue, 23</w:t>
      </w:r>
      <w:r>
        <w:rPr>
          <w:rFonts w:ascii="Arial" w:cs="Arial" w:eastAsia="Arial" w:hAnsi="Arial"/>
          <w:sz w:val="25"/>
          <w:szCs w:val="25"/>
          <w:color w:val="auto"/>
          <w:vertAlign w:val="superscript"/>
        </w:rPr>
        <w:t>rd</w:t>
      </w:r>
      <w:r>
        <w:rPr>
          <w:rFonts w:ascii="Arial" w:cs="Arial" w:eastAsia="Arial" w:hAnsi="Arial"/>
          <w:sz w:val="15"/>
          <w:szCs w:val="15"/>
          <w:color w:val="auto"/>
        </w:rPr>
        <w:t xml:space="preserve"> Floor, New York, New York 10022, Attention: Investor Relations, or by calling us collect at (212) 891-2880 or on our website at http://www.portmanridge.com. Information contained on our website is not incorporated by reference into this prospectus or any supplement to this prospectus and you should not consider that information to be part of this prospectus or any supplement 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Neither the SEC nor any state securities commission has approved or disapproved of these shares or determined if this prospectus is truthful or complete.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representation to the contrary is a criminal offense.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This prospectus may not be used to consummate sales of securities unless accompanied by a prospectus supplement.</w:t>
      </w:r>
    </w:p>
    <w:p>
      <w:pPr>
        <w:spacing w:after="0" w:line="127" w:lineRule="exact"/>
        <w:rPr>
          <w:sz w:val="20"/>
          <w:szCs w:val="20"/>
          <w:color w:val="auto"/>
        </w:rPr>
      </w:pPr>
    </w:p>
    <w:tbl>
      <w:tblPr>
        <w:tblLayout w:type="fixed"/>
        <w:tblInd w:w="402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ectPr>
          <w:pgSz w:w="11900" w:h="16838" w:orient="portrait"/>
          <w:cols w:equalWidth="0" w:num="1">
            <w:col w:w="11180"/>
          </w:cols>
          <w:pgMar w:left="320" w:top="459" w:right="3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40" w:type="dxa"/>
            <w:vAlign w:val="bottom"/>
            <w:gridSpan w:val="3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r>
      <w:tr>
        <w:trPr>
          <w:trHeight w:val="533"/>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0" w:type="dxa"/>
            <w:vAlign w:val="bottom"/>
            <w:gridSpan w:val="7"/>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r>
      <w:tr>
        <w:trPr>
          <w:trHeight w:val="418"/>
        </w:trPr>
        <w:tc>
          <w:tcPr>
            <w:tcW w:w="22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8500" w:type="dxa"/>
            <w:vAlign w:val="bottom"/>
            <w:gridSpan w:val="1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304"/>
        </w:trPr>
        <w:tc>
          <w:tcPr>
            <w:tcW w:w="21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PROSPECTUS SUMMARY</w:t>
              </w:r>
            </w:hyperlink>
          </w:p>
        </w:tc>
        <w:tc>
          <w:tcPr>
            <w:tcW w:w="864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8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FEES AND EXPENSES</w:t>
              </w:r>
            </w:hyperlink>
          </w:p>
        </w:tc>
        <w:tc>
          <w:tcPr>
            <w:tcW w:w="8940" w:type="dxa"/>
            <w:vAlign w:val="bottom"/>
            <w:gridSpan w:val="2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120" w:type="dxa"/>
            <w:vAlign w:val="bottom"/>
            <w:tcBorders>
              <w:bottom w:val="single" w:sz="8" w:color="0000EE"/>
            </w:tcBorders>
            <w:gridSpan w:val="1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FINANCIAL HIGHLIGHTS</w:t>
              </w:r>
            </w:hyperlink>
          </w:p>
        </w:tc>
        <w:tc>
          <w:tcPr>
            <w:tcW w:w="862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RISK FACTORS</w:t>
              </w:r>
            </w:hyperlink>
          </w:p>
        </w:tc>
        <w:tc>
          <w:tcPr>
            <w:tcW w:w="9480" w:type="dxa"/>
            <w:vAlign w:val="bottom"/>
            <w:gridSpan w:val="2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20" w:type="dxa"/>
            <w:vAlign w:val="bottom"/>
            <w:tcBorders>
              <w:top w:val="single" w:sz="8" w:color="0000EE"/>
            </w:tcBorders>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CAUTIONARY STATEMENT REGARDING FORWARD-LOOKING STATEMENTS</w:t>
              </w:r>
            </w:hyperlink>
          </w:p>
        </w:tc>
        <w:tc>
          <w:tcPr>
            <w:tcW w:w="192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6340" w:type="dxa"/>
            <w:vAlign w:val="bottom"/>
            <w:tcBorders>
              <w:top w:val="single" w:sz="8" w:color="0000EE"/>
            </w:tcBorders>
            <w:gridSpan w:val="3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440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9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PRICE RANGE OF COMMON STOCK</w:t>
              </w:r>
            </w:hyperlink>
          </w:p>
        </w:tc>
        <w:tc>
          <w:tcPr>
            <w:tcW w:w="776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8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BUSINESS</w:t>
              </w:r>
            </w:hyperlink>
          </w:p>
        </w:tc>
        <w:tc>
          <w:tcPr>
            <w:tcW w:w="860" w:type="dxa"/>
            <w:vAlign w:val="bottom"/>
            <w:tcBorders>
              <w:top w:val="single" w:sz="8" w:color="0000EE"/>
            </w:tcBorders>
            <w:gridSpan w:val="7"/>
          </w:tcPr>
          <w:p>
            <w:pPr>
              <w:spacing w:after="0"/>
              <w:rPr>
                <w:sz w:val="24"/>
                <w:szCs w:val="24"/>
                <w:color w:val="auto"/>
              </w:rPr>
            </w:pPr>
          </w:p>
        </w:tc>
        <w:tc>
          <w:tcPr>
            <w:tcW w:w="9020" w:type="dxa"/>
            <w:vAlign w:val="bottom"/>
            <w:gridSpan w:val="2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206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PORTFOLIO COMPANIES</w:t>
              </w:r>
            </w:hyperlink>
          </w:p>
        </w:tc>
        <w:tc>
          <w:tcPr>
            <w:tcW w:w="8680" w:type="dxa"/>
            <w:vAlign w:val="bottom"/>
            <w:gridSpan w:val="2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3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PORTFOLIO MANAGEMENT</w:t>
              </w:r>
            </w:hyperlink>
          </w:p>
        </w:tc>
        <w:tc>
          <w:tcPr>
            <w:tcW w:w="840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488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CERTAIN RELATIONSHIPS AND RELATED TRANSACTIONS</w:t>
              </w:r>
            </w:hyperlink>
          </w:p>
        </w:tc>
        <w:tc>
          <w:tcPr>
            <w:tcW w:w="586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 PERSONS AND PRINCIPAL STOCKHOLDERS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38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4"/>
          </w:tcPr>
          <w:p>
            <w:pPr>
              <w:spacing w:after="0"/>
              <w:rPr>
                <w:sz w:val="24"/>
                <w:szCs w:val="24"/>
                <w:color w:val="auto"/>
              </w:rPr>
            </w:pPr>
          </w:p>
        </w:tc>
        <w:tc>
          <w:tcPr>
            <w:tcW w:w="62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DIVIDEND REINVESTMENT PLAN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5680" w:type="dxa"/>
            <w:vAlign w:val="bottom"/>
            <w:tcBorders>
              <w:bottom w:val="single" w:sz="8" w:color="0000EE"/>
            </w:tcBorders>
            <w:gridSpan w:val="29"/>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CERTAIN MATERIAL U.S. FEDERAL INCOME TAX CONSIDERATIONS</w:t>
              </w:r>
            </w:hyperlink>
          </w:p>
        </w:tc>
        <w:tc>
          <w:tcPr>
            <w:tcW w:w="506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296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DESCRIPTION OF COMMON STOCK</w:t>
              </w:r>
            </w:hyperlink>
          </w:p>
        </w:tc>
        <w:tc>
          <w:tcPr>
            <w:tcW w:w="778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PREFERRED STOCK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DESCRIPTION OF SUBSCRIPTION RIGHTS</w:t>
              </w:r>
            </w:hyperlink>
          </w:p>
        </w:tc>
        <w:tc>
          <w:tcPr>
            <w:tcW w:w="726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DESCRIPTION OF WARRANTS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3460" w:type="dxa"/>
            <w:vAlign w:val="bottom"/>
            <w:tcBorders>
              <w:bottom w:val="single" w:sz="8" w:color="0000EE"/>
            </w:tcBorders>
            <w:gridSpan w:val="24"/>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DESCRIPTION OF OUR DEBT SECURITIES</w:t>
              </w:r>
            </w:hyperlink>
          </w:p>
        </w:tc>
        <w:tc>
          <w:tcPr>
            <w:tcW w:w="728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10740" w:type="dxa"/>
            <w:vAlign w:val="bottom"/>
            <w:gridSpan w:val="34"/>
          </w:tcPr>
          <w:p>
            <w:pPr>
              <w:spacing w:after="0"/>
              <w:rPr>
                <w:sz w:val="20"/>
                <w:szCs w:val="20"/>
                <w:color w:val="auto"/>
              </w:rPr>
            </w:pPr>
            <w:r>
              <w:rPr>
                <w:rFonts w:ascii="Arial" w:cs="Arial" w:eastAsia="Arial" w:hAnsi="Arial"/>
                <w:sz w:val="18"/>
                <w:szCs w:val="18"/>
                <w:color w:val="0000EE"/>
                <w:w w:val="97"/>
              </w:rPr>
              <w:t>ISSUANCE OF OPTIONS, WARRANTS OR SECURITIES TO SUBSCRIBE FOR OR CONVERTIBLE INTO SHARES OF OUR COMMON</w:t>
            </w:r>
          </w:p>
        </w:tc>
        <w:tc>
          <w:tcPr>
            <w:tcW w:w="44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STOCK</w:t>
            </w:r>
          </w:p>
        </w:tc>
        <w:tc>
          <w:tcPr>
            <w:tcW w:w="9680" w:type="dxa"/>
            <w:vAlign w:val="bottom"/>
            <w:tcBorders>
              <w:top w:val="single" w:sz="8" w:color="0000EE"/>
            </w:tcBorders>
            <w:gridSpan w:val="31"/>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REGULATION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0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80">
              <w:r>
                <w:rPr>
                  <w:rFonts w:ascii="Arial" w:cs="Arial" w:eastAsia="Arial" w:hAnsi="Arial"/>
                  <w:sz w:val="18"/>
                  <w:szCs w:val="18"/>
                  <w:color w:val="0000EE"/>
                  <w:w w:val="97"/>
                </w:rPr>
                <w:t>PLAN OF DISTRIBUTION</w:t>
              </w:r>
            </w:hyperlink>
          </w:p>
        </w:tc>
        <w:tc>
          <w:tcPr>
            <w:tcW w:w="8680" w:type="dxa"/>
            <w:vAlign w:val="bottom"/>
            <w:gridSpan w:val="2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624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82">
              <w:r>
                <w:rPr>
                  <w:rFonts w:ascii="Arial" w:cs="Arial" w:eastAsia="Arial" w:hAnsi="Arial"/>
                  <w:sz w:val="18"/>
                  <w:szCs w:val="18"/>
                  <w:color w:val="0000EE"/>
                  <w:w w:val="97"/>
                </w:rPr>
                <w:t>CUSTODIAN, TRANSFER AND DIVIDEND PAYING AGENT AND REGISTRAR</w:t>
              </w:r>
            </w:hyperlink>
          </w:p>
        </w:tc>
        <w:tc>
          <w:tcPr>
            <w:tcW w:w="450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BROKERAGE ALLOCATION AND OTHER PRACTICES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4380" w:type="dxa"/>
            <w:vAlign w:val="bottom"/>
            <w:tcBorders>
              <w:top w:val="single" w:sz="8" w:color="0000EE"/>
            </w:tcBorders>
            <w:gridSpan w:val="2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636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24"/>
                <w:szCs w:val="24"/>
                <w:color w:val="auto"/>
              </w:rPr>
            </w:pPr>
          </w:p>
        </w:tc>
        <w:tc>
          <w:tcPr>
            <w:tcW w:w="9280" w:type="dxa"/>
            <w:vAlign w:val="bottom"/>
            <w:gridSpan w:val="2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10740" w:type="dxa"/>
            <w:vAlign w:val="bottom"/>
            <w:gridSpan w:val="3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INCORPORATION BY REFERENCE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2820" w:type="dxa"/>
            <w:vAlign w:val="bottom"/>
            <w:tcBorders>
              <w:top w:val="single" w:sz="8" w:color="0000EE"/>
            </w:tcBorders>
            <w:gridSpan w:val="1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AVAILABLE INFORMATION</w:t>
              </w:r>
            </w:hyperlink>
          </w:p>
        </w:tc>
        <w:tc>
          <w:tcPr>
            <w:tcW w:w="792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85"/>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60" w:type="dxa"/>
            <w:vAlign w:val="bottom"/>
            <w:gridSpan w:val="6"/>
          </w:tcPr>
          <w:p>
            <w:pPr>
              <w:jc w:val="center"/>
              <w:ind w:right="4380"/>
              <w:spacing w:after="0"/>
              <w:rPr>
                <w:sz w:val="20"/>
                <w:szCs w:val="20"/>
                <w:color w:val="auto"/>
              </w:rPr>
            </w:pPr>
            <w:r>
              <w:rPr>
                <w:rFonts w:ascii="Arial" w:cs="Arial" w:eastAsia="Arial" w:hAnsi="Arial"/>
                <w:sz w:val="18"/>
                <w:szCs w:val="18"/>
                <w:color w:val="auto"/>
                <w:w w:val="98"/>
              </w:rPr>
              <w:t>i</w:t>
            </w:r>
          </w:p>
        </w:tc>
        <w:tc>
          <w:tcPr>
            <w:tcW w:w="440" w:type="dxa"/>
            <w:vAlign w:val="bottom"/>
          </w:tcPr>
          <w:p>
            <w:pPr>
              <w:spacing w:after="0"/>
              <w:rPr>
                <w:sz w:val="24"/>
                <w:szCs w:val="24"/>
                <w:color w:val="auto"/>
              </w:rPr>
            </w:pPr>
          </w:p>
        </w:tc>
      </w:tr>
    </w:tbl>
    <w:p>
      <w:pPr>
        <w:sectPr>
          <w:pgSz w:w="11900" w:h="16838" w:orient="portrait"/>
          <w:cols w:equalWidth="0" w:num="1">
            <w:col w:w="11180"/>
          </w:cols>
          <w:pgMar w:left="320" w:top="446"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using the “shelf” registration process. Under this shelf registration statement, we may offer, from time to time, in one or more offerings, up to $500,000,000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w:t>
      </w:r>
    </w:p>
    <w:p>
      <w:pPr>
        <w:spacing w:after="0" w:line="18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spacing w:after="0" w:line="16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spacing w:after="0" w:line="192"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spacing w:after="0" w:line="153"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b w:val="1"/>
          <w:bCs w:val="1"/>
          <w:color w:val="auto"/>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16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4160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This summary highlights information included elsewhere in this prospectus or incorporated by reference. It is not complete and may not contain all of the information that you should consider before making your investment decision.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Any yield information contained or incorporated by reference in this prospectus related to investments in our investment portfolio is not intended to approximate a return on your investment in us and does not take into account other aspects of our business, including our operating and other expenses, or other costs incurred by you in connection with your investment in us.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indicated in this prospectus, the terms:</w:t>
      </w:r>
    </w:p>
    <w:p>
      <w:pPr>
        <w:spacing w:after="0" w:line="131" w:lineRule="exact"/>
        <w:rPr>
          <w:sz w:val="20"/>
          <w:szCs w:val="20"/>
          <w:color w:val="auto"/>
        </w:rPr>
      </w:pPr>
    </w:p>
    <w:p>
      <w:pPr>
        <w:ind w:left="1160" w:right="520" w:hanging="426"/>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 “our,” “Company” and “Portman Ridge” refer to Portman Ridge Finance Corporation, a Delaware corporation, and its wholly owned subsidiaries;</w:t>
      </w:r>
    </w:p>
    <w:p>
      <w:pPr>
        <w:spacing w:after="0" w:line="75" w:lineRule="exact"/>
        <w:rPr>
          <w:rFonts w:ascii="Arial" w:cs="Arial" w:eastAsia="Arial" w:hAnsi="Arial"/>
          <w:sz w:val="18"/>
          <w:szCs w:val="18"/>
          <w:color w:val="auto"/>
        </w:rPr>
      </w:pPr>
    </w:p>
    <w:p>
      <w:pPr>
        <w:ind w:left="1160" w:right="200" w:hanging="426"/>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“Adviser” or “Sierra Crest” refers to Sierra Crest Investment Management LLC , a Delaware limited liability company, our investment adviser and an affiliate of BC Partners LLP, or BC Partners;</w:t>
      </w:r>
    </w:p>
    <w:p>
      <w:pPr>
        <w:spacing w:after="0" w:line="75" w:lineRule="exact"/>
        <w:rPr>
          <w:rFonts w:ascii="Arial" w:cs="Arial" w:eastAsia="Arial" w:hAnsi="Arial"/>
          <w:sz w:val="18"/>
          <w:szCs w:val="18"/>
          <w:color w:val="auto"/>
        </w:rPr>
      </w:pPr>
    </w:p>
    <w:p>
      <w:pPr>
        <w:ind w:left="1160" w:right="100" w:hanging="426"/>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“Administrator” refers to BC Partners Management LLC, a Delaware limited liability company, our administrator and an affiliate of BC Partners and BC Partners Advisors L.P.; and</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Portman Ridge Finance Corporation</w:t>
      </w:r>
    </w:p>
    <w:p>
      <w:pPr>
        <w:spacing w:after="0" w:line="121" w:lineRule="exact"/>
        <w:rPr>
          <w:sz w:val="20"/>
          <w:szCs w:val="20"/>
          <w:color w:val="auto"/>
        </w:rPr>
      </w:pPr>
    </w:p>
    <w:p>
      <w:pPr>
        <w:ind w:left="200" w:right="60" w:firstLine="434"/>
        <w:spacing w:after="0" w:line="279" w:lineRule="auto"/>
        <w:rPr>
          <w:sz w:val="20"/>
          <w:szCs w:val="20"/>
          <w:color w:val="auto"/>
        </w:rPr>
      </w:pPr>
      <w:r>
        <w:rPr>
          <w:rFonts w:ascii="Arial" w:cs="Arial" w:eastAsia="Arial" w:hAnsi="Arial"/>
          <w:sz w:val="17"/>
          <w:szCs w:val="17"/>
          <w:color w:val="auto"/>
        </w:rPr>
        <w:t>Formerly known as KCAP Financial, Inc., we are an externally managed, non-diversified closed-end investment company that has elected to be regulated as a business development company, or BDC, under the Investment Company Act of 1940, as amended, or the 1940 Act. The Company was formed as a Delaware limited liability company on August 8, 2006 and, prior to the issuance of shares of the Company’s common stock in its initial public offering, or IPO, converted to a corporation incorporated in Delaware on December 11, 2006.</w:t>
      </w:r>
    </w:p>
    <w:p>
      <w:pPr>
        <w:spacing w:after="0" w:line="171"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which we refer to as the Debt Securities Portfolio. The Company also invests in joint ventures and debt and subordinated securities issued by collateralized loan obligation funds, or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192" w:lineRule="exact"/>
        <w:rPr>
          <w:sz w:val="20"/>
          <w:szCs w:val="20"/>
          <w:color w:val="auto"/>
        </w:rPr>
      </w:pPr>
    </w:p>
    <w:p>
      <w:pPr>
        <w:ind w:left="200" w:right="20" w:firstLine="43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or RIC, under Subchapter M of the Internal Revenue Code of 1986, as amended, or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Adviser</w:t>
      </w:r>
    </w:p>
    <w:p>
      <w:pPr>
        <w:spacing w:after="0" w:line="121" w:lineRule="exact"/>
        <w:rPr>
          <w:sz w:val="20"/>
          <w:szCs w:val="20"/>
          <w:color w:val="auto"/>
        </w:rPr>
      </w:pPr>
    </w:p>
    <w:p>
      <w:pPr>
        <w:ind w:left="200" w:right="100" w:firstLine="434"/>
        <w:spacing w:after="0" w:line="277" w:lineRule="auto"/>
        <w:rPr>
          <w:sz w:val="20"/>
          <w:szCs w:val="20"/>
          <w:color w:val="auto"/>
        </w:rPr>
      </w:pPr>
      <w:r>
        <w:rPr>
          <w:rFonts w:ascii="Arial" w:cs="Arial" w:eastAsia="Arial" w:hAnsi="Arial"/>
          <w:sz w:val="18"/>
          <w:szCs w:val="18"/>
          <w:color w:val="auto"/>
        </w:rPr>
        <w:t>Our investment activities are managed by our Adviser, which is registered as an investment adviser under the Investment Advisers Act of 1940, as amended, or the Advisers Act, and is an affiliate of BC Partners. Our</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755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755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Adviser is responsible for managing the Company’s assets in accordance with our investment objective, policies and restrictions, determining the composition of the Company’s portfolio, the nature and timing of the changes to the portfolio and the manner of implementing such changes, identifying, evaluating and negotiating the structure of the Company’s investments, monitoring the Company’s investments, determining the securities and other assets that the Company will purchase, retain or sell, assisting the Board with its valuation of the Company’s assets, directing investment professionals of the Adviser to provide managerial assistance to the Company’s portfolio companies and performing due diligence on prospective portfolio companies. Under the investment advisory agreement we have entered into with our Adviser on April 1, 2019, or the Investment Advisory Agreement, we pay our Adviser a base management fee and an incentive fee for its services.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Administrator</w:t>
      </w:r>
    </w:p>
    <w:p>
      <w:pPr>
        <w:spacing w:after="0" w:line="121" w:lineRule="exact"/>
        <w:rPr>
          <w:sz w:val="20"/>
          <w:szCs w:val="20"/>
          <w:color w:val="auto"/>
        </w:rPr>
      </w:pPr>
    </w:p>
    <w:p>
      <w:pPr>
        <w:ind w:left="200" w:right="100" w:firstLine="434"/>
        <w:spacing w:after="0" w:line="271" w:lineRule="auto"/>
        <w:rPr>
          <w:sz w:val="20"/>
          <w:szCs w:val="20"/>
          <w:color w:val="auto"/>
        </w:rPr>
      </w:pPr>
      <w:r>
        <w:rPr>
          <w:rFonts w:ascii="Arial" w:cs="Arial" w:eastAsia="Arial" w:hAnsi="Arial"/>
          <w:sz w:val="17"/>
          <w:szCs w:val="17"/>
          <w:color w:val="auto"/>
        </w:rPr>
        <w:t>Our administrative functions are provided by our Administrator. Our Administrator oversees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On April 1, 2019, our board of directors, or the Board, approved the Administration Agreement with the Administrator, or the Administration Agreement, and the Board most recently determined to re-approve the Administration Agreement at a meeting held on March 11, 2021. Under the Administration Agreement, we pay our Administrator an amount equal to our allocable portion (subject to the review of ) of our Administrator’s overhead resulting from its obligations under the Administration Agreement, including rent and the allocable portion of the cost of our Chief Compliance Officer and Chief Financial Officer and their respective staffs.</w:t>
      </w: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39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20" w:firstLine="434"/>
        <w:spacing w:after="0" w:line="279" w:lineRule="auto"/>
        <w:rPr>
          <w:sz w:val="20"/>
          <w:szCs w:val="20"/>
          <w:color w:val="auto"/>
        </w:rPr>
      </w:pPr>
      <w:r>
        <w:rPr>
          <w:rFonts w:ascii="Arial" w:cs="Arial" w:eastAsia="Arial" w:hAnsi="Arial"/>
          <w:sz w:val="17"/>
          <w:szCs w:val="17"/>
          <w:color w:val="auto"/>
        </w:rPr>
        <w:t>The information in the following table is being provided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prospectus contains a reference to fees or expenses paid by “you,” “us” or “the Company,” or that “we” will pay fees or expenses, stockholders will indirectly bear such fees or expenses as investors in 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Sales load payable by us (as a percentage of offering price)</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Dividend reinvestment plan expenses</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 Transaction Expenses (as a percentage of offering price)</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0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Annual Expenses (as percentage of net assets attributable to common stock):</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0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 payable under the Investment Advisory Agreement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Incentive fee payable under the Investment Advisory Agreement (20% of net investment income and realized capital gains)</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160" w:hanging="426"/>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set forth in this table do not reflect the impact of any sales load, sales commission or other offering expenses borne by us and our stockholders. In the event that securities to which this prospectus relates are sold to or through underwriters or agents, a corresponding prospectus or prospectus supplement will disclose the applicable sales load.</w:t>
      </w:r>
    </w:p>
    <w:p>
      <w:pPr>
        <w:spacing w:after="0" w:line="2" w:lineRule="exact"/>
        <w:rPr>
          <w:rFonts w:ascii="Arial" w:cs="Arial" w:eastAsia="Arial" w:hAnsi="Arial"/>
          <w:sz w:val="18"/>
          <w:szCs w:val="18"/>
          <w:color w:val="auto"/>
        </w:rPr>
      </w:pPr>
    </w:p>
    <w:p>
      <w:pPr>
        <w:ind w:left="620" w:right="40" w:hanging="426"/>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prospectus supplement corresponding to each offering will disclose the applicable estimated amount of offering expenses, the offering price and the offering expenses borne by us as a percentage of the offering price.</w:t>
      </w:r>
    </w:p>
    <w:p>
      <w:pPr>
        <w:jc w:val="both"/>
        <w:ind w:left="620" w:right="220" w:hanging="426"/>
        <w:spacing w:after="0" w:line="265"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expenses associated with the administration of the dividend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ind w:left="620" w:right="160" w:hanging="426"/>
        <w:spacing w:after="0" w:line="265"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base management fee, payable quarterly in arrears, is calculated at an annual rate of 1.50% of our average adjusted gross assets, excluding cash and cash equivalents but including assets purchase with borrowed amounts. See “Business—Management Agreements—Investment Advisory Agreement” in our most recent Annual Report on Form 10-K for more information.</w:t>
      </w:r>
    </w:p>
    <w:p>
      <w:pPr>
        <w:ind w:left="620" w:right="40" w:hanging="426"/>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PTMN’s incentive fee consists of two parts: (1) a portion based on PTMN’s pre-incentive fee net investment income, or the Income-Based Fee, and (2) a portion based on the net capital gains received on PTMN’s portfolio of securities on a cumulative basis for each calendar year, net of all realized capital losses and all unrealized capital depreciation on a cumulative basis, less the aggregate amount of any previously paid capital gains Incentive Fee, or the Capital Gains Fee. The Income-Based Fee is 17.50% of pre-incentive fee net investment income with a 7.00% hurdle rate. The Capital Gains Fee is 17.50%.</w:t>
      </w:r>
    </w:p>
    <w:p>
      <w:pPr>
        <w:spacing w:after="0" w:line="1" w:lineRule="exact"/>
        <w:rPr>
          <w:rFonts w:ascii="Arial" w:cs="Arial" w:eastAsia="Arial" w:hAnsi="Arial"/>
          <w:sz w:val="18"/>
          <w:szCs w:val="18"/>
          <w:color w:val="auto"/>
        </w:rPr>
      </w:pPr>
    </w:p>
    <w:p>
      <w:pPr>
        <w:ind w:left="620" w:right="20" w:hanging="426"/>
        <w:spacing w:after="0" w:line="273"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payments on borrowed funds” represent our annual interest payment, fees and credit facility expenses based on annualized results of operations for the quarter ended June 30, 2021, including with respect to our revolving credit facility and outstanding unsecured notes. The costs associated with any outstanding indebtedness are indirectly borne by our common stockholders. The amount of leverage we employ at any particular time will depend on, among other things, the Board’s and our Adviser’s assessment</w:t>
      </w: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16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49161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right="580"/>
        <w:spacing w:after="0" w:line="258" w:lineRule="auto"/>
        <w:rPr>
          <w:sz w:val="20"/>
          <w:szCs w:val="20"/>
          <w:color w:val="auto"/>
        </w:rPr>
      </w:pPr>
      <w:r>
        <w:rPr>
          <w:rFonts w:ascii="Arial" w:cs="Arial" w:eastAsia="Arial" w:hAnsi="Arial"/>
          <w:sz w:val="18"/>
          <w:szCs w:val="18"/>
          <w:color w:val="auto"/>
        </w:rPr>
        <w:t>of the market and other factors at the time at any proposed borrowing. We may also issue preferred stock, subject to our compliance with applicable requirements under the 1940 Act.</w:t>
      </w:r>
    </w:p>
    <w:p>
      <w:pPr>
        <w:spacing w:after="0" w:line="1" w:lineRule="exact"/>
        <w:rPr>
          <w:sz w:val="20"/>
          <w:szCs w:val="20"/>
          <w:color w:val="auto"/>
        </w:rPr>
      </w:pPr>
    </w:p>
    <w:p>
      <w:pPr>
        <w:ind w:left="620" w:right="120" w:hanging="426"/>
        <w:spacing w:after="0" w:line="255"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expenses” (approximately $9.8 million) represent amounts which are based upon the annualized results of our operations for the quarter ended June 30, 2021, including payments under the Administration Agreement based on our allocable portion of overhead and other expenses incurred by our Administrator.</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80" w:firstLine="434"/>
        <w:spacing w:after="0" w:line="263"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8"/>
              </w:rPr>
              <w:t>3 Years</w:t>
            </w:r>
          </w:p>
        </w:tc>
        <w:tc>
          <w:tcPr>
            <w:tcW w:w="4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10 Years</w:t>
            </w: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You would pay the following expenses on a $1,000 investment, assuming a 5% annual return</w:t>
            </w:r>
            <w:r>
              <w:rPr>
                <w:rFonts w:ascii="Arial" w:cs="Arial" w:eastAsia="Arial" w:hAnsi="Arial"/>
                <w:sz w:val="15"/>
                <w:szCs w:val="15"/>
                <w:color w:val="auto"/>
                <w:w w:val="94"/>
              </w:rPr>
              <w:t>(1)</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$ 116</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325</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507</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7220" w:type="dxa"/>
            <w:vAlign w:val="bottom"/>
          </w:tcPr>
          <w:p>
            <w:pPr>
              <w:spacing w:after="0" w:line="201" w:lineRule="exact"/>
              <w:rPr>
                <w:sz w:val="20"/>
                <w:szCs w:val="20"/>
                <w:color w:val="auto"/>
              </w:rPr>
            </w:pPr>
            <w:r>
              <w:rPr>
                <w:rFonts w:ascii="Arial" w:cs="Arial" w:eastAsia="Arial" w:hAnsi="Arial"/>
                <w:sz w:val="18"/>
                <w:szCs w:val="18"/>
                <w:color w:val="auto"/>
                <w:w w:val="97"/>
              </w:rPr>
              <w:t>You would pay the following expenses on a $1,000 investment, assuming a 5% annual return</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220" w:type="dxa"/>
            <w:vAlign w:val="bottom"/>
          </w:tcPr>
          <w:p>
            <w:pPr>
              <w:ind w:left="180"/>
              <w:spacing w:after="0"/>
              <w:rPr>
                <w:sz w:val="20"/>
                <w:szCs w:val="20"/>
                <w:color w:val="auto"/>
              </w:rPr>
            </w:pPr>
            <w:r>
              <w:rPr>
                <w:rFonts w:ascii="Arial" w:cs="Arial" w:eastAsia="Arial" w:hAnsi="Arial"/>
                <w:sz w:val="18"/>
                <w:szCs w:val="18"/>
                <w:color w:val="auto"/>
              </w:rPr>
              <w:t>entirely from realized gains</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w w:val="84"/>
              </w:rPr>
              <w:t>$ 124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536</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bl>
    <w:p>
      <w:pPr>
        <w:spacing w:after="0" w:line="175"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8"/>
          <w:szCs w:val="18"/>
          <w:color w:val="auto"/>
        </w:rPr>
        <w:t>(1)</w:t>
        <w:tab/>
        <w:t>Assumes no return from net realized capital gains or net unrealized capital appreciation.</w:t>
      </w:r>
    </w:p>
    <w:p>
      <w:pPr>
        <w:spacing w:after="0" w:line="225" w:lineRule="exact"/>
        <w:rPr>
          <w:sz w:val="20"/>
          <w:szCs w:val="20"/>
          <w:color w:val="auto"/>
        </w:rPr>
      </w:pPr>
    </w:p>
    <w:p>
      <w:pPr>
        <w:ind w:left="200" w:right="120" w:firstLine="434"/>
        <w:spacing w:after="0" w:line="257" w:lineRule="auto"/>
        <w:rPr>
          <w:sz w:val="20"/>
          <w:szCs w:val="20"/>
          <w:color w:val="auto"/>
        </w:rPr>
      </w:pPr>
      <w:r>
        <w:rPr>
          <w:rFonts w:ascii="Arial" w:cs="Arial" w:eastAsia="Arial" w:hAnsi="Arial"/>
          <w:sz w:val="18"/>
          <w:szCs w:val="18"/>
          <w:color w:val="auto"/>
        </w:rPr>
        <w:t>While the example assumes, as required by the SEC, a 5% annual return, our performance will vary and may result in a return greater or less than 5%. As noted, the example includes the realized capital gains fee from the Investment Advisory Agreement but does not include the income incentive fee under the Investment Advisory Agreement, which, assuming a 5% annual return, would either not be payable or have an immaterial impact on the expense amounts shown above. If we achieve sufficient returns on our investments to trigger an incentive fee of a material amount, our expenses, and returns to our investors, would be higher.</w:t>
      </w:r>
    </w:p>
    <w:p>
      <w:pPr>
        <w:spacing w:after="0" w:line="188" w:lineRule="exact"/>
        <w:rPr>
          <w:sz w:val="20"/>
          <w:szCs w:val="20"/>
          <w:color w:val="auto"/>
        </w:rPr>
      </w:pPr>
    </w:p>
    <w:p>
      <w:pPr>
        <w:ind w:left="200" w:right="40" w:firstLine="434"/>
        <w:spacing w:after="0" w:line="255" w:lineRule="auto"/>
        <w:rPr>
          <w:sz w:val="20"/>
          <w:szCs w:val="20"/>
          <w:color w:val="auto"/>
        </w:rPr>
      </w:pPr>
      <w:r>
        <w:rPr>
          <w:rFonts w:ascii="Arial" w:cs="Arial" w:eastAsia="Arial" w:hAnsi="Arial"/>
          <w:sz w:val="18"/>
          <w:szCs w:val="18"/>
          <w:color w:val="auto"/>
        </w:rPr>
        <w:t>Further, while the example assumes reinvestment of all distributions at net asset value, participants in our dividend reinvestment plan will receive a number of shares of our common stock determined by dividing the total dollar amount of the distribution payable to a participant by (a) 95% of the market price per share of our common stock at the close of trading on the payment date fixed by the Board in the event that newly issued shares of our common stock are used to implement the dividend reinvestment plan, or (b) the average purchase price of all shares of common stock purchased by the plan administrator in the event that shares are purchased in the open market to implement the requirements of the dividend reinvestment plan, which may be at, above or below net asset value.</w:t>
      </w:r>
    </w:p>
    <w:p>
      <w:pPr>
        <w:spacing w:after="0" w:line="188" w:lineRule="exact"/>
        <w:rPr>
          <w:sz w:val="20"/>
          <w:szCs w:val="20"/>
          <w:color w:val="auto"/>
        </w:rPr>
      </w:pPr>
    </w:p>
    <w:p>
      <w:pPr>
        <w:ind w:left="200" w:right="80" w:firstLine="434"/>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972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9728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auto"/>
        </w:rPr>
        <w:t>The information in the Consolidated Financial Highlights to our audited consolidated financial statements appearing in our most recent Annual Report on Form 10-K and unaudited consolidated financial statements appearing in our most recent Quarterly Report on Form 10-Q is incorporated by reference herein.</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our most recent Annual Report on Form 10-K, our subsequently filed Quarterly Reports on Form 10-Q, and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The risks described in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securities to decline, resulting in a loss of all or part of your investment. Please also read carefully the section titled “Cautionary Statement Regarding Forward-Looking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information in “Item 7. Management’s Discussion and Analysis of Financial Condition and Results of Operations” of our most recent Annual Report on Form 10-K and the information in “Part I, Item 2. Management’s Discussion and Analysis of Financial Condition and Results of Operations” of our most recent Quarterly Report on Form 10-Q is incorporated by reference herein.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We generally identify forward-looking statements by terminology such as “may,” “will,” “should,” “expect,” “plan,” “anticipate,” “could,” “intend,” “target,” “project,” “contemplate,”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prospectus, should not be regarded as a representation by us that our plans or objectives will be achieved.</w:t>
      </w:r>
    </w:p>
    <w:p>
      <w:pPr>
        <w:spacing w:after="0" w:line="18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forward-looking statements contained or incorporated by reference in this prospectus and any applicable prospectus supplement or free writing prospectus may include statements as to:</w:t>
      </w:r>
    </w:p>
    <w:p>
      <w:pPr>
        <w:spacing w:after="0" w:line="76" w:lineRule="exact"/>
        <w:rPr>
          <w:sz w:val="20"/>
          <w:szCs w:val="20"/>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130" w:lineRule="exact"/>
        <w:rPr>
          <w:rFonts w:ascii="Arial" w:cs="Arial" w:eastAsia="Arial" w:hAnsi="Arial"/>
          <w:sz w:val="18"/>
          <w:szCs w:val="18"/>
          <w:color w:val="auto"/>
        </w:rPr>
      </w:pPr>
    </w:p>
    <w:p>
      <w:pPr>
        <w:ind w:left="1000" w:right="26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portfolio companies;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prospectus and will base the forward-looking statements included in any accompanying prospectus supplement on information available to us on the date of this prospectus and any accompanying prospectus supplement, as appropriate, and we assume no obligation to update any such forward-looking statements, except as required by law. These statements are inherently uncertain and investors are cautioned not to unduly rely on these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Unless otherwise specified in a prospectus supplement or in any free writing prospectus we have authorized for use in connection with a specific offering, we intend to use any net proceeds we receive from the sale of securities pursuant to this prospectus for general corporate purposes, which includes making new investments in accordance with our investment objective and strategies, paying operating expenses, including advisory and administrative fees and expenses and reducing the amount of any of our outstanding borrowings, and other expenses such as the due diligence expenses associated with potential new investments.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anticipate that substantially all of the net proceeds of an offering of securities pursuant to this prospectus and a related prospectus supplement will be used for the above purposes within three months of any such offering, depending on the availability of appropriate investment opportunities consistent with our investment objective, but no longer than within six months of any such offerings.</w:t>
      </w:r>
    </w:p>
    <w:p>
      <w:pPr>
        <w:spacing w:after="0" w:line="184"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Pending any new investments we may make or the payment of expenses described above, we intend to invest any net proceeds from an offering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Our common stock is traded on the NASDAQ under the symbol “PTMN.” The following table sets forth, for each fiscal quarter during the last two fiscal years and the current fiscal year to date, the net asset value, or NAV, per share of our common stock, the high and low closing sales prices for our common stock and such sales prices as a percentage of NAV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w w:val="94"/>
              </w:rPr>
              <w:t>Closing Sales Price</w:t>
            </w:r>
            <w:r>
              <w:rPr>
                <w:rFonts w:ascii="Arial" w:cs="Arial" w:eastAsia="Arial" w:hAnsi="Arial"/>
                <w:sz w:val="12"/>
                <w:szCs w:val="12"/>
                <w:b w:val="1"/>
                <w:bCs w:val="1"/>
                <w:color w:val="auto"/>
                <w:w w:val="94"/>
              </w:rPr>
              <w:t>(2)(4)</w:t>
            </w:r>
          </w:p>
        </w:tc>
        <w:tc>
          <w:tcPr>
            <w:tcW w:w="1280" w:type="dxa"/>
            <w:vAlign w:val="bottom"/>
            <w:gridSpan w:val="2"/>
          </w:tcPr>
          <w:p>
            <w:pPr>
              <w:jc w:val="center"/>
              <w:ind w:right="570"/>
              <w:spacing w:after="0"/>
              <w:rPr>
                <w:sz w:val="20"/>
                <w:szCs w:val="20"/>
                <w:color w:val="auto"/>
              </w:rPr>
            </w:pPr>
            <w:r>
              <w:rPr>
                <w:rFonts w:ascii="Arial" w:cs="Arial" w:eastAsia="Arial" w:hAnsi="Arial"/>
                <w:sz w:val="14"/>
                <w:szCs w:val="14"/>
                <w:b w:val="1"/>
                <w:bCs w:val="1"/>
                <w:color w:val="auto"/>
                <w:w w:val="97"/>
              </w:rPr>
              <w:t>Premium/</w:t>
            </w:r>
          </w:p>
        </w:tc>
        <w:tc>
          <w:tcPr>
            <w:tcW w:w="9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7"/>
              </w:rPr>
              <w:t>Premium/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60" w:type="dxa"/>
            <w:vAlign w:val="bottom"/>
            <w:gridSpan w:val="7"/>
            <w:vMerge w:val="continue"/>
          </w:tcPr>
          <w:p>
            <w:pPr>
              <w:spacing w:after="0"/>
              <w:rPr>
                <w:sz w:val="12"/>
                <w:szCs w:val="12"/>
                <w:color w:val="auto"/>
              </w:rPr>
            </w:pPr>
          </w:p>
        </w:tc>
        <w:tc>
          <w:tcPr>
            <w:tcW w:w="1280" w:type="dxa"/>
            <w:vAlign w:val="bottom"/>
            <w:gridSpan w:val="2"/>
          </w:tcPr>
          <w:p>
            <w:pPr>
              <w:jc w:val="center"/>
              <w:ind w:right="550"/>
              <w:spacing w:after="0" w:line="149" w:lineRule="exact"/>
              <w:rPr>
                <w:sz w:val="20"/>
                <w:szCs w:val="20"/>
                <w:color w:val="auto"/>
              </w:rPr>
            </w:pPr>
            <w:r>
              <w:rPr>
                <w:rFonts w:ascii="Arial" w:cs="Arial" w:eastAsia="Arial" w:hAnsi="Arial"/>
                <w:sz w:val="14"/>
                <w:szCs w:val="14"/>
                <w:b w:val="1"/>
                <w:bCs w:val="1"/>
                <w:color w:val="auto"/>
                <w:w w:val="92"/>
              </w:rPr>
              <w:t>(Discount)</w:t>
            </w:r>
          </w:p>
        </w:tc>
        <w:tc>
          <w:tcPr>
            <w:tcW w:w="9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(Discount)</w:t>
            </w: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vMerge w:val="restart"/>
          </w:tcPr>
          <w:p>
            <w:pPr>
              <w:jc w:val="center"/>
              <w:ind w:right="570"/>
              <w:spacing w:after="0" w:line="149" w:lineRule="exact"/>
              <w:rPr>
                <w:sz w:val="20"/>
                <w:szCs w:val="20"/>
                <w:color w:val="auto"/>
              </w:rPr>
            </w:pPr>
            <w:r>
              <w:rPr>
                <w:rFonts w:ascii="Arial" w:cs="Arial" w:eastAsia="Arial" w:hAnsi="Arial"/>
                <w:sz w:val="14"/>
                <w:szCs w:val="14"/>
                <w:b w:val="1"/>
                <w:bCs w:val="1"/>
                <w:color w:val="auto"/>
                <w:w w:val="95"/>
              </w:rPr>
              <w:t>of High</w:t>
            </w:r>
          </w:p>
        </w:tc>
        <w:tc>
          <w:tcPr>
            <w:tcW w:w="980" w:type="dxa"/>
            <w:vAlign w:val="bottom"/>
            <w:gridSpan w:val="2"/>
            <w:vMerge w:val="restart"/>
          </w:tcPr>
          <w:p>
            <w:pPr>
              <w:jc w:val="center"/>
              <w:ind w:right="230"/>
              <w:spacing w:after="0" w:line="149" w:lineRule="exact"/>
              <w:rPr>
                <w:sz w:val="20"/>
                <w:szCs w:val="20"/>
                <w:color w:val="auto"/>
              </w:rPr>
            </w:pPr>
            <w:r>
              <w:rPr>
                <w:rFonts w:ascii="Arial" w:cs="Arial" w:eastAsia="Arial" w:hAnsi="Arial"/>
                <w:sz w:val="14"/>
                <w:szCs w:val="14"/>
                <w:b w:val="1"/>
                <w:bCs w:val="1"/>
                <w:color w:val="auto"/>
                <w:w w:val="93"/>
              </w:rPr>
              <w:t>of Low</w:t>
            </w: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jc w:val="center"/>
              <w:ind w:right="550"/>
              <w:spacing w:after="0" w:line="149" w:lineRule="exact"/>
              <w:rPr>
                <w:sz w:val="20"/>
                <w:szCs w:val="20"/>
                <w:color w:val="auto"/>
              </w:rPr>
            </w:pPr>
            <w:r>
              <w:rPr>
                <w:rFonts w:ascii="Arial" w:cs="Arial" w:eastAsia="Arial" w:hAnsi="Arial"/>
                <w:sz w:val="14"/>
                <w:szCs w:val="14"/>
                <w:b w:val="1"/>
                <w:bCs w:val="1"/>
                <w:color w:val="auto"/>
                <w:w w:val="87"/>
              </w:rPr>
              <w:t>Sales</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5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5480" w:type="dxa"/>
            <w:vAlign w:val="bottom"/>
            <w:vMerge w:val="restart"/>
          </w:tcPr>
          <w:p>
            <w:pPr>
              <w:spacing w:after="0"/>
              <w:rPr>
                <w:sz w:val="13"/>
                <w:szCs w:val="13"/>
                <w:color w:val="auto"/>
              </w:rPr>
            </w:pPr>
          </w:p>
        </w:tc>
        <w:tc>
          <w:tcPr>
            <w:tcW w:w="1020" w:type="dxa"/>
            <w:vAlign w:val="bottom"/>
            <w:gridSpan w:val="3"/>
          </w:tcPr>
          <w:p>
            <w:pPr>
              <w:jc w:val="right"/>
              <w:ind w:right="470"/>
              <w:spacing w:after="0" w:line="151" w:lineRule="exact"/>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120" w:type="dxa"/>
            <w:vAlign w:val="bottom"/>
          </w:tcPr>
          <w:p>
            <w:pPr>
              <w:spacing w:after="0"/>
              <w:rPr>
                <w:sz w:val="13"/>
                <w:szCs w:val="13"/>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9"/>
              </w:rPr>
              <w:t>Low</w:t>
            </w:r>
          </w:p>
        </w:tc>
        <w:tc>
          <w:tcPr>
            <w:tcW w:w="1280" w:type="dxa"/>
            <w:vAlign w:val="bottom"/>
            <w:gridSpan w:val="2"/>
          </w:tcPr>
          <w:p>
            <w:pPr>
              <w:jc w:val="center"/>
              <w:ind w:right="550"/>
              <w:spacing w:after="0" w:line="151" w:lineRule="exact"/>
              <w:rPr>
                <w:sz w:val="20"/>
                <w:szCs w:val="20"/>
                <w:color w:val="auto"/>
              </w:rPr>
            </w:pPr>
            <w:r>
              <w:rPr>
                <w:rFonts w:ascii="Arial" w:cs="Arial" w:eastAsia="Arial" w:hAnsi="Arial"/>
                <w:sz w:val="14"/>
                <w:szCs w:val="14"/>
                <w:b w:val="1"/>
                <w:bCs w:val="1"/>
                <w:color w:val="auto"/>
                <w:w w:val="93"/>
              </w:rPr>
              <w:t>Price to</w:t>
            </w:r>
          </w:p>
        </w:tc>
        <w:tc>
          <w:tcPr>
            <w:tcW w:w="980" w:type="dxa"/>
            <w:vAlign w:val="bottom"/>
            <w:gridSpan w:val="2"/>
          </w:tcPr>
          <w:p>
            <w:pPr>
              <w:jc w:val="center"/>
              <w:ind w:right="230"/>
              <w:spacing w:after="0" w:line="151" w:lineRule="exact"/>
              <w:rPr>
                <w:sz w:val="20"/>
                <w:szCs w:val="20"/>
                <w:color w:val="auto"/>
              </w:rPr>
            </w:pPr>
            <w:r>
              <w:rPr>
                <w:rFonts w:ascii="Arial" w:cs="Arial" w:eastAsia="Arial" w:hAnsi="Arial"/>
                <w:sz w:val="14"/>
                <w:szCs w:val="14"/>
                <w:b w:val="1"/>
                <w:bCs w:val="1"/>
                <w:color w:val="auto"/>
                <w:w w:val="89"/>
              </w:rPr>
              <w:t>Price to</w:t>
            </w:r>
          </w:p>
        </w:tc>
        <w:tc>
          <w:tcPr>
            <w:tcW w:w="0" w:type="dxa"/>
            <w:vAlign w:val="bottom"/>
          </w:tcPr>
          <w:p>
            <w:pPr>
              <w:spacing w:after="0"/>
              <w:rPr>
                <w:sz w:val="1"/>
                <w:szCs w:val="1"/>
                <w:color w:val="auto"/>
              </w:rPr>
            </w:pPr>
          </w:p>
        </w:tc>
      </w:tr>
      <w:tr>
        <w:trPr>
          <w:trHeight w:val="175"/>
        </w:trPr>
        <w:tc>
          <w:tcPr>
            <w:tcW w:w="42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93"/>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80" w:type="dxa"/>
            <w:vAlign w:val="bottom"/>
            <w:gridSpan w:val="2"/>
          </w:tcPr>
          <w:p>
            <w:pPr>
              <w:jc w:val="center"/>
              <w:ind w:right="570"/>
              <w:spacing w:after="0" w:line="155" w:lineRule="exact"/>
              <w:rPr>
                <w:sz w:val="20"/>
                <w:szCs w:val="20"/>
                <w:color w:val="auto"/>
              </w:rPr>
            </w:pPr>
            <w:r>
              <w:rPr>
                <w:rFonts w:ascii="Arial" w:cs="Arial" w:eastAsia="Arial" w:hAnsi="Arial"/>
                <w:sz w:val="14"/>
                <w:szCs w:val="14"/>
                <w:b w:val="1"/>
                <w:bCs w:val="1"/>
                <w:color w:val="auto"/>
                <w:w w:val="98"/>
              </w:rPr>
              <w:t>NAV</w:t>
            </w:r>
            <w:r>
              <w:rPr>
                <w:rFonts w:ascii="Arial" w:cs="Arial" w:eastAsia="Arial" w:hAnsi="Arial"/>
                <w:sz w:val="12"/>
                <w:szCs w:val="12"/>
                <w:b w:val="1"/>
                <w:bCs w:val="1"/>
                <w:color w:val="auto"/>
                <w:w w:val="98"/>
              </w:rPr>
              <w:t>(3)(4)</w:t>
            </w:r>
          </w:p>
        </w:tc>
        <w:tc>
          <w:tcPr>
            <w:tcW w:w="980" w:type="dxa"/>
            <w:vAlign w:val="bottom"/>
            <w:gridSpan w:val="2"/>
          </w:tcPr>
          <w:p>
            <w:pPr>
              <w:jc w:val="center"/>
              <w:ind w:right="230"/>
              <w:spacing w:after="0" w:line="155" w:lineRule="exact"/>
              <w:rPr>
                <w:sz w:val="20"/>
                <w:szCs w:val="20"/>
                <w:color w:val="auto"/>
              </w:rPr>
            </w:pPr>
            <w:r>
              <w:rPr>
                <w:rFonts w:ascii="Arial" w:cs="Arial" w:eastAsia="Arial" w:hAnsi="Arial"/>
                <w:sz w:val="14"/>
                <w:szCs w:val="14"/>
                <w:b w:val="1"/>
                <w:bCs w:val="1"/>
                <w:color w:val="auto"/>
                <w:w w:val="98"/>
              </w:rPr>
              <w:t>NAV</w:t>
            </w:r>
            <w:r>
              <w:rPr>
                <w:rFonts w:ascii="Arial" w:cs="Arial" w:eastAsia="Arial" w:hAnsi="Arial"/>
                <w:sz w:val="12"/>
                <w:szCs w:val="12"/>
                <w:b w:val="1"/>
                <w:bCs w:val="1"/>
                <w:color w:val="auto"/>
                <w:w w:val="98"/>
              </w:rPr>
              <w:t>(3)(4)</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Third Quarter of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jc w:val="right"/>
              <w:ind w:right="350"/>
              <w:spacing w:after="0" w:line="203" w:lineRule="exact"/>
              <w:rPr>
                <w:sz w:val="20"/>
                <w:szCs w:val="20"/>
                <w:color w:val="auto"/>
              </w:rPr>
            </w:pPr>
            <w:r>
              <w:rPr>
                <w:rFonts w:ascii="Arial" w:cs="Arial" w:eastAsia="Arial" w:hAnsi="Arial"/>
                <w:sz w:val="18"/>
                <w:szCs w:val="18"/>
                <w:color w:val="auto"/>
                <w:w w:val="84"/>
              </w:rPr>
              <w:t>*</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22.80</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right"/>
              <w:ind w:right="45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Second Quarter of 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30"/>
              <w:spacing w:after="0"/>
              <w:rPr>
                <w:sz w:val="20"/>
                <w:szCs w:val="20"/>
                <w:color w:val="auto"/>
              </w:rPr>
            </w:pPr>
            <w:r>
              <w:rPr>
                <w:rFonts w:ascii="Arial" w:cs="Arial" w:eastAsia="Arial" w:hAnsi="Arial"/>
                <w:sz w:val="18"/>
                <w:szCs w:val="18"/>
                <w:color w:val="auto"/>
                <w:w w:val="88"/>
              </w:rPr>
              <w:t>29.28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24.60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21.70</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(15.98)%</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of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88"/>
              </w:rPr>
              <w:t>29.24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18.20</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(25.79)%</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Fourth Quarter of 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30"/>
              <w:spacing w:after="0"/>
              <w:rPr>
                <w:sz w:val="20"/>
                <w:szCs w:val="20"/>
                <w:color w:val="auto"/>
              </w:rPr>
            </w:pPr>
            <w:r>
              <w:rPr>
                <w:rFonts w:ascii="Arial" w:cs="Arial" w:eastAsia="Arial" w:hAnsi="Arial"/>
                <w:sz w:val="18"/>
                <w:szCs w:val="18"/>
                <w:color w:val="auto"/>
                <w:w w:val="88"/>
              </w:rPr>
              <w:t>28.77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19.10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12.60</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(33.61)%</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of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88"/>
              </w:rPr>
              <w:t>28.51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10.50</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(52.65)%</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Second Quarter of 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30"/>
              <w:spacing w:after="0"/>
              <w:rPr>
                <w:sz w:val="20"/>
                <w:szCs w:val="20"/>
                <w:color w:val="auto"/>
              </w:rPr>
            </w:pPr>
            <w:r>
              <w:rPr>
                <w:rFonts w:ascii="Arial" w:cs="Arial" w:eastAsia="Arial" w:hAnsi="Arial"/>
                <w:sz w:val="18"/>
                <w:szCs w:val="18"/>
                <w:color w:val="auto"/>
                <w:w w:val="88"/>
              </w:rPr>
              <w:t>27.13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8.40</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(46.92)%</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of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88"/>
              </w:rPr>
              <w:t>26.91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(12.30)%</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Fourth Quarter of 2019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30"/>
              <w:spacing w:after="0"/>
              <w:rPr>
                <w:sz w:val="20"/>
                <w:szCs w:val="20"/>
                <w:color w:val="auto"/>
              </w:rPr>
            </w:pPr>
            <w:r>
              <w:rPr>
                <w:rFonts w:ascii="Arial" w:cs="Arial" w:eastAsia="Arial" w:hAnsi="Arial"/>
                <w:sz w:val="18"/>
                <w:szCs w:val="18"/>
                <w:color w:val="auto"/>
                <w:w w:val="88"/>
              </w:rPr>
              <w:t>33.95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22.60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20.30</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(33.43)%</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of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88"/>
              </w:rPr>
              <w:t>35.51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21.50</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(30.44)%</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Second Quarter of 2019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30"/>
              <w:spacing w:after="0"/>
              <w:rPr>
                <w:sz w:val="20"/>
                <w:szCs w:val="20"/>
                <w:color w:val="auto"/>
              </w:rPr>
            </w:pPr>
            <w:r>
              <w:rPr>
                <w:rFonts w:ascii="Arial" w:cs="Arial" w:eastAsia="Arial" w:hAnsi="Arial"/>
                <w:sz w:val="18"/>
                <w:szCs w:val="18"/>
                <w:color w:val="auto"/>
                <w:w w:val="88"/>
              </w:rPr>
              <w:t>37.26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22.50</w:t>
            </w:r>
          </w:p>
        </w:tc>
        <w:tc>
          <w:tcPr>
            <w:tcW w:w="1280" w:type="dxa"/>
            <w:vAlign w:val="bottom"/>
            <w:gridSpan w:val="2"/>
          </w:tcPr>
          <w:p>
            <w:pPr>
              <w:jc w:val="right"/>
              <w:ind w:right="390"/>
              <w:spacing w:after="0"/>
              <w:rPr>
                <w:sz w:val="20"/>
                <w:szCs w:val="20"/>
                <w:color w:val="auto"/>
              </w:rPr>
            </w:pPr>
            <w:r>
              <w:rPr>
                <w:rFonts w:ascii="Arial" w:cs="Arial" w:eastAsia="Arial" w:hAnsi="Arial"/>
                <w:sz w:val="18"/>
                <w:szCs w:val="18"/>
                <w:color w:val="auto"/>
              </w:rPr>
              <w:t>0.64%</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of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88"/>
              </w:rPr>
              <w:t>38.49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33.20</w:t>
            </w:r>
          </w:p>
        </w:tc>
        <w:tc>
          <w:tcPr>
            <w:tcW w:w="12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(4.39)%</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Closing sales price as provided by the NASDAQ.</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August 23, 2021, we filed a Certificate of Amendment to our Certificate of Incorporation with the Secretary of State of Delaware to effect a</w:t>
      </w:r>
    </w:p>
    <w:p>
      <w:pPr>
        <w:spacing w:after="0" w:line="21" w:lineRule="exact"/>
        <w:rPr>
          <w:sz w:val="20"/>
          <w:szCs w:val="20"/>
          <w:color w:val="auto"/>
        </w:rPr>
      </w:pPr>
    </w:p>
    <w:p>
      <w:pPr>
        <w:ind w:left="460" w:right="240"/>
        <w:spacing w:after="0" w:line="250" w:lineRule="auto"/>
        <w:rPr>
          <w:sz w:val="20"/>
          <w:szCs w:val="20"/>
          <w:color w:val="auto"/>
        </w:rPr>
      </w:pPr>
      <w:r>
        <w:rPr>
          <w:rFonts w:ascii="Arial" w:cs="Arial" w:eastAsia="Arial" w:hAnsi="Arial"/>
          <w:sz w:val="18"/>
          <w:szCs w:val="18"/>
          <w:color w:val="auto"/>
        </w:rPr>
        <w:t>1-for-10 reverse stock split of the issued and outstanding (or held in treasury) of our common stock. The reverse split became effective as of 12:01 a.m. on August 26, 2021.</w:t>
      </w:r>
    </w:p>
    <w:p>
      <w:pPr>
        <w:spacing w:after="0" w:line="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determinable at the time of filing.</w:t>
      </w:r>
    </w:p>
    <w:p>
      <w:pPr>
        <w:spacing w:after="0" w:line="21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On October 4, 2021, the reported closing sales price of our common stock was $24.11 per share. As of September 24, 2021, we had 94 stockholders of record, which did not include stockholders for whom shares are held in “nominee” or “street name”.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Information about our senior securities as of each of the years ended December 31, 2020, 2019, 2018, 2017, 2016, 2015, 2014, 2013, 2012 and 2011 can be found under “Note 7. Borrowings—Senior Securities” in the independent auditors report in our Annual Report on Form 10-K for the fiscal year ended December 31, 2020, which is incorporated by reference into this prospectus. [The report of KPMG LLP on the Senior Securities table as of December 31, 2020 and 2019, is included in their audit report on the Company’s consolidated financial statements, which is incorporated by reference herein. Ernst &amp; Young LLP’s report on the senior securities table as of December 31, 2018, 2017 and 2016 is attached as an exhibit to the registration statement of which this prospectus is a part.]</w:t>
      </w:r>
    </w:p>
    <w:p>
      <w:pPr>
        <w:spacing w:after="0" w:line="192"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Information about our senior securities as of June 30, 2021 can be found under “Item 1.—Note 6. Borrowings—Senior Securities” in our Quarterly Report on Form 10-Q, which is incorporated by reference into this 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in “Item 1. Business” of our most recent Annual Report on Form 10-K is incorporated by reference herein.</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39"/>
          </w:cols>
          <w:pgMar w:left="32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following table sets forth certain information as of June 30, 2021 for each portfolio company in which the Company had an investment. Percentages shown for class of securities held by the Company represent percentage of the class owned and do not necessarily represent voting ownership or economic ownership.</w:t>
      </w:r>
    </w:p>
    <w:p>
      <w:pPr>
        <w:spacing w:after="0" w:line="184"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The Board of Directors of the Company (the “Board”) approved the valuation of the Company’s investment portfolio, as of June 30, 2021 at fair value as determined in good faith using a consistently applied valuation process in accordance with the Company’s documented valuation policy that has been reviewed and approved by the Board, who also approve in good faith the valuation of such securities as of the end of each quarter. For more information relating to the Company’s investments, see the Company’s financial statements incorporated by reference in this prospectus.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240"/>
          </w:cols>
          <w:pgMar w:left="320" w:top="459" w:right="3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236" w:lineRule="auto"/>
        <w:rPr>
          <w:sz w:val="20"/>
          <w:szCs w:val="20"/>
          <w:color w:val="auto"/>
        </w:rPr>
      </w:pPr>
      <w:r>
        <w:rPr>
          <w:rFonts w:ascii="Arial" w:cs="Arial" w:eastAsia="Arial" w:hAnsi="Arial"/>
          <w:sz w:val="14"/>
          <w:szCs w:val="14"/>
          <w:b w:val="1"/>
          <w:bCs w:val="1"/>
          <w:color w:val="auto"/>
        </w:rPr>
        <w:t>Principal Business</w:t>
      </w:r>
    </w:p>
    <w:tbl>
      <w:tblPr>
        <w:tblLayout w:type="fixed"/>
        <w:tblInd w:w="0" w:type="dxa"/>
        <w:tblCellMar>
          <w:top w:w="0" w:type="dxa"/>
          <w:left w:w="0" w:type="dxa"/>
          <w:bottom w:w="0" w:type="dxa"/>
          <w:right w:w="0" w:type="dxa"/>
        </w:tblCellMar>
      </w:tblPr>
      <w:tr>
        <w:trPr>
          <w:trHeight w:val="123"/>
        </w:trPr>
        <w:tc>
          <w:tcPr>
            <w:tcW w:w="11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2"/>
              </w:rPr>
              <w:t>1A Smart Start LLC</w:t>
            </w:r>
          </w:p>
        </w:tc>
        <w:tc>
          <w:tcPr>
            <w:tcW w:w="2120" w:type="dxa"/>
            <w:vAlign w:val="bottom"/>
          </w:tcPr>
          <w:p>
            <w:pPr>
              <w:spacing w:after="0"/>
              <w:rPr>
                <w:sz w:val="10"/>
                <w:szCs w:val="10"/>
                <w:color w:val="auto"/>
              </w:rPr>
            </w:pPr>
          </w:p>
        </w:tc>
        <w:tc>
          <w:tcPr>
            <w:tcW w:w="900" w:type="dxa"/>
            <w:vAlign w:val="bottom"/>
          </w:tcPr>
          <w:p>
            <w:pPr>
              <w:ind w:left="160"/>
              <w:spacing w:after="0" w:line="124" w:lineRule="exact"/>
              <w:rPr>
                <w:sz w:val="20"/>
                <w:szCs w:val="20"/>
                <w:color w:val="auto"/>
              </w:rPr>
            </w:pPr>
            <w:r>
              <w:rPr>
                <w:rFonts w:ascii="Arial" w:cs="Arial" w:eastAsia="Arial" w:hAnsi="Arial"/>
                <w:sz w:val="12"/>
                <w:szCs w:val="12"/>
                <w:color w:val="auto"/>
              </w:rPr>
              <w:t>(8)(14)</w:t>
            </w: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500 E Dallas Rd #100, Grapevine,</w:t>
            </w:r>
          </w:p>
        </w:tc>
        <w:tc>
          <w:tcPr>
            <w:tcW w:w="900" w:type="dxa"/>
            <w:vAlign w:val="bottom"/>
          </w:tcPr>
          <w:p>
            <w:pPr>
              <w:spacing w:after="0"/>
              <w:rPr>
                <w:sz w:val="12"/>
                <w:szCs w:val="12"/>
                <w:color w:val="auto"/>
              </w:rPr>
            </w:pPr>
          </w:p>
        </w:tc>
      </w:tr>
      <w:tr>
        <w:trPr>
          <w:trHeight w:val="149"/>
        </w:trPr>
        <w:tc>
          <w:tcPr>
            <w:tcW w:w="3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TX 76051</w:t>
            </w:r>
          </w:p>
        </w:tc>
        <w:tc>
          <w:tcPr>
            <w:tcW w:w="900" w:type="dxa"/>
            <w:vAlign w:val="bottom"/>
          </w:tcPr>
          <w:p>
            <w:pPr>
              <w:spacing w:after="0"/>
              <w:rPr>
                <w:sz w:val="12"/>
                <w:szCs w:val="12"/>
                <w:color w:val="auto"/>
              </w:rPr>
            </w:pPr>
          </w:p>
        </w:tc>
      </w:tr>
      <w:tr>
        <w:trPr>
          <w:trHeight w:val="182"/>
        </w:trPr>
        <w:tc>
          <w:tcPr>
            <w:tcW w:w="3260" w:type="dxa"/>
            <w:vAlign w:val="bottom"/>
            <w:gridSpan w:val="2"/>
          </w:tcPr>
          <w:p>
            <w:pPr>
              <w:ind w:left="300"/>
              <w:spacing w:after="0"/>
              <w:rPr>
                <w:sz w:val="20"/>
                <w:szCs w:val="20"/>
                <w:color w:val="auto"/>
              </w:rPr>
            </w:pPr>
            <w:r>
              <w:rPr>
                <w:rFonts w:ascii="Arial" w:cs="Arial" w:eastAsia="Arial" w:hAnsi="Arial"/>
                <w:sz w:val="14"/>
                <w:szCs w:val="14"/>
                <w:color w:val="auto"/>
              </w:rPr>
              <w:t>Consumer goods: Non-durable</w:t>
            </w:r>
          </w:p>
        </w:tc>
        <w:tc>
          <w:tcPr>
            <w:tcW w:w="900" w:type="dxa"/>
            <w:vAlign w:val="bottom"/>
          </w:tcPr>
          <w:p>
            <w:pPr>
              <w:spacing w:after="0"/>
              <w:rPr>
                <w:sz w:val="15"/>
                <w:szCs w:val="15"/>
                <w:color w:val="auto"/>
              </w:rPr>
            </w:pPr>
          </w:p>
        </w:tc>
      </w:tr>
      <w:tr>
        <w:trPr>
          <w:trHeight w:val="236"/>
        </w:trPr>
        <w:tc>
          <w:tcPr>
            <w:tcW w:w="3260" w:type="dxa"/>
            <w:vAlign w:val="bottom"/>
            <w:gridSpan w:val="2"/>
          </w:tcPr>
          <w:p>
            <w:pPr>
              <w:spacing w:after="0"/>
              <w:rPr>
                <w:sz w:val="20"/>
                <w:szCs w:val="20"/>
                <w:color w:val="auto"/>
              </w:rPr>
            </w:pPr>
            <w:r>
              <w:rPr>
                <w:rFonts w:ascii="Arial" w:cs="Arial" w:eastAsia="Arial" w:hAnsi="Arial"/>
                <w:sz w:val="14"/>
                <w:szCs w:val="14"/>
                <w:color w:val="auto"/>
              </w:rPr>
              <w:t>Advantage Capital Holdings LLC</w:t>
            </w:r>
          </w:p>
        </w:tc>
        <w:tc>
          <w:tcPr>
            <w:tcW w:w="900" w:type="dxa"/>
            <w:vAlign w:val="bottom"/>
          </w:tcPr>
          <w:p>
            <w:pPr>
              <w:ind w:left="160"/>
              <w:spacing w:after="0"/>
              <w:rPr>
                <w:sz w:val="20"/>
                <w:szCs w:val="20"/>
                <w:color w:val="auto"/>
              </w:rPr>
            </w:pPr>
            <w:r>
              <w:rPr>
                <w:rFonts w:ascii="Arial" w:cs="Arial" w:eastAsia="Arial" w:hAnsi="Arial"/>
                <w:sz w:val="12"/>
                <w:szCs w:val="12"/>
                <w:color w:val="auto"/>
                <w:w w:val="91"/>
              </w:rPr>
              <w:t>(8)(13)(14)(21)</w:t>
            </w: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w w:val="97"/>
              </w:rPr>
              <w:t>7905 Cochran Road Suite 300 Glenwillow, OH 44139</w:t>
            </w:r>
          </w:p>
        </w:tc>
        <w:tc>
          <w:tcPr>
            <w:tcW w:w="900" w:type="dxa"/>
            <w:vAlign w:val="bottom"/>
          </w:tcPr>
          <w:p>
            <w:pPr>
              <w:spacing w:after="0"/>
              <w:rPr>
                <w:sz w:val="12"/>
                <w:szCs w:val="12"/>
                <w:color w:val="auto"/>
              </w:rPr>
            </w:pPr>
          </w:p>
        </w:tc>
      </w:tr>
      <w:tr>
        <w:trPr>
          <w:trHeight w:val="182"/>
        </w:trPr>
        <w:tc>
          <w:tcPr>
            <w:tcW w:w="3260" w:type="dxa"/>
            <w:vAlign w:val="bottom"/>
            <w:gridSpan w:val="2"/>
          </w:tcPr>
          <w:p>
            <w:pPr>
              <w:ind w:left="300"/>
              <w:spacing w:after="0"/>
              <w:rPr>
                <w:sz w:val="20"/>
                <w:szCs w:val="20"/>
                <w:color w:val="auto"/>
              </w:rPr>
            </w:pPr>
            <w:r>
              <w:rPr>
                <w:rFonts w:ascii="Arial" w:cs="Arial" w:eastAsia="Arial" w:hAnsi="Arial"/>
                <w:sz w:val="14"/>
                <w:szCs w:val="14"/>
                <w:color w:val="auto"/>
              </w:rPr>
              <w:t>Banking, Finance, Insurance &amp; Real Estate</w:t>
            </w:r>
          </w:p>
        </w:tc>
        <w:tc>
          <w:tcPr>
            <w:tcW w:w="900" w:type="dxa"/>
            <w:vAlign w:val="bottom"/>
          </w:tcPr>
          <w:p>
            <w:pPr>
              <w:spacing w:after="0"/>
              <w:rPr>
                <w:sz w:val="15"/>
                <w:szCs w:val="15"/>
                <w:color w:val="auto"/>
              </w:rPr>
            </w:pPr>
          </w:p>
        </w:tc>
      </w:tr>
      <w:tr>
        <w:trPr>
          <w:trHeight w:val="236"/>
        </w:trPr>
        <w:tc>
          <w:tcPr>
            <w:tcW w:w="3260" w:type="dxa"/>
            <w:vAlign w:val="bottom"/>
            <w:gridSpan w:val="2"/>
          </w:tcPr>
          <w:p>
            <w:pPr>
              <w:spacing w:after="0"/>
              <w:rPr>
                <w:sz w:val="20"/>
                <w:szCs w:val="20"/>
                <w:color w:val="auto"/>
              </w:rPr>
            </w:pPr>
            <w:r>
              <w:rPr>
                <w:rFonts w:ascii="Arial" w:cs="Arial" w:eastAsia="Arial" w:hAnsi="Arial"/>
                <w:sz w:val="14"/>
                <w:szCs w:val="14"/>
                <w:color w:val="auto"/>
              </w:rPr>
              <w:t>Advantage Capital Holdings LLC</w:t>
            </w:r>
          </w:p>
        </w:tc>
        <w:tc>
          <w:tcPr>
            <w:tcW w:w="900" w:type="dxa"/>
            <w:vAlign w:val="bottom"/>
          </w:tcPr>
          <w:p>
            <w:pPr>
              <w:ind w:left="160"/>
              <w:spacing w:after="0"/>
              <w:rPr>
                <w:sz w:val="20"/>
                <w:szCs w:val="20"/>
                <w:color w:val="auto"/>
              </w:rPr>
            </w:pPr>
            <w:r>
              <w:rPr>
                <w:rFonts w:ascii="Arial" w:cs="Arial" w:eastAsia="Arial" w:hAnsi="Arial"/>
                <w:sz w:val="12"/>
                <w:szCs w:val="12"/>
                <w:color w:val="auto"/>
                <w:w w:val="91"/>
              </w:rPr>
              <w:t>(8)(13)(14)(21)</w:t>
            </w: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w w:val="97"/>
              </w:rPr>
              <w:t>7905 Cochran Road Suite 300 Glenwillow, OH 44139</w:t>
            </w:r>
          </w:p>
        </w:tc>
        <w:tc>
          <w:tcPr>
            <w:tcW w:w="900" w:type="dxa"/>
            <w:vAlign w:val="bottom"/>
          </w:tcPr>
          <w:p>
            <w:pPr>
              <w:spacing w:after="0"/>
              <w:rPr>
                <w:sz w:val="12"/>
                <w:szCs w:val="12"/>
                <w:color w:val="auto"/>
              </w:rPr>
            </w:pPr>
          </w:p>
        </w:tc>
      </w:tr>
      <w:tr>
        <w:trPr>
          <w:trHeight w:val="182"/>
        </w:trPr>
        <w:tc>
          <w:tcPr>
            <w:tcW w:w="3260" w:type="dxa"/>
            <w:vAlign w:val="bottom"/>
            <w:gridSpan w:val="2"/>
          </w:tcPr>
          <w:p>
            <w:pPr>
              <w:ind w:left="300"/>
              <w:spacing w:after="0"/>
              <w:rPr>
                <w:sz w:val="20"/>
                <w:szCs w:val="20"/>
                <w:color w:val="auto"/>
              </w:rPr>
            </w:pPr>
            <w:r>
              <w:rPr>
                <w:rFonts w:ascii="Arial" w:cs="Arial" w:eastAsia="Arial" w:hAnsi="Arial"/>
                <w:sz w:val="14"/>
                <w:szCs w:val="14"/>
                <w:color w:val="auto"/>
              </w:rPr>
              <w:t>Banking, Finance, Insurance &amp; Real Estate</w:t>
            </w:r>
          </w:p>
        </w:tc>
        <w:tc>
          <w:tcPr>
            <w:tcW w:w="9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Investment</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Initial</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8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Acquisition</w:t>
            </w:r>
          </w:p>
        </w:tc>
        <w:tc>
          <w:tcPr>
            <w:tcW w:w="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12"/>
                <w:szCs w:val="12"/>
                <w:b w:val="1"/>
                <w:bCs w:val="1"/>
                <w:color w:val="auto"/>
                <w:w w:val="95"/>
              </w:rPr>
              <w:t>2</w:t>
            </w:r>
          </w:p>
        </w:tc>
        <w:tc>
          <w:tcPr>
            <w:tcW w:w="200" w:type="dxa"/>
            <w:vAlign w:val="bottom"/>
            <w:vMerge w:val="restart"/>
          </w:tcPr>
          <w:p>
            <w:pPr>
              <w:spacing w:after="0"/>
              <w:rPr>
                <w:sz w:val="12"/>
                <w:szCs w:val="12"/>
                <w:color w:val="auto"/>
              </w:rPr>
            </w:pPr>
          </w:p>
        </w:tc>
        <w:tc>
          <w:tcPr>
            <w:tcW w:w="5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5"/>
        </w:trPr>
        <w:tc>
          <w:tcPr>
            <w:tcW w:w="3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7"/>
              </w:rPr>
              <w:t>Interest Rate¹ / Maturity</w:t>
            </w:r>
            <w:r>
              <w:rPr>
                <w:rFonts w:ascii="Arial" w:cs="Arial" w:eastAsia="Arial" w:hAnsi="Arial"/>
                <w:sz w:val="12"/>
                <w:szCs w:val="12"/>
                <w:b w:val="1"/>
                <w:bCs w:val="1"/>
                <w:color w:val="auto"/>
                <w:w w:val="97"/>
              </w:rPr>
              <w:t>15</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00" w:type="dxa"/>
            <w:vAlign w:val="bottom"/>
            <w:gridSpan w:val="3"/>
          </w:tcPr>
          <w:p>
            <w:pPr>
              <w:spacing w:after="0"/>
              <w:rPr>
                <w:sz w:val="20"/>
                <w:szCs w:val="20"/>
                <w:color w:val="auto"/>
              </w:rPr>
            </w:pPr>
            <w:r>
              <w:rPr>
                <w:rFonts w:ascii="Arial" w:cs="Arial" w:eastAsia="Arial" w:hAnsi="Arial"/>
                <w:sz w:val="14"/>
                <w:szCs w:val="14"/>
                <w:color w:val="auto"/>
                <w:w w:val="98"/>
              </w:rPr>
              <w:t>Senior Secured Loan — First Lien Term Loan</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w w:val="93"/>
              </w:rPr>
              <w:t>5.8%</w:t>
            </w:r>
          </w:p>
        </w:tc>
        <w:tc>
          <w:tcPr>
            <w:tcW w:w="2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3 Month Libor (1.00%) + 4.75%;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0" w:type="dxa"/>
            <w:vAlign w:val="bottom"/>
            <w:gridSpan w:val="3"/>
          </w:tcPr>
          <w:p>
            <w:pPr>
              <w:spacing w:after="0"/>
              <w:rPr>
                <w:sz w:val="20"/>
                <w:szCs w:val="20"/>
                <w:color w:val="auto"/>
              </w:rPr>
            </w:pPr>
            <w:r>
              <w:rPr>
                <w:rFonts w:ascii="Arial" w:cs="Arial" w:eastAsia="Arial" w:hAnsi="Arial"/>
                <w:sz w:val="14"/>
                <w:szCs w:val="14"/>
                <w:color w:val="auto"/>
              </w:rPr>
              <w:t>Libor Floor 1.00%, Due 8/27</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9"/>
              </w:rPr>
              <w:t>10/28/2020</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w w:val="99"/>
              </w:rPr>
              <w:t>$2,084,276</w:t>
            </w: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w w:val="97"/>
              </w:rPr>
              <w:t>$ 1,847,113</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$ 2,089,487</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00" w:type="dxa"/>
            <w:vAlign w:val="bottom"/>
            <w:gridSpan w:val="3"/>
          </w:tcPr>
          <w:p>
            <w:pPr>
              <w:spacing w:after="0"/>
              <w:rPr>
                <w:sz w:val="20"/>
                <w:szCs w:val="20"/>
                <w:color w:val="auto"/>
              </w:rPr>
            </w:pPr>
            <w:r>
              <w:rPr>
                <w:rFonts w:ascii="Arial" w:cs="Arial" w:eastAsia="Arial" w:hAnsi="Arial"/>
                <w:sz w:val="14"/>
                <w:szCs w:val="14"/>
                <w:color w:val="auto"/>
              </w:rPr>
              <w:t>Senior Secured Loan — Delayed Draw Term</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line="149" w:lineRule="exact"/>
              <w:rPr>
                <w:sz w:val="20"/>
                <w:szCs w:val="20"/>
                <w:color w:val="auto"/>
              </w:rPr>
            </w:pPr>
            <w:r>
              <w:rPr>
                <w:rFonts w:ascii="Arial" w:cs="Arial" w:eastAsia="Arial" w:hAnsi="Arial"/>
                <w:sz w:val="14"/>
                <w:szCs w:val="14"/>
                <w:color w:val="auto"/>
                <w:w w:val="96"/>
              </w:rPr>
              <w:t>Loan</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Cash, 8.0% PIK, Due 1/25</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2/14/2020</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2,852,556</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2,852,556</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2,885,360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90"/>
        </w:trPr>
        <w:tc>
          <w:tcPr>
            <w:tcW w:w="280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Cash, 8.0% PIK, Due 1/25</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2/14/2020</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2,520,115</w:t>
            </w: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2,520,115</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2,549,096</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-1114425</wp:posOffset>
            </wp:positionV>
            <wp:extent cx="713232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-300355</wp:posOffset>
            </wp:positionV>
            <wp:extent cx="713232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4160" w:space="240"/>
            <w:col w:w="6840"/>
          </w:cols>
          <w:pgMar w:left="320" w:top="459"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AIS Holdco, LLC</w:t>
      </w:r>
    </w:p>
    <w:p>
      <w:pPr>
        <w:ind w:left="300" w:hanging="287"/>
        <w:spacing w:after="0" w:line="271" w:lineRule="auto"/>
        <w:rPr>
          <w:sz w:val="20"/>
          <w:szCs w:val="20"/>
          <w:color w:val="auto"/>
        </w:rPr>
      </w:pPr>
      <w:r>
        <w:rPr>
          <w:rFonts w:ascii="Arial" w:cs="Arial" w:eastAsia="Arial" w:hAnsi="Arial"/>
          <w:sz w:val="13"/>
          <w:szCs w:val="13"/>
          <w:color w:val="auto"/>
        </w:rPr>
        <w:t>415 Bedford Road — Suite 102 Pleasantville NY, 10570 Banking, Finance, Insurance &amp; Real Estate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AMCP Pet Holdings, Inc.</w:t>
      </w:r>
    </w:p>
    <w:p>
      <w:pPr>
        <w:spacing w:after="0" w:line="221" w:lineRule="auto"/>
        <w:rPr>
          <w:sz w:val="20"/>
          <w:szCs w:val="20"/>
          <w:color w:val="auto"/>
        </w:rPr>
      </w:pPr>
      <w:r>
        <w:rPr>
          <w:rFonts w:ascii="Arial" w:cs="Arial" w:eastAsia="Arial" w:hAnsi="Arial"/>
          <w:sz w:val="14"/>
          <w:szCs w:val="14"/>
          <w:color w:val="auto"/>
        </w:rPr>
        <w:t>801 Crescent Center Drive Franklin,</w:t>
      </w:r>
    </w:p>
    <w:p>
      <w:pPr>
        <w:ind w:left="160"/>
        <w:spacing w:after="0" w:line="221" w:lineRule="auto"/>
        <w:rPr>
          <w:sz w:val="20"/>
          <w:szCs w:val="20"/>
          <w:color w:val="auto"/>
        </w:rPr>
      </w:pPr>
      <w:r>
        <w:rPr>
          <w:rFonts w:ascii="Arial" w:cs="Arial" w:eastAsia="Arial" w:hAnsi="Arial"/>
          <w:sz w:val="14"/>
          <w:szCs w:val="14"/>
          <w:color w:val="auto"/>
        </w:rPr>
        <w:t>TN 37067</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Beverage, Food and Tobacco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(8)(13)(14)</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1"/>
          <w:szCs w:val="11"/>
          <w:color w:val="auto"/>
        </w:rPr>
        <w:t>(8)(13)(14)(21)</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 Loan</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line="149" w:lineRule="exact"/>
              <w:rPr>
                <w:sz w:val="20"/>
                <w:szCs w:val="20"/>
                <w:color w:val="auto"/>
              </w:rPr>
            </w:pPr>
            <w:r>
              <w:rPr>
                <w:rFonts w:ascii="Arial" w:cs="Arial" w:eastAsia="Arial" w:hAnsi="Arial"/>
                <w:sz w:val="14"/>
                <w:szCs w:val="14"/>
                <w:color w:val="auto"/>
              </w:rPr>
              <w:t>A</w:t>
            </w:r>
          </w:p>
        </w:tc>
        <w:tc>
          <w:tcPr>
            <w:tcW w:w="2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line="149" w:lineRule="exact"/>
              <w:rPr>
                <w:sz w:val="20"/>
                <w:szCs w:val="20"/>
                <w:color w:val="auto"/>
              </w:rPr>
            </w:pPr>
            <w:r>
              <w:rPr>
                <w:rFonts w:ascii="Arial" w:cs="Arial" w:eastAsia="Arial" w:hAnsi="Arial"/>
                <w:sz w:val="14"/>
                <w:szCs w:val="14"/>
                <w:color w:val="auto"/>
                <w:w w:val="93"/>
              </w:rPr>
              <w:t>5.2%</w:t>
            </w:r>
          </w:p>
        </w:tc>
        <w:tc>
          <w:tcPr>
            <w:tcW w:w="2440" w:type="dxa"/>
            <w:vAlign w:val="bottom"/>
          </w:tcPr>
          <w:p>
            <w:pPr>
              <w:ind w:left="20"/>
              <w:spacing w:after="0" w:line="149" w:lineRule="exact"/>
              <w:rPr>
                <w:sz w:val="20"/>
                <w:szCs w:val="20"/>
                <w:color w:val="auto"/>
              </w:rPr>
            </w:pPr>
            <w:r>
              <w:rPr>
                <w:rFonts w:ascii="Arial" w:cs="Arial" w:eastAsia="Arial" w:hAnsi="Arial"/>
                <w:sz w:val="14"/>
                <w:szCs w:val="14"/>
                <w:color w:val="auto"/>
              </w:rPr>
              <w:t>Cash, 3 Month Libor (0.19%) + 5.00%,</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60" w:type="dxa"/>
            <w:vAlign w:val="bottom"/>
            <w:gridSpan w:val="2"/>
          </w:tcPr>
          <w:p>
            <w:pPr>
              <w:spacing w:after="0"/>
              <w:rPr>
                <w:sz w:val="20"/>
                <w:szCs w:val="20"/>
                <w:color w:val="auto"/>
              </w:rPr>
            </w:pPr>
            <w:r>
              <w:rPr>
                <w:rFonts w:ascii="Arial" w:cs="Arial" w:eastAsia="Arial" w:hAnsi="Arial"/>
                <w:sz w:val="14"/>
                <w:szCs w:val="14"/>
                <w:color w:val="auto"/>
              </w:rPr>
              <w:t>Due 8/25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10/28/2020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2,528,268</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2,081,132</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2,468,601</w:t>
            </w:r>
          </w:p>
        </w:tc>
        <w:tc>
          <w:tcPr>
            <w:tcW w:w="48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90"/>
        </w:trPr>
        <w:tc>
          <w:tcPr>
            <w:tcW w:w="2760" w:type="dxa"/>
            <w:vAlign w:val="bottom"/>
            <w:gridSpan w:val="2"/>
          </w:tcPr>
          <w:p>
            <w:pPr>
              <w:spacing w:after="0"/>
              <w:rPr>
                <w:sz w:val="20"/>
                <w:szCs w:val="20"/>
                <w:color w:val="auto"/>
              </w:rPr>
            </w:pPr>
            <w:r>
              <w:rPr>
                <w:rFonts w:ascii="Arial" w:cs="Arial" w:eastAsia="Arial" w:hAnsi="Arial"/>
                <w:sz w:val="14"/>
                <w:szCs w:val="14"/>
                <w:color w:val="auto"/>
                <w:w w:val="98"/>
              </w:rPr>
              <w:t>Senior Secured Loan — Delayed Draw Term</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line="149" w:lineRule="exact"/>
              <w:rPr>
                <w:sz w:val="20"/>
                <w:szCs w:val="20"/>
                <w:color w:val="auto"/>
              </w:rPr>
            </w:pPr>
            <w:r>
              <w:rPr>
                <w:rFonts w:ascii="Arial" w:cs="Arial" w:eastAsia="Arial" w:hAnsi="Arial"/>
                <w:sz w:val="14"/>
                <w:szCs w:val="14"/>
                <w:color w:val="auto"/>
                <w:w w:val="96"/>
              </w:rPr>
              <w:t>Loan</w:t>
            </w:r>
          </w:p>
        </w:tc>
        <w:tc>
          <w:tcPr>
            <w:tcW w:w="2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1.0%</w:t>
            </w:r>
          </w:p>
        </w:tc>
        <w:tc>
          <w:tcPr>
            <w:tcW w:w="2440" w:type="dxa"/>
            <w:vAlign w:val="bottom"/>
          </w:tcPr>
          <w:p>
            <w:pPr>
              <w:ind w:left="20"/>
              <w:spacing w:after="0"/>
              <w:rPr>
                <w:sz w:val="20"/>
                <w:szCs w:val="20"/>
                <w:color w:val="auto"/>
              </w:rPr>
            </w:pPr>
            <w:r>
              <w:rPr>
                <w:rFonts w:ascii="Arial" w:cs="Arial" w:eastAsia="Arial" w:hAnsi="Arial"/>
                <w:sz w:val="14"/>
                <w:szCs w:val="14"/>
                <w:color w:val="auto"/>
              </w:rPr>
              <w:t>Cash, Due 10/26</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12/9/2020</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(18,142)</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(5,000)</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-394970</wp:posOffset>
            </wp:positionV>
            <wp:extent cx="7132320"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3">
            <w:col w:w="3260" w:space="160"/>
            <w:col w:w="740" w:space="240"/>
            <w:col w:w="684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4"/>
                <w:szCs w:val="14"/>
                <w:color w:val="auto"/>
              </w:rPr>
              <w:t>AMCP Pet Holdings, Inc.</w:t>
            </w:r>
          </w:p>
        </w:tc>
        <w:tc>
          <w:tcPr>
            <w:tcW w:w="1400" w:type="dxa"/>
            <w:vAlign w:val="bottom"/>
          </w:tcPr>
          <w:p>
            <w:pPr>
              <w:jc w:val="right"/>
              <w:spacing w:after="0"/>
              <w:rPr>
                <w:sz w:val="20"/>
                <w:szCs w:val="20"/>
                <w:color w:val="auto"/>
              </w:rPr>
            </w:pPr>
            <w:r>
              <w:rPr>
                <w:rFonts w:ascii="Arial" w:cs="Arial" w:eastAsia="Arial" w:hAnsi="Arial"/>
                <w:sz w:val="12"/>
                <w:szCs w:val="12"/>
                <w:color w:val="auto"/>
              </w:rPr>
              <w:t>(8)(13)(14)(21)</w:t>
            </w:r>
          </w:p>
        </w:tc>
      </w:tr>
      <w:tr>
        <w:trPr>
          <w:trHeight w:val="148"/>
        </w:trPr>
        <w:tc>
          <w:tcPr>
            <w:tcW w:w="2760" w:type="dxa"/>
            <w:vAlign w:val="bottom"/>
          </w:tcPr>
          <w:p>
            <w:pPr>
              <w:spacing w:after="0" w:line="149" w:lineRule="exact"/>
              <w:rPr>
                <w:sz w:val="20"/>
                <w:szCs w:val="20"/>
                <w:color w:val="auto"/>
              </w:rPr>
            </w:pPr>
            <w:r>
              <w:rPr>
                <w:rFonts w:ascii="Arial" w:cs="Arial" w:eastAsia="Arial" w:hAnsi="Arial"/>
                <w:sz w:val="14"/>
                <w:szCs w:val="14"/>
                <w:color w:val="auto"/>
              </w:rPr>
              <w:t>801 Crescent Center Drive Franklin,</w:t>
            </w:r>
          </w:p>
        </w:tc>
        <w:tc>
          <w:tcPr>
            <w:tcW w:w="1400" w:type="dxa"/>
            <w:vAlign w:val="bottom"/>
          </w:tcPr>
          <w:p>
            <w:pPr>
              <w:spacing w:after="0"/>
              <w:rPr>
                <w:sz w:val="12"/>
                <w:szCs w:val="12"/>
                <w:color w:val="auto"/>
              </w:rPr>
            </w:pPr>
          </w:p>
        </w:tc>
      </w:tr>
      <w:tr>
        <w:trPr>
          <w:trHeight w:val="148"/>
        </w:trPr>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TN 37067</w:t>
            </w:r>
          </w:p>
        </w:tc>
        <w:tc>
          <w:tcPr>
            <w:tcW w:w="1400" w:type="dxa"/>
            <w:vAlign w:val="bottom"/>
          </w:tcPr>
          <w:p>
            <w:pPr>
              <w:spacing w:after="0"/>
              <w:rPr>
                <w:sz w:val="12"/>
                <w:szCs w:val="12"/>
                <w:color w:val="auto"/>
              </w:rPr>
            </w:pPr>
          </w:p>
        </w:tc>
      </w:tr>
      <w:tr>
        <w:trPr>
          <w:trHeight w:val="182"/>
        </w:trPr>
        <w:tc>
          <w:tcPr>
            <w:tcW w:w="2760" w:type="dxa"/>
            <w:vAlign w:val="bottom"/>
          </w:tcPr>
          <w:p>
            <w:pPr>
              <w:ind w:left="300"/>
              <w:spacing w:after="0"/>
              <w:rPr>
                <w:sz w:val="20"/>
                <w:szCs w:val="20"/>
                <w:color w:val="auto"/>
              </w:rPr>
            </w:pPr>
            <w:r>
              <w:rPr>
                <w:rFonts w:ascii="Arial" w:cs="Arial" w:eastAsia="Arial" w:hAnsi="Arial"/>
                <w:sz w:val="14"/>
                <w:szCs w:val="14"/>
                <w:color w:val="auto"/>
              </w:rPr>
              <w:t>Beverage, Food and Tobacco</w:t>
            </w:r>
          </w:p>
        </w:tc>
        <w:tc>
          <w:tcPr>
            <w:tcW w:w="1400" w:type="dxa"/>
            <w:vAlign w:val="bottom"/>
          </w:tcPr>
          <w:p>
            <w:pPr>
              <w:spacing w:after="0"/>
              <w:rPr>
                <w:sz w:val="15"/>
                <w:szCs w:val="15"/>
                <w:color w:val="auto"/>
              </w:rPr>
            </w:pPr>
          </w:p>
        </w:tc>
      </w:tr>
      <w:tr>
        <w:trPr>
          <w:trHeight w:val="236"/>
        </w:trPr>
        <w:tc>
          <w:tcPr>
            <w:tcW w:w="2760" w:type="dxa"/>
            <w:vAlign w:val="bottom"/>
          </w:tcPr>
          <w:p>
            <w:pPr>
              <w:spacing w:after="0"/>
              <w:rPr>
                <w:sz w:val="20"/>
                <w:szCs w:val="20"/>
                <w:color w:val="auto"/>
              </w:rPr>
            </w:pPr>
            <w:r>
              <w:rPr>
                <w:rFonts w:ascii="Arial" w:cs="Arial" w:eastAsia="Arial" w:hAnsi="Arial"/>
                <w:sz w:val="14"/>
                <w:szCs w:val="14"/>
                <w:color w:val="auto"/>
              </w:rPr>
              <w:t>AMCP Pet Holdings, Inc.</w:t>
            </w:r>
          </w:p>
        </w:tc>
        <w:tc>
          <w:tcPr>
            <w:tcW w:w="1400" w:type="dxa"/>
            <w:vAlign w:val="bottom"/>
          </w:tcPr>
          <w:p>
            <w:pPr>
              <w:jc w:val="right"/>
              <w:spacing w:after="0"/>
              <w:rPr>
                <w:sz w:val="20"/>
                <w:szCs w:val="20"/>
                <w:color w:val="auto"/>
              </w:rPr>
            </w:pPr>
            <w:r>
              <w:rPr>
                <w:rFonts w:ascii="Arial" w:cs="Arial" w:eastAsia="Arial" w:hAnsi="Arial"/>
                <w:sz w:val="12"/>
                <w:szCs w:val="12"/>
                <w:color w:val="auto"/>
              </w:rPr>
              <w:t>(8)(13)(21)(23)</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801 Crescent Center Drive Franklin,</w:t>
            </w:r>
          </w:p>
        </w:tc>
        <w:tc>
          <w:tcPr>
            <w:tcW w:w="1400" w:type="dxa"/>
            <w:vAlign w:val="bottom"/>
          </w:tcPr>
          <w:p>
            <w:pPr>
              <w:spacing w:after="0"/>
              <w:rPr>
                <w:sz w:val="12"/>
                <w:szCs w:val="12"/>
                <w:color w:val="auto"/>
              </w:rPr>
            </w:pPr>
          </w:p>
        </w:tc>
      </w:tr>
      <w:tr>
        <w:trPr>
          <w:trHeight w:val="148"/>
        </w:trPr>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TN 37067</w:t>
            </w:r>
          </w:p>
        </w:tc>
        <w:tc>
          <w:tcPr>
            <w:tcW w:w="1400" w:type="dxa"/>
            <w:vAlign w:val="bottom"/>
          </w:tcPr>
          <w:p>
            <w:pPr>
              <w:spacing w:after="0"/>
              <w:rPr>
                <w:sz w:val="12"/>
                <w:szCs w:val="12"/>
                <w:color w:val="auto"/>
              </w:rPr>
            </w:pPr>
          </w:p>
        </w:tc>
      </w:tr>
      <w:tr>
        <w:trPr>
          <w:trHeight w:val="182"/>
        </w:trPr>
        <w:tc>
          <w:tcPr>
            <w:tcW w:w="2760" w:type="dxa"/>
            <w:vAlign w:val="bottom"/>
          </w:tcPr>
          <w:p>
            <w:pPr>
              <w:ind w:left="300"/>
              <w:spacing w:after="0"/>
              <w:rPr>
                <w:sz w:val="20"/>
                <w:szCs w:val="20"/>
                <w:color w:val="auto"/>
              </w:rPr>
            </w:pPr>
            <w:r>
              <w:rPr>
                <w:rFonts w:ascii="Arial" w:cs="Arial" w:eastAsia="Arial" w:hAnsi="Arial"/>
                <w:sz w:val="14"/>
                <w:szCs w:val="14"/>
                <w:color w:val="auto"/>
              </w:rPr>
              <w:t>Beverage, Food and Tobacco</w:t>
            </w:r>
          </w:p>
        </w:tc>
        <w:tc>
          <w:tcPr>
            <w:tcW w:w="1400" w:type="dxa"/>
            <w:vAlign w:val="bottom"/>
          </w:tcPr>
          <w:p>
            <w:pPr>
              <w:spacing w:after="0"/>
              <w:rPr>
                <w:sz w:val="15"/>
                <w:szCs w:val="15"/>
                <w:color w:val="auto"/>
              </w:rPr>
            </w:pPr>
          </w:p>
        </w:tc>
      </w:tr>
      <w:tr>
        <w:trPr>
          <w:trHeight w:val="236"/>
        </w:trPr>
        <w:tc>
          <w:tcPr>
            <w:tcW w:w="2760" w:type="dxa"/>
            <w:vAlign w:val="bottom"/>
          </w:tcPr>
          <w:p>
            <w:pPr>
              <w:spacing w:after="0"/>
              <w:rPr>
                <w:sz w:val="20"/>
                <w:szCs w:val="20"/>
                <w:color w:val="auto"/>
              </w:rPr>
            </w:pPr>
            <w:r>
              <w:rPr>
                <w:rFonts w:ascii="Arial" w:cs="Arial" w:eastAsia="Arial" w:hAnsi="Arial"/>
                <w:sz w:val="14"/>
                <w:szCs w:val="14"/>
                <w:color w:val="auto"/>
              </w:rPr>
              <w:t>Analogic Corporation</w:t>
            </w:r>
          </w:p>
        </w:tc>
        <w:tc>
          <w:tcPr>
            <w:tcW w:w="1400" w:type="dxa"/>
            <w:vAlign w:val="bottom"/>
          </w:tcPr>
          <w:p>
            <w:pPr>
              <w:jc w:val="right"/>
              <w:spacing w:after="0"/>
              <w:rPr>
                <w:sz w:val="20"/>
                <w:szCs w:val="20"/>
                <w:color w:val="auto"/>
              </w:rPr>
            </w:pPr>
            <w:r>
              <w:rPr>
                <w:rFonts w:ascii="Arial" w:cs="Arial" w:eastAsia="Arial" w:hAnsi="Arial"/>
                <w:sz w:val="12"/>
                <w:szCs w:val="12"/>
                <w:color w:val="auto"/>
              </w:rPr>
              <w:t>(8)(13)(14)(23)</w:t>
            </w:r>
          </w:p>
        </w:tc>
      </w:tr>
      <w:tr>
        <w:trPr>
          <w:trHeight w:val="161"/>
        </w:trPr>
        <w:tc>
          <w:tcPr>
            <w:tcW w:w="2760" w:type="dxa"/>
            <w:vAlign w:val="bottom"/>
          </w:tcPr>
          <w:p>
            <w:pPr>
              <w:spacing w:after="0"/>
              <w:rPr>
                <w:sz w:val="20"/>
                <w:szCs w:val="20"/>
                <w:color w:val="auto"/>
              </w:rPr>
            </w:pPr>
            <w:r>
              <w:rPr>
                <w:rFonts w:ascii="Arial" w:cs="Arial" w:eastAsia="Arial" w:hAnsi="Arial"/>
                <w:sz w:val="14"/>
                <w:szCs w:val="14"/>
                <w:color w:val="auto"/>
              </w:rPr>
              <w:t>38281 Industrial Park Road, Lisbon,</w:t>
            </w:r>
          </w:p>
        </w:tc>
        <w:tc>
          <w:tcPr>
            <w:tcW w:w="1400" w:type="dxa"/>
            <w:vAlign w:val="bottom"/>
          </w:tcPr>
          <w:p>
            <w:pPr>
              <w:spacing w:after="0"/>
              <w:rPr>
                <w:sz w:val="13"/>
                <w:szCs w:val="13"/>
                <w:color w:val="auto"/>
              </w:rPr>
            </w:pPr>
          </w:p>
        </w:tc>
      </w:tr>
    </w:tbl>
    <w:p>
      <w:pPr>
        <w:ind w:left="160"/>
        <w:spacing w:after="0" w:line="221" w:lineRule="auto"/>
        <w:rPr>
          <w:sz w:val="20"/>
          <w:szCs w:val="20"/>
          <w:color w:val="auto"/>
        </w:rPr>
      </w:pPr>
      <w:r>
        <w:rPr>
          <w:rFonts w:ascii="Arial" w:cs="Arial" w:eastAsia="Arial" w:hAnsi="Arial"/>
          <w:sz w:val="14"/>
          <w:szCs w:val="14"/>
          <w:color w:val="auto"/>
        </w:rPr>
        <w:t>OH 44432</w:t>
      </w:r>
    </w:p>
    <w:p>
      <w:pPr>
        <w:ind w:left="300"/>
        <w:spacing w:after="0"/>
        <w:rPr>
          <w:sz w:val="20"/>
          <w:szCs w:val="20"/>
          <w:color w:val="auto"/>
        </w:rPr>
      </w:pPr>
      <w:r>
        <w:rPr>
          <w:rFonts w:ascii="Arial" w:cs="Arial" w:eastAsia="Arial" w:hAnsi="Arial"/>
          <w:sz w:val="14"/>
          <w:szCs w:val="14"/>
          <w:color w:val="auto"/>
        </w:rPr>
        <w:t>Electronics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Arial" w:cs="Arial" w:eastAsia="Arial" w:hAnsi="Arial"/>
                <w:sz w:val="14"/>
                <w:szCs w:val="14"/>
                <w:color w:val="auto"/>
                <w:w w:val="96"/>
              </w:rPr>
              <w:t>Senior Secured Loan — First Lien Term Loan</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line="149" w:lineRule="exact"/>
              <w:rPr>
                <w:sz w:val="20"/>
                <w:szCs w:val="20"/>
                <w:color w:val="auto"/>
              </w:rPr>
            </w:pPr>
            <w:r>
              <w:rPr>
                <w:rFonts w:ascii="Arial" w:cs="Arial" w:eastAsia="Arial" w:hAnsi="Arial"/>
                <w:sz w:val="14"/>
                <w:szCs w:val="14"/>
                <w:color w:val="auto"/>
                <w:w w:val="93"/>
              </w:rPr>
              <w:t>7.3%</w:t>
            </w:r>
          </w:p>
        </w:tc>
        <w:tc>
          <w:tcPr>
            <w:tcW w:w="2440" w:type="dxa"/>
            <w:vAlign w:val="bottom"/>
          </w:tcPr>
          <w:p>
            <w:pPr>
              <w:ind w:left="20"/>
              <w:spacing w:after="0" w:line="149" w:lineRule="exact"/>
              <w:rPr>
                <w:sz w:val="20"/>
                <w:szCs w:val="20"/>
                <w:color w:val="auto"/>
              </w:rPr>
            </w:pPr>
            <w:r>
              <w:rPr>
                <w:rFonts w:ascii="Arial" w:cs="Arial" w:eastAsia="Arial" w:hAnsi="Arial"/>
                <w:sz w:val="14"/>
                <w:szCs w:val="14"/>
                <w:color w:val="auto"/>
              </w:rPr>
              <w:t>Cash, 6 Month Libor (1.00%) + 6.25%;</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60" w:type="dxa"/>
            <w:vAlign w:val="bottom"/>
            <w:gridSpan w:val="2"/>
          </w:tcPr>
          <w:p>
            <w:pPr>
              <w:spacing w:after="0"/>
              <w:rPr>
                <w:sz w:val="20"/>
                <w:szCs w:val="20"/>
                <w:color w:val="auto"/>
              </w:rPr>
            </w:pPr>
            <w:r>
              <w:rPr>
                <w:rFonts w:ascii="Arial" w:cs="Arial" w:eastAsia="Arial" w:hAnsi="Arial"/>
                <w:sz w:val="14"/>
                <w:szCs w:val="14"/>
                <w:color w:val="auto"/>
              </w:rPr>
              <w:t>Libor Floor 1.00%, Due 10/26</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12/9/2020</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4,975,000</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4,884,746</w:t>
            </w: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4,950,125</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2760" w:type="dxa"/>
            <w:vAlign w:val="bottom"/>
            <w:gridSpan w:val="2"/>
          </w:tcPr>
          <w:p>
            <w:pPr>
              <w:spacing w:after="0"/>
              <w:rPr>
                <w:sz w:val="20"/>
                <w:szCs w:val="20"/>
                <w:color w:val="auto"/>
              </w:rPr>
            </w:pPr>
            <w:r>
              <w:rPr>
                <w:rFonts w:ascii="Arial" w:cs="Arial" w:eastAsia="Arial" w:hAnsi="Arial"/>
                <w:sz w:val="14"/>
                <w:szCs w:val="14"/>
                <w:color w:val="auto"/>
              </w:rPr>
              <w:t>Senior Secured Loan — Revolving Loan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7.3%</w:t>
            </w:r>
          </w:p>
        </w:tc>
        <w:tc>
          <w:tcPr>
            <w:tcW w:w="2440" w:type="dxa"/>
            <w:vAlign w:val="bottom"/>
          </w:tcPr>
          <w:p>
            <w:pPr>
              <w:ind w:left="20"/>
              <w:spacing w:after="0"/>
              <w:rPr>
                <w:sz w:val="20"/>
                <w:szCs w:val="20"/>
                <w:color w:val="auto"/>
              </w:rPr>
            </w:pPr>
            <w:r>
              <w:rPr>
                <w:rFonts w:ascii="Arial" w:cs="Arial" w:eastAsia="Arial" w:hAnsi="Arial"/>
                <w:sz w:val="14"/>
                <w:szCs w:val="14"/>
                <w:color w:val="auto"/>
              </w:rPr>
              <w:t>Cash, Due 10/26</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12/9/2020</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250,000</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231,746</w:t>
            </w: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245,000</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760" w:type="dxa"/>
            <w:vAlign w:val="bottom"/>
            <w:gridSpan w:val="2"/>
          </w:tcPr>
          <w:p>
            <w:pPr>
              <w:spacing w:after="0"/>
              <w:rPr>
                <w:sz w:val="20"/>
                <w:szCs w:val="20"/>
                <w:color w:val="auto"/>
              </w:rPr>
            </w:pPr>
            <w:r>
              <w:rPr>
                <w:rFonts w:ascii="Arial" w:cs="Arial" w:eastAsia="Arial" w:hAnsi="Arial"/>
                <w:sz w:val="14"/>
                <w:szCs w:val="14"/>
                <w:color w:val="auto"/>
              </w:rPr>
              <w:t>Senior Secured Loan — Revolver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0.5%</w:t>
            </w:r>
          </w:p>
        </w:tc>
        <w:tc>
          <w:tcPr>
            <w:tcW w:w="2440" w:type="dxa"/>
            <w:vAlign w:val="bottom"/>
          </w:tcPr>
          <w:p>
            <w:pPr>
              <w:ind w:left="20"/>
              <w:spacing w:after="0"/>
              <w:rPr>
                <w:sz w:val="20"/>
                <w:szCs w:val="20"/>
                <w:color w:val="auto"/>
              </w:rPr>
            </w:pPr>
            <w:r>
              <w:rPr>
                <w:rFonts w:ascii="Arial" w:cs="Arial" w:eastAsia="Arial" w:hAnsi="Arial"/>
                <w:sz w:val="14"/>
                <w:szCs w:val="14"/>
                <w:color w:val="auto"/>
              </w:rPr>
              <w:t>Cash, Due 6/23</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10/28/2020</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auto"/>
              </w:rPr>
              <w:t>(7,078)</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-848995</wp:posOffset>
            </wp:positionV>
            <wp:extent cx="7132320"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4160" w:space="240"/>
            <w:col w:w="684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Analogic Corporation</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2"/>
                <w:szCs w:val="12"/>
                <w:color w:val="auto"/>
              </w:rPr>
              <w:t>(8)(13)(14)</w:t>
            </w:r>
          </w:p>
        </w:tc>
        <w:tc>
          <w:tcPr>
            <w:tcW w:w="300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7"/>
              </w:rPr>
              <w:t>Senior Secured Loan — First Lien Term Loan</w:t>
            </w: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38281 Industrial Park Road, Lisbon,</w:t>
            </w:r>
          </w:p>
        </w:tc>
        <w:tc>
          <w:tcPr>
            <w:tcW w:w="900" w:type="dxa"/>
            <w:vAlign w:val="bottom"/>
            <w:shd w:val="clear" w:color="auto" w:fill="CCEEFF"/>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8"/>
        </w:trPr>
        <w:tc>
          <w:tcPr>
            <w:tcW w:w="3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OH 44432</w:t>
            </w:r>
          </w:p>
        </w:tc>
        <w:tc>
          <w:tcPr>
            <w:tcW w:w="900" w:type="dxa"/>
            <w:vAlign w:val="bottom"/>
            <w:shd w:val="clear" w:color="auto" w:fill="CCEEFF"/>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6.3% Cash, 1 Month Libor (1.00%) + 5.25%;</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1"/>
        </w:trPr>
        <w:tc>
          <w:tcPr>
            <w:tcW w:w="3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Electronics</w:t>
            </w:r>
          </w:p>
        </w:tc>
        <w:tc>
          <w:tcPr>
            <w:tcW w:w="900" w:type="dxa"/>
            <w:vAlign w:val="bottom"/>
            <w:shd w:val="clear" w:color="auto" w:fill="CCEEFF"/>
          </w:tcPr>
          <w:p>
            <w:pPr>
              <w:spacing w:after="0"/>
              <w:rPr>
                <w:sz w:val="15"/>
                <w:szCs w:val="15"/>
                <w:color w:val="auto"/>
              </w:rPr>
            </w:pPr>
          </w:p>
        </w:tc>
        <w:tc>
          <w:tcPr>
            <w:tcW w:w="3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Libor Floor 1.00%, Due 6/24</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10/28/2020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3,537,852</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3,152,028</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3,414,027</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38"/>
        </w:trPr>
        <w:tc>
          <w:tcPr>
            <w:tcW w:w="3280" w:type="dxa"/>
            <w:vAlign w:val="bottom"/>
          </w:tcPr>
          <w:p>
            <w:pPr>
              <w:spacing w:after="0"/>
              <w:rPr>
                <w:sz w:val="20"/>
                <w:szCs w:val="20"/>
                <w:color w:val="auto"/>
              </w:rPr>
            </w:pPr>
            <w:r>
              <w:rPr>
                <w:rFonts w:ascii="Arial" w:cs="Arial" w:eastAsia="Arial" w:hAnsi="Arial"/>
                <w:sz w:val="14"/>
                <w:szCs w:val="14"/>
                <w:color w:val="auto"/>
              </w:rPr>
              <w:t>Ancile Solutions, INC.</w:t>
            </w:r>
          </w:p>
        </w:tc>
        <w:tc>
          <w:tcPr>
            <w:tcW w:w="900" w:type="dxa"/>
            <w:vAlign w:val="bottom"/>
          </w:tcPr>
          <w:p>
            <w:pPr>
              <w:jc w:val="right"/>
              <w:ind w:right="159"/>
              <w:spacing w:after="0"/>
              <w:rPr>
                <w:sz w:val="20"/>
                <w:szCs w:val="20"/>
                <w:color w:val="auto"/>
              </w:rPr>
            </w:pPr>
            <w:r>
              <w:rPr>
                <w:rFonts w:ascii="Arial" w:cs="Arial" w:eastAsia="Arial" w:hAnsi="Arial"/>
                <w:sz w:val="12"/>
                <w:szCs w:val="12"/>
                <w:color w:val="auto"/>
              </w:rPr>
              <w:t>(8)(13)(14)</w:t>
            </w:r>
          </w:p>
        </w:tc>
        <w:tc>
          <w:tcPr>
            <w:tcW w:w="3000" w:type="dxa"/>
            <w:vAlign w:val="bottom"/>
          </w:tcPr>
          <w:p>
            <w:pPr>
              <w:ind w:left="220"/>
              <w:spacing w:after="0"/>
              <w:rPr>
                <w:sz w:val="20"/>
                <w:szCs w:val="20"/>
                <w:color w:val="auto"/>
              </w:rPr>
            </w:pPr>
            <w:r>
              <w:rPr>
                <w:rFonts w:ascii="Arial" w:cs="Arial" w:eastAsia="Arial" w:hAnsi="Arial"/>
                <w:sz w:val="14"/>
                <w:szCs w:val="14"/>
                <w:color w:val="auto"/>
                <w:w w:val="97"/>
              </w:rPr>
              <w:t>Senior Secured Loan — First Lien Term Loan</w:t>
            </w: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w w:val="98"/>
              </w:rPr>
              <w:t>6085 Marshalee Drive Suite 300, Elkridge, MD 21075</w:t>
            </w:r>
          </w:p>
        </w:tc>
        <w:tc>
          <w:tcPr>
            <w:tcW w:w="900" w:type="dxa"/>
            <w:vAlign w:val="bottom"/>
          </w:tcPr>
          <w:p>
            <w:pPr>
              <w:spacing w:after="0"/>
              <w:rPr>
                <w:sz w:val="12"/>
                <w:szCs w:val="12"/>
                <w:color w:val="auto"/>
              </w:rPr>
            </w:pPr>
          </w:p>
        </w:tc>
        <w:tc>
          <w:tcPr>
            <w:tcW w:w="3000" w:type="dxa"/>
            <w:vAlign w:val="bottom"/>
          </w:tcPr>
          <w:p>
            <w:pPr>
              <w:ind w:left="220"/>
              <w:spacing w:after="0" w:line="149" w:lineRule="exact"/>
              <w:rPr>
                <w:sz w:val="20"/>
                <w:szCs w:val="20"/>
                <w:color w:val="auto"/>
              </w:rPr>
            </w:pPr>
            <w:r>
              <w:rPr>
                <w:rFonts w:ascii="Arial" w:cs="Arial" w:eastAsia="Arial" w:hAnsi="Arial"/>
                <w:sz w:val="14"/>
                <w:szCs w:val="14"/>
                <w:color w:val="auto"/>
                <w:w w:val="98"/>
              </w:rPr>
              <w:t>8.0% Cash, 3.0% PIK, 3 Month Libor (1.00%)</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96"/>
        </w:trPr>
        <w:tc>
          <w:tcPr>
            <w:tcW w:w="3280" w:type="dxa"/>
            <w:vAlign w:val="bottom"/>
          </w:tcPr>
          <w:p>
            <w:pPr>
              <w:ind w:left="300"/>
              <w:spacing w:after="0"/>
              <w:rPr>
                <w:sz w:val="20"/>
                <w:szCs w:val="20"/>
                <w:color w:val="auto"/>
              </w:rPr>
            </w:pPr>
            <w:r>
              <w:rPr>
                <w:rFonts w:ascii="Arial" w:cs="Arial" w:eastAsia="Arial" w:hAnsi="Arial"/>
                <w:sz w:val="14"/>
                <w:szCs w:val="14"/>
                <w:color w:val="auto"/>
              </w:rPr>
              <w:t>High Tech Industries</w:t>
            </w:r>
          </w:p>
        </w:tc>
        <w:tc>
          <w:tcPr>
            <w:tcW w:w="90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Arial" w:cs="Arial" w:eastAsia="Arial" w:hAnsi="Arial"/>
                <w:sz w:val="14"/>
                <w:szCs w:val="14"/>
                <w:color w:val="auto"/>
              </w:rPr>
              <w:t>+ 7.00%; Libor Floor 1.00%, Due 6/26</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6/11/2021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7,000,000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6,792,300</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6,790,000</w:t>
            </w:r>
          </w:p>
        </w:tc>
        <w:tc>
          <w:tcPr>
            <w:tcW w:w="5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93"/>
        </w:trPr>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Anthem Sports &amp; Entertainment Inc.</w:t>
            </w:r>
          </w:p>
        </w:tc>
        <w:tc>
          <w:tcPr>
            <w:tcW w:w="900" w:type="dxa"/>
            <w:vAlign w:val="bottom"/>
            <w:shd w:val="clear" w:color="auto" w:fill="CCEEFF"/>
          </w:tcPr>
          <w:p>
            <w:pPr>
              <w:jc w:val="right"/>
              <w:ind w:right="159"/>
              <w:spacing w:after="0" w:line="130" w:lineRule="exact"/>
              <w:rPr>
                <w:sz w:val="20"/>
                <w:szCs w:val="20"/>
                <w:color w:val="auto"/>
              </w:rPr>
            </w:pPr>
            <w:r>
              <w:rPr>
                <w:rFonts w:ascii="Arial" w:cs="Arial" w:eastAsia="Arial" w:hAnsi="Arial"/>
                <w:sz w:val="12"/>
                <w:szCs w:val="12"/>
                <w:color w:val="auto"/>
              </w:rPr>
              <w:t>(8)(13)(14)</w:t>
            </w:r>
          </w:p>
        </w:tc>
        <w:tc>
          <w:tcPr>
            <w:tcW w:w="300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Senior Secured Loan — Term Loan</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 Centennial Drive Peabody, MA 01960</w:t>
            </w:r>
          </w:p>
        </w:tc>
        <w:tc>
          <w:tcPr>
            <w:tcW w:w="900" w:type="dxa"/>
            <w:vAlign w:val="bottom"/>
            <w:shd w:val="clear" w:color="auto" w:fill="CCEEFF"/>
          </w:tcPr>
          <w:p>
            <w:pPr>
              <w:spacing w:after="0"/>
              <w:rPr>
                <w:sz w:val="12"/>
                <w:szCs w:val="12"/>
                <w:color w:val="auto"/>
              </w:rPr>
            </w:pPr>
          </w:p>
        </w:tc>
        <w:tc>
          <w:tcPr>
            <w:tcW w:w="3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7.8% Cash, 2.8% PIK, 3 Month Libor (1.00%)</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1"/>
        </w:trPr>
        <w:tc>
          <w:tcPr>
            <w:tcW w:w="3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Media: Broadcasting &amp; Subscription</w:t>
            </w:r>
          </w:p>
        </w:tc>
        <w:tc>
          <w:tcPr>
            <w:tcW w:w="900" w:type="dxa"/>
            <w:vAlign w:val="bottom"/>
            <w:shd w:val="clear" w:color="auto" w:fill="CCEEFF"/>
          </w:tcPr>
          <w:p>
            <w:pPr>
              <w:spacing w:after="0"/>
              <w:rPr>
                <w:sz w:val="15"/>
                <w:szCs w:val="15"/>
                <w:color w:val="auto"/>
              </w:rPr>
            </w:pPr>
          </w:p>
        </w:tc>
        <w:tc>
          <w:tcPr>
            <w:tcW w:w="3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+ 6.75%; Libor Floor 1.00%, Due 9/24</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3/31/2021</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857,613</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756,720</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827,682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1200" w:type="dxa"/>
            <w:vAlign w:val="bottom"/>
          </w:tcPr>
          <w:p>
            <w:pPr>
              <w:spacing w:after="0"/>
              <w:rPr>
                <w:sz w:val="14"/>
                <w:szCs w:val="14"/>
                <w:color w:val="auto"/>
              </w:rPr>
            </w:pPr>
          </w:p>
        </w:tc>
        <w:tc>
          <w:tcPr>
            <w:tcW w:w="28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Amortized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2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2</w:t>
            </w:r>
          </w:p>
        </w:tc>
        <w:tc>
          <w:tcPr>
            <w:tcW w:w="5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200" w:type="dxa"/>
            <w:vAlign w:val="bottom"/>
          </w:tcPr>
          <w:p>
            <w:pPr>
              <w:spacing w:after="0"/>
              <w:rPr>
                <w:sz w:val="14"/>
                <w:szCs w:val="14"/>
                <w:color w:val="auto"/>
              </w:rPr>
            </w:pPr>
          </w:p>
        </w:tc>
        <w:tc>
          <w:tcPr>
            <w:tcW w:w="28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gridSpan w:val="2"/>
            <w:vMerge w:val="continue"/>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vMerge w:val="continue"/>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94"/>
        </w:trPr>
        <w:tc>
          <w:tcPr>
            <w:tcW w:w="1140" w:type="dxa"/>
            <w:vAlign w:val="bottom"/>
            <w:tcBorders>
              <w:top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Anthem Sports &amp; Entertainment Inc.</w:t>
            </w:r>
          </w:p>
        </w:tc>
        <w:tc>
          <w:tcPr>
            <w:tcW w:w="120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(8)(13)(14)(21)</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 Centennial Drive Peabody, MA 01960</w:t>
            </w:r>
          </w:p>
        </w:tc>
        <w:tc>
          <w:tcPr>
            <w:tcW w:w="120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10.5% Cash, 3 Month Libor (1.00%) + 9.50%;</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Media: Broadcasting &amp; Subscription</w:t>
            </w:r>
          </w:p>
        </w:tc>
        <w:tc>
          <w:tcPr>
            <w:tcW w:w="120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1.00%, Due 9/24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9/9/2019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3,299,408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3,221,862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3,184,259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3200" w:type="dxa"/>
            <w:vAlign w:val="bottom"/>
            <w:gridSpan w:val="2"/>
          </w:tcPr>
          <w:p>
            <w:pPr>
              <w:spacing w:after="0" w:line="130" w:lineRule="exact"/>
              <w:rPr>
                <w:sz w:val="20"/>
                <w:szCs w:val="20"/>
                <w:color w:val="auto"/>
              </w:rPr>
            </w:pPr>
            <w:r>
              <w:rPr>
                <w:rFonts w:ascii="Arial" w:cs="Arial" w:eastAsia="Arial" w:hAnsi="Arial"/>
                <w:sz w:val="14"/>
                <w:szCs w:val="14"/>
                <w:color w:val="auto"/>
              </w:rPr>
              <w:t>Anthem Sports &amp; Entertainment Inc.</w:t>
            </w:r>
          </w:p>
        </w:tc>
        <w:tc>
          <w:tcPr>
            <w:tcW w:w="1200" w:type="dxa"/>
            <w:vAlign w:val="bottom"/>
          </w:tcPr>
          <w:p>
            <w:pPr>
              <w:ind w:left="220"/>
              <w:spacing w:after="0" w:line="130" w:lineRule="exact"/>
              <w:rPr>
                <w:sz w:val="20"/>
                <w:szCs w:val="20"/>
                <w:color w:val="auto"/>
              </w:rPr>
            </w:pPr>
            <w:r>
              <w:rPr>
                <w:rFonts w:ascii="Arial" w:cs="Arial" w:eastAsia="Arial" w:hAnsi="Arial"/>
                <w:sz w:val="12"/>
                <w:szCs w:val="12"/>
                <w:color w:val="auto"/>
              </w:rPr>
              <w:t>(8)(13)(21)(23)</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Senior Secured Loan — Revolving Loan</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8 Centennial Drive Peabody, MA 01960</w:t>
            </w:r>
          </w:p>
        </w:tc>
        <w:tc>
          <w:tcPr>
            <w:tcW w:w="120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8"/>
              </w:rPr>
              <w:t>10.5% Cash, 3 Month Libor (1.00%) + 9.50%;</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300"/>
              <w:spacing w:after="0"/>
              <w:rPr>
                <w:sz w:val="20"/>
                <w:szCs w:val="20"/>
                <w:color w:val="auto"/>
              </w:rPr>
            </w:pPr>
            <w:r>
              <w:rPr>
                <w:rFonts w:ascii="Arial" w:cs="Arial" w:eastAsia="Arial" w:hAnsi="Arial"/>
                <w:sz w:val="14"/>
                <w:szCs w:val="14"/>
                <w:color w:val="auto"/>
              </w:rPr>
              <w:t>Media: Broadcasting &amp; Subscription</w:t>
            </w:r>
          </w:p>
        </w:tc>
        <w:tc>
          <w:tcPr>
            <w:tcW w:w="120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Libor Floor 1.00%, Due 9/24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9/9/2019</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208,333</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181,711</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170,525</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Athos Merger Sub LLC</w:t>
            </w:r>
          </w:p>
        </w:tc>
        <w:tc>
          <w:tcPr>
            <w:tcW w:w="120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Senior Secured Loan — First Lien Term Loan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2821 Northrup Way, Suite 275 Bellevue, WA 98004</w:t>
            </w:r>
          </w:p>
        </w:tc>
        <w:tc>
          <w:tcPr>
            <w:tcW w:w="120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5.1% Cash, 1 Month Libor (0.10%) + 5.00%,</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Services: Business</w:t>
            </w:r>
          </w:p>
        </w:tc>
        <w:tc>
          <w:tcPr>
            <w:tcW w:w="120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1,322,375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1,153,483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1,322,375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1">
            <w:col w:w="11240"/>
          </w:cols>
          <w:pgMar w:left="320" w:top="459"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20"/>
                <w:szCs w:val="20"/>
                <w:color w:val="auto"/>
              </w:rPr>
            </w:pPr>
            <w:r>
              <w:rPr>
                <w:rFonts w:ascii="Arial" w:cs="Arial" w:eastAsia="Arial" w:hAnsi="Arial"/>
                <w:sz w:val="14"/>
                <w:szCs w:val="14"/>
                <w:color w:val="auto"/>
              </w:rPr>
              <w:t>Back Porch International, Inc.</w:t>
            </w:r>
          </w:p>
        </w:tc>
        <w:tc>
          <w:tcPr>
            <w:tcW w:w="600" w:type="dxa"/>
            <w:vAlign w:val="bottom"/>
          </w:tcPr>
          <w:p>
            <w:pPr>
              <w:jc w:val="right"/>
              <w:spacing w:after="0"/>
              <w:rPr>
                <w:sz w:val="20"/>
                <w:szCs w:val="20"/>
                <w:color w:val="auto"/>
              </w:rPr>
            </w:pPr>
            <w:r>
              <w:rPr>
                <w:rFonts w:ascii="Arial" w:cs="Arial" w:eastAsia="Arial" w:hAnsi="Arial"/>
                <w:sz w:val="12"/>
                <w:szCs w:val="12"/>
                <w:color w:val="auto"/>
              </w:rPr>
              <w:t>(8)(13)(24)</w:t>
            </w: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w w:val="93"/>
              </w:rPr>
              <w:t>6405 SW Rosewood St, Ste C., Lake Oswego, OR 97035</w:t>
            </w:r>
          </w:p>
        </w:tc>
        <w:tc>
          <w:tcPr>
            <w:tcW w:w="600" w:type="dxa"/>
            <w:vAlign w:val="bottom"/>
          </w:tcPr>
          <w:p>
            <w:pPr>
              <w:spacing w:after="0"/>
              <w:rPr>
                <w:sz w:val="12"/>
                <w:szCs w:val="12"/>
                <w:color w:val="auto"/>
              </w:rPr>
            </w:pPr>
          </w:p>
        </w:tc>
      </w:tr>
      <w:tr>
        <w:trPr>
          <w:trHeight w:val="182"/>
        </w:trPr>
        <w:tc>
          <w:tcPr>
            <w:tcW w:w="3360" w:type="dxa"/>
            <w:vAlign w:val="bottom"/>
          </w:tcPr>
          <w:p>
            <w:pPr>
              <w:ind w:left="300"/>
              <w:spacing w:after="0"/>
              <w:rPr>
                <w:sz w:val="20"/>
                <w:szCs w:val="20"/>
                <w:color w:val="auto"/>
              </w:rPr>
            </w:pPr>
            <w:r>
              <w:rPr>
                <w:rFonts w:ascii="Arial" w:cs="Arial" w:eastAsia="Arial" w:hAnsi="Arial"/>
                <w:sz w:val="14"/>
                <w:szCs w:val="14"/>
                <w:color w:val="auto"/>
              </w:rPr>
              <w:t>High Tech Industries</w:t>
            </w:r>
          </w:p>
        </w:tc>
        <w:tc>
          <w:tcPr>
            <w:tcW w:w="600" w:type="dxa"/>
            <w:vAlign w:val="bottom"/>
          </w:tcPr>
          <w:p>
            <w:pPr>
              <w:spacing w:after="0"/>
              <w:rPr>
                <w:sz w:val="15"/>
                <w:szCs w:val="15"/>
                <w:color w:val="auto"/>
              </w:rPr>
            </w:pPr>
          </w:p>
        </w:tc>
      </w:tr>
      <w:tr>
        <w:trPr>
          <w:trHeight w:val="385"/>
        </w:trPr>
        <w:tc>
          <w:tcPr>
            <w:tcW w:w="3360" w:type="dxa"/>
            <w:vAlign w:val="bottom"/>
          </w:tcPr>
          <w:p>
            <w:pPr>
              <w:spacing w:after="0"/>
              <w:rPr>
                <w:sz w:val="20"/>
                <w:szCs w:val="20"/>
                <w:color w:val="auto"/>
              </w:rPr>
            </w:pPr>
            <w:r>
              <w:rPr>
                <w:rFonts w:ascii="Arial" w:cs="Arial" w:eastAsia="Arial" w:hAnsi="Arial"/>
                <w:sz w:val="14"/>
                <w:szCs w:val="14"/>
                <w:color w:val="auto"/>
              </w:rPr>
              <w:t>BJ Services, LLC</w:t>
            </w:r>
          </w:p>
        </w:tc>
        <w:tc>
          <w:tcPr>
            <w:tcW w:w="600" w:type="dxa"/>
            <w:vAlign w:val="bottom"/>
          </w:tcPr>
          <w:p>
            <w:pPr>
              <w:jc w:val="right"/>
              <w:spacing w:after="0"/>
              <w:rPr>
                <w:sz w:val="20"/>
                <w:szCs w:val="20"/>
                <w:color w:val="auto"/>
              </w:rPr>
            </w:pPr>
            <w:r>
              <w:rPr>
                <w:rFonts w:ascii="Arial" w:cs="Arial" w:eastAsia="Arial" w:hAnsi="Arial"/>
                <w:sz w:val="12"/>
                <w:szCs w:val="12"/>
                <w:color w:val="auto"/>
              </w:rPr>
              <w:t>(8)(13)(14)</w:t>
            </w: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520 US-22, Bridgewater Township,</w:t>
            </w:r>
          </w:p>
        </w:tc>
        <w:tc>
          <w:tcPr>
            <w:tcW w:w="600" w:type="dxa"/>
            <w:vAlign w:val="bottom"/>
          </w:tcPr>
          <w:p>
            <w:pPr>
              <w:spacing w:after="0"/>
              <w:rPr>
                <w:sz w:val="12"/>
                <w:szCs w:val="12"/>
                <w:color w:val="auto"/>
              </w:rPr>
            </w:pPr>
          </w:p>
        </w:tc>
      </w:tr>
      <w:tr>
        <w:trPr>
          <w:trHeight w:val="148"/>
        </w:trPr>
        <w:tc>
          <w:tcPr>
            <w:tcW w:w="3360" w:type="dxa"/>
            <w:vAlign w:val="bottom"/>
          </w:tcPr>
          <w:p>
            <w:pPr>
              <w:ind w:left="160"/>
              <w:spacing w:after="0" w:line="149" w:lineRule="exact"/>
              <w:rPr>
                <w:sz w:val="20"/>
                <w:szCs w:val="20"/>
                <w:color w:val="auto"/>
              </w:rPr>
            </w:pPr>
            <w:r>
              <w:rPr>
                <w:rFonts w:ascii="Arial" w:cs="Arial" w:eastAsia="Arial" w:hAnsi="Arial"/>
                <w:sz w:val="14"/>
                <w:szCs w:val="14"/>
                <w:color w:val="auto"/>
              </w:rPr>
              <w:t>NJ 08807</w:t>
            </w:r>
          </w:p>
        </w:tc>
        <w:tc>
          <w:tcPr>
            <w:tcW w:w="600" w:type="dxa"/>
            <w:vAlign w:val="bottom"/>
          </w:tcPr>
          <w:p>
            <w:pPr>
              <w:spacing w:after="0"/>
              <w:rPr>
                <w:sz w:val="12"/>
                <w:szCs w:val="12"/>
                <w:color w:val="auto"/>
              </w:rPr>
            </w:pPr>
          </w:p>
        </w:tc>
      </w:tr>
      <w:tr>
        <w:trPr>
          <w:trHeight w:val="182"/>
        </w:trPr>
        <w:tc>
          <w:tcPr>
            <w:tcW w:w="3360" w:type="dxa"/>
            <w:vAlign w:val="bottom"/>
          </w:tcPr>
          <w:p>
            <w:pPr>
              <w:ind w:left="300"/>
              <w:spacing w:after="0"/>
              <w:rPr>
                <w:sz w:val="20"/>
                <w:szCs w:val="20"/>
                <w:color w:val="auto"/>
              </w:rPr>
            </w:pPr>
            <w:r>
              <w:rPr>
                <w:rFonts w:ascii="Arial" w:cs="Arial" w:eastAsia="Arial" w:hAnsi="Arial"/>
                <w:sz w:val="14"/>
                <w:szCs w:val="14"/>
                <w:color w:val="auto"/>
              </w:rPr>
              <w:t>Energy: Oil &amp; Gas</w:t>
            </w:r>
          </w:p>
        </w:tc>
        <w:tc>
          <w:tcPr>
            <w:tcW w:w="600" w:type="dxa"/>
            <w:vAlign w:val="bottom"/>
          </w:tcPr>
          <w:p>
            <w:pPr>
              <w:spacing w:after="0"/>
              <w:rPr>
                <w:sz w:val="15"/>
                <w:szCs w:val="15"/>
                <w:color w:val="auto"/>
              </w:rPr>
            </w:pPr>
          </w:p>
        </w:tc>
      </w:tr>
      <w:tr>
        <w:trPr>
          <w:trHeight w:val="236"/>
        </w:trPr>
        <w:tc>
          <w:tcPr>
            <w:tcW w:w="3360" w:type="dxa"/>
            <w:vAlign w:val="bottom"/>
          </w:tcPr>
          <w:p>
            <w:pPr>
              <w:spacing w:after="0"/>
              <w:rPr>
                <w:sz w:val="20"/>
                <w:szCs w:val="20"/>
                <w:color w:val="auto"/>
              </w:rPr>
            </w:pPr>
            <w:r>
              <w:rPr>
                <w:rFonts w:ascii="Arial" w:cs="Arial" w:eastAsia="Arial" w:hAnsi="Arial"/>
                <w:sz w:val="14"/>
                <w:szCs w:val="14"/>
                <w:color w:val="auto"/>
              </w:rPr>
              <w:t>BMC Acquisition, Inc.</w:t>
            </w:r>
          </w:p>
        </w:tc>
        <w:tc>
          <w:tcPr>
            <w:tcW w:w="600" w:type="dxa"/>
            <w:vAlign w:val="bottom"/>
          </w:tcPr>
          <w:p>
            <w:pPr>
              <w:jc w:val="right"/>
              <w:spacing w:after="0"/>
              <w:rPr>
                <w:sz w:val="20"/>
                <w:szCs w:val="20"/>
                <w:color w:val="auto"/>
              </w:rPr>
            </w:pPr>
            <w:r>
              <w:rPr>
                <w:rFonts w:ascii="Arial" w:cs="Arial" w:eastAsia="Arial" w:hAnsi="Arial"/>
                <w:sz w:val="12"/>
                <w:szCs w:val="12"/>
                <w:color w:val="auto"/>
              </w:rPr>
              <w:t>(8)(13)(14)</w:t>
            </w: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11211 FM 2920 Rd. Tomball, TX 77375</w:t>
            </w:r>
          </w:p>
        </w:tc>
        <w:tc>
          <w:tcPr>
            <w:tcW w:w="600" w:type="dxa"/>
            <w:vAlign w:val="bottom"/>
          </w:tcPr>
          <w:p>
            <w:pPr>
              <w:spacing w:after="0"/>
              <w:rPr>
                <w:sz w:val="12"/>
                <w:szCs w:val="12"/>
                <w:color w:val="auto"/>
              </w:rPr>
            </w:pPr>
          </w:p>
        </w:tc>
      </w:tr>
      <w:tr>
        <w:trPr>
          <w:trHeight w:val="148"/>
        </w:trPr>
        <w:tc>
          <w:tcPr>
            <w:tcW w:w="3360" w:type="dxa"/>
            <w:vAlign w:val="bottom"/>
          </w:tcPr>
          <w:p>
            <w:pPr>
              <w:ind w:left="300"/>
              <w:spacing w:after="0" w:line="149" w:lineRule="exact"/>
              <w:rPr>
                <w:sz w:val="20"/>
                <w:szCs w:val="20"/>
                <w:color w:val="auto"/>
              </w:rPr>
            </w:pPr>
            <w:r>
              <w:rPr>
                <w:rFonts w:ascii="Arial" w:cs="Arial" w:eastAsia="Arial" w:hAnsi="Arial"/>
                <w:sz w:val="14"/>
                <w:szCs w:val="14"/>
                <w:color w:val="auto"/>
              </w:rPr>
              <w:t>Banking, Finance, Insurance &amp;</w:t>
            </w:r>
          </w:p>
        </w:tc>
        <w:tc>
          <w:tcPr>
            <w:tcW w:w="600" w:type="dxa"/>
            <w:vAlign w:val="bottom"/>
          </w:tcPr>
          <w:p>
            <w:pPr>
              <w:spacing w:after="0"/>
              <w:rPr>
                <w:sz w:val="12"/>
                <w:szCs w:val="12"/>
                <w:color w:val="auto"/>
              </w:rPr>
            </w:pPr>
          </w:p>
        </w:tc>
      </w:tr>
      <w:tr>
        <w:trPr>
          <w:trHeight w:val="182"/>
        </w:trPr>
        <w:tc>
          <w:tcPr>
            <w:tcW w:w="3360" w:type="dxa"/>
            <w:vAlign w:val="bottom"/>
          </w:tcPr>
          <w:p>
            <w:pPr>
              <w:ind w:left="440"/>
              <w:spacing w:after="0"/>
              <w:rPr>
                <w:sz w:val="20"/>
                <w:szCs w:val="20"/>
                <w:color w:val="auto"/>
              </w:rPr>
            </w:pPr>
            <w:r>
              <w:rPr>
                <w:rFonts w:ascii="Arial" w:cs="Arial" w:eastAsia="Arial" w:hAnsi="Arial"/>
                <w:sz w:val="14"/>
                <w:szCs w:val="14"/>
                <w:color w:val="auto"/>
              </w:rPr>
              <w:t>Real Estate</w:t>
            </w:r>
          </w:p>
        </w:tc>
        <w:tc>
          <w:tcPr>
            <w:tcW w:w="6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3"/>
          <w:szCs w:val="13"/>
          <w:color w:val="auto"/>
        </w:rPr>
        <w:t>Senior Secured Loan — First Lien Term Loan 12.5% Cash, 1.0% PIK, 1 Month Libor</w:t>
      </w:r>
    </w:p>
    <w:p>
      <w:pPr>
        <w:ind w:right="120"/>
        <w:spacing w:after="0" w:line="237" w:lineRule="auto"/>
        <w:rPr>
          <w:sz w:val="20"/>
          <w:szCs w:val="20"/>
          <w:color w:val="auto"/>
        </w:rPr>
      </w:pPr>
      <w:r>
        <w:rPr>
          <w:rFonts w:ascii="Arial" w:cs="Arial" w:eastAsia="Arial" w:hAnsi="Arial"/>
          <w:sz w:val="14"/>
          <w:szCs w:val="14"/>
          <w:color w:val="auto"/>
        </w:rPr>
        <w:t>(2.25%) + 10.25%; Libor Floor 2.25%, Due 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67945</wp:posOffset>
            </wp:positionV>
            <wp:extent cx="7132320" cy="386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36" w:lineRule="exact"/>
        <w:rPr>
          <w:sz w:val="20"/>
          <w:szCs w:val="20"/>
          <w:color w:val="auto"/>
        </w:rPr>
      </w:pPr>
    </w:p>
    <w:p>
      <w:pPr>
        <w:jc w:val="both"/>
        <w:ind w:right="40"/>
        <w:spacing w:after="0" w:line="238" w:lineRule="auto"/>
        <w:rPr>
          <w:sz w:val="20"/>
          <w:szCs w:val="20"/>
          <w:color w:val="auto"/>
        </w:rPr>
      </w:pPr>
      <w:r>
        <w:rPr>
          <w:rFonts w:ascii="Arial" w:cs="Arial" w:eastAsia="Arial" w:hAnsi="Arial"/>
          <w:sz w:val="14"/>
          <w:szCs w:val="14"/>
          <w:color w:val="auto"/>
        </w:rPr>
        <w:t>Senior Secured Loan — First Out Term Loan 8.5% Cash, 3 Month Libor (1.50%) + 7.00%; Libor Floor 1.50%, Due 1/23</w:t>
      </w:r>
    </w:p>
    <w:p>
      <w:pPr>
        <w:spacing w:after="0" w:line="237"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Senior Secured Loan — Initial Term Loan 6.3% Cash, 6 Month Libor (1.00%) + 5.25%; Libor Floor 1.00%, Due 12/24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6/9/2021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5,815,855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5,432,830</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5,815,855</w:t>
            </w: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716"/>
        </w:trPr>
        <w:tc>
          <w:tcPr>
            <w:tcW w:w="760" w:type="dxa"/>
            <w:vAlign w:val="bottom"/>
          </w:tcPr>
          <w:p>
            <w:pPr>
              <w:jc w:val="right"/>
              <w:ind w:right="28"/>
              <w:spacing w:after="0"/>
              <w:rPr>
                <w:sz w:val="20"/>
                <w:szCs w:val="20"/>
                <w:color w:val="auto"/>
              </w:rPr>
            </w:pPr>
            <w:r>
              <w:rPr>
                <w:rFonts w:ascii="Arial" w:cs="Arial" w:eastAsia="Arial" w:hAnsi="Arial"/>
                <w:sz w:val="14"/>
                <w:szCs w:val="14"/>
                <w:color w:val="auto"/>
                <w:w w:val="91"/>
              </w:rPr>
              <w:t>10/28/2020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2,213,311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2,181,033</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2,213,311</w:t>
            </w:r>
          </w:p>
        </w:tc>
        <w:tc>
          <w:tcPr>
            <w:tcW w:w="50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715"/>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1/2/2018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2,895,000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2,894,145</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2,895,000</w:t>
            </w: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56" w:lineRule="exact"/>
        <w:rPr>
          <w:sz w:val="20"/>
          <w:szCs w:val="20"/>
          <w:color w:val="auto"/>
        </w:rPr>
      </w:pPr>
    </w:p>
    <w:p>
      <w:pPr>
        <w:sectPr>
          <w:pgSz w:w="11900" w:h="16838" w:orient="portrait"/>
          <w:cols w:equalWidth="0" w:num="3">
            <w:col w:w="3960" w:space="440"/>
            <w:col w:w="2660" w:space="220"/>
            <w:col w:w="396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Bristol Hospice</w:t>
            </w:r>
          </w:p>
        </w:tc>
        <w:tc>
          <w:tcPr>
            <w:tcW w:w="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(8)(13)(14)(21)</w:t>
            </w: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Senior Secured Loan — Delayed Draw Term</w:t>
            </w: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w w:val="95"/>
              </w:rPr>
              <w:t>12404 Park Central Drive, Suite 400S Dallas, TX, 75251</w:t>
            </w:r>
          </w:p>
        </w:tc>
        <w:tc>
          <w:tcPr>
            <w:tcW w:w="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(23)</w:t>
            </w:r>
          </w:p>
        </w:tc>
        <w:tc>
          <w:tcPr>
            <w:tcW w:w="290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Healthcare &amp; Pharmaceuticals</w:t>
            </w:r>
          </w:p>
        </w:tc>
        <w:tc>
          <w:tcPr>
            <w:tcW w:w="940" w:type="dxa"/>
            <w:vAlign w:val="bottom"/>
            <w:shd w:val="clear" w:color="auto" w:fill="CCEEFF"/>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 Cash, Due 12/26</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12/22/2020</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(7,503)</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(2,055)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Arial" w:cs="Arial" w:eastAsia="Arial" w:hAnsi="Arial"/>
                <w:sz w:val="14"/>
                <w:szCs w:val="14"/>
                <w:color w:val="auto"/>
              </w:rPr>
              <w:t>Bristol Hospice</w:t>
            </w:r>
          </w:p>
        </w:tc>
        <w:tc>
          <w:tcPr>
            <w:tcW w:w="940" w:type="dxa"/>
            <w:vAlign w:val="bottom"/>
          </w:tcPr>
          <w:p>
            <w:pPr>
              <w:ind w:left="80"/>
              <w:spacing w:after="0"/>
              <w:rPr>
                <w:sz w:val="20"/>
                <w:szCs w:val="20"/>
                <w:color w:val="auto"/>
              </w:rPr>
            </w:pPr>
            <w:r>
              <w:rPr>
                <w:rFonts w:ascii="Arial" w:cs="Arial" w:eastAsia="Arial" w:hAnsi="Arial"/>
                <w:sz w:val="12"/>
                <w:szCs w:val="12"/>
                <w:color w:val="auto"/>
              </w:rPr>
              <w:t>(8)(13)(14)(21)</w:t>
            </w:r>
          </w:p>
        </w:tc>
        <w:tc>
          <w:tcPr>
            <w:tcW w:w="2900" w:type="dxa"/>
            <w:vAlign w:val="bottom"/>
          </w:tcPr>
          <w:p>
            <w:pPr>
              <w:ind w:left="120"/>
              <w:spacing w:after="0"/>
              <w:rPr>
                <w:sz w:val="20"/>
                <w:szCs w:val="20"/>
                <w:color w:val="auto"/>
              </w:rPr>
            </w:pPr>
            <w:r>
              <w:rPr>
                <w:rFonts w:ascii="Arial" w:cs="Arial" w:eastAsia="Arial" w:hAnsi="Arial"/>
                <w:sz w:val="14"/>
                <w:szCs w:val="14"/>
                <w:color w:val="auto"/>
              </w:rPr>
              <w:t>Senior Secured Loan — Unitranche</w:t>
            </w: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w w:val="95"/>
              </w:rPr>
              <w:t>12404 Park Central Drive, Suite 400S Dallas, TX, 75251</w:t>
            </w:r>
          </w:p>
        </w:tc>
        <w:tc>
          <w:tcPr>
            <w:tcW w:w="940" w:type="dxa"/>
            <w:vAlign w:val="bottom"/>
          </w:tcPr>
          <w:p>
            <w:pPr>
              <w:spacing w:after="0"/>
              <w:rPr>
                <w:sz w:val="12"/>
                <w:szCs w:val="12"/>
                <w:color w:val="auto"/>
              </w:rPr>
            </w:pPr>
          </w:p>
        </w:tc>
        <w:tc>
          <w:tcPr>
            <w:tcW w:w="2900" w:type="dxa"/>
            <w:vAlign w:val="bottom"/>
          </w:tcPr>
          <w:p>
            <w:pPr>
              <w:ind w:left="120"/>
              <w:spacing w:after="0" w:line="149" w:lineRule="exact"/>
              <w:rPr>
                <w:sz w:val="20"/>
                <w:szCs w:val="20"/>
                <w:color w:val="auto"/>
              </w:rPr>
            </w:pPr>
            <w:r>
              <w:rPr>
                <w:rFonts w:ascii="Arial" w:cs="Arial" w:eastAsia="Arial" w:hAnsi="Arial"/>
                <w:sz w:val="14"/>
                <w:szCs w:val="14"/>
                <w:color w:val="auto"/>
              </w:rPr>
              <w:t>6.3% Cash, 1 Month Libor (1.00%) + 5.25%;</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00"/>
              <w:spacing w:after="0"/>
              <w:rPr>
                <w:sz w:val="20"/>
                <w:szCs w:val="20"/>
                <w:color w:val="auto"/>
              </w:rPr>
            </w:pPr>
            <w:r>
              <w:rPr>
                <w:rFonts w:ascii="Arial" w:cs="Arial" w:eastAsia="Arial" w:hAnsi="Arial"/>
                <w:sz w:val="14"/>
                <w:szCs w:val="14"/>
                <w:color w:val="auto"/>
              </w:rPr>
              <w:t>Healthcare &amp; Pharmaceuticals</w:t>
            </w:r>
          </w:p>
        </w:tc>
        <w:tc>
          <w:tcPr>
            <w:tcW w:w="940" w:type="dxa"/>
            <w:vAlign w:val="bottom"/>
          </w:tcPr>
          <w:p>
            <w:pPr>
              <w:spacing w:after="0"/>
              <w:rPr>
                <w:sz w:val="17"/>
                <w:szCs w:val="17"/>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Libor Floor 1.00%, Due 12/26</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12/22/2020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2,167,192</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2,127,626</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2,161,774</w:t>
            </w:r>
          </w:p>
        </w:tc>
        <w:tc>
          <w:tcPr>
            <w:tcW w:w="5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C.P. Converters, Inc.</w:t>
            </w:r>
          </w:p>
        </w:tc>
        <w:tc>
          <w:tcPr>
            <w:tcW w:w="94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(8)(13)(14)</w:t>
            </w:r>
          </w:p>
        </w:tc>
        <w:tc>
          <w:tcPr>
            <w:tcW w:w="29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Senior Secured Loan — Seventh Amendment</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206 North 2100 West, Ste 202, Salt</w:t>
            </w:r>
          </w:p>
        </w:tc>
        <w:tc>
          <w:tcPr>
            <w:tcW w:w="940" w:type="dxa"/>
            <w:vAlign w:val="bottom"/>
            <w:shd w:val="clear" w:color="auto" w:fill="CCEEFF"/>
          </w:tcPr>
          <w:p>
            <w:pPr>
              <w:spacing w:after="0"/>
              <w:rPr>
                <w:sz w:val="12"/>
                <w:szCs w:val="12"/>
                <w:color w:val="auto"/>
              </w:rPr>
            </w:pPr>
          </w:p>
        </w:tc>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Loan</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Lake City, UT 84116</w:t>
            </w:r>
          </w:p>
        </w:tc>
        <w:tc>
          <w:tcPr>
            <w:tcW w:w="940" w:type="dxa"/>
            <w:vAlign w:val="bottom"/>
            <w:shd w:val="clear" w:color="auto" w:fill="CCEEFF"/>
          </w:tcPr>
          <w:p>
            <w:pPr>
              <w:spacing w:after="0"/>
              <w:rPr>
                <w:sz w:val="12"/>
                <w:szCs w:val="12"/>
                <w:color w:val="auto"/>
              </w:rPr>
            </w:pPr>
          </w:p>
        </w:tc>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7.5% Cash, 3 Month Libor (1.00%) + 6.50%;</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Chemicals, Plastics &amp; Rubber</w:t>
            </w:r>
          </w:p>
        </w:tc>
        <w:tc>
          <w:tcPr>
            <w:tcW w:w="940" w:type="dxa"/>
            <w:vAlign w:val="bottom"/>
            <w:shd w:val="clear" w:color="auto" w:fill="CCEEFF"/>
          </w:tcPr>
          <w:p>
            <w:pPr>
              <w:spacing w:after="0"/>
              <w:rPr>
                <w:sz w:val="15"/>
                <w:szCs w:val="15"/>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Libor Floor 1.00%, Due 6/23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6/26/2020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2,925,000</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2,876,765</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2,925,000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Arial" w:cs="Arial" w:eastAsia="Arial" w:hAnsi="Arial"/>
                <w:sz w:val="14"/>
                <w:szCs w:val="14"/>
                <w:color w:val="auto"/>
              </w:rPr>
              <w:t>Carestream Health, Inc.</w:t>
            </w:r>
          </w:p>
        </w:tc>
        <w:tc>
          <w:tcPr>
            <w:tcW w:w="940" w:type="dxa"/>
            <w:vAlign w:val="bottom"/>
          </w:tcPr>
          <w:p>
            <w:pPr>
              <w:ind w:left="80"/>
              <w:spacing w:after="0"/>
              <w:rPr>
                <w:sz w:val="20"/>
                <w:szCs w:val="20"/>
                <w:color w:val="auto"/>
              </w:rPr>
            </w:pPr>
            <w:r>
              <w:rPr>
                <w:rFonts w:ascii="Arial" w:cs="Arial" w:eastAsia="Arial" w:hAnsi="Arial"/>
                <w:sz w:val="12"/>
                <w:szCs w:val="12"/>
                <w:color w:val="auto"/>
              </w:rPr>
              <w:t>(8)(14)</w:t>
            </w:r>
          </w:p>
        </w:tc>
        <w:tc>
          <w:tcPr>
            <w:tcW w:w="2900" w:type="dxa"/>
            <w:vAlign w:val="bottom"/>
          </w:tcPr>
          <w:p>
            <w:pPr>
              <w:ind w:left="120"/>
              <w:spacing w:after="0"/>
              <w:rPr>
                <w:sz w:val="20"/>
                <w:szCs w:val="20"/>
                <w:color w:val="auto"/>
              </w:rPr>
            </w:pPr>
            <w:r>
              <w:rPr>
                <w:rFonts w:ascii="Arial" w:cs="Arial" w:eastAsia="Arial" w:hAnsi="Arial"/>
                <w:sz w:val="14"/>
                <w:szCs w:val="14"/>
                <w:color w:val="auto"/>
                <w:w w:val="97"/>
              </w:rPr>
              <w:t>Junior Secured Loan — 2023 Extended Term</w:t>
            </w: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15 Grumbacher Rd, York, PA 17406</w:t>
            </w:r>
          </w:p>
        </w:tc>
        <w:tc>
          <w:tcPr>
            <w:tcW w:w="940" w:type="dxa"/>
            <w:vAlign w:val="bottom"/>
          </w:tcPr>
          <w:p>
            <w:pPr>
              <w:spacing w:after="0"/>
              <w:rPr>
                <w:sz w:val="12"/>
                <w:szCs w:val="12"/>
                <w:color w:val="auto"/>
              </w:rPr>
            </w:pPr>
          </w:p>
        </w:tc>
        <w:tc>
          <w:tcPr>
            <w:tcW w:w="2900" w:type="dxa"/>
            <w:vAlign w:val="bottom"/>
          </w:tcPr>
          <w:p>
            <w:pPr>
              <w:ind w:left="120"/>
              <w:spacing w:after="0" w:line="149" w:lineRule="exact"/>
              <w:rPr>
                <w:sz w:val="20"/>
                <w:szCs w:val="20"/>
                <w:color w:val="auto"/>
              </w:rPr>
            </w:pPr>
            <w:r>
              <w:rPr>
                <w:rFonts w:ascii="Arial" w:cs="Arial" w:eastAsia="Arial" w:hAnsi="Arial"/>
                <w:sz w:val="14"/>
                <w:szCs w:val="14"/>
                <w:color w:val="auto"/>
              </w:rPr>
              <w:t>Loan (Second Lien)</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ind w:left="300"/>
              <w:spacing w:after="0" w:line="149" w:lineRule="exact"/>
              <w:rPr>
                <w:sz w:val="20"/>
                <w:szCs w:val="20"/>
                <w:color w:val="auto"/>
              </w:rPr>
            </w:pPr>
            <w:r>
              <w:rPr>
                <w:rFonts w:ascii="Arial" w:cs="Arial" w:eastAsia="Arial" w:hAnsi="Arial"/>
                <w:sz w:val="14"/>
                <w:szCs w:val="14"/>
                <w:color w:val="auto"/>
              </w:rPr>
              <w:t>Healthcare &amp; Pharmaceuticals</w:t>
            </w:r>
          </w:p>
        </w:tc>
        <w:tc>
          <w:tcPr>
            <w:tcW w:w="940" w:type="dxa"/>
            <w:vAlign w:val="bottom"/>
          </w:tcPr>
          <w:p>
            <w:pPr>
              <w:spacing w:after="0"/>
              <w:rPr>
                <w:sz w:val="12"/>
                <w:szCs w:val="12"/>
                <w:color w:val="auto"/>
              </w:rPr>
            </w:pPr>
          </w:p>
        </w:tc>
        <w:tc>
          <w:tcPr>
            <w:tcW w:w="2900" w:type="dxa"/>
            <w:vAlign w:val="bottom"/>
          </w:tcPr>
          <w:p>
            <w:pPr>
              <w:ind w:left="120"/>
              <w:spacing w:after="0" w:line="149" w:lineRule="exact"/>
              <w:rPr>
                <w:sz w:val="20"/>
                <w:szCs w:val="20"/>
                <w:color w:val="auto"/>
              </w:rPr>
            </w:pPr>
            <w:r>
              <w:rPr>
                <w:rFonts w:ascii="Arial" w:cs="Arial" w:eastAsia="Arial" w:hAnsi="Arial"/>
                <w:sz w:val="14"/>
                <w:szCs w:val="14"/>
                <w:color w:val="auto"/>
                <w:w w:val="98"/>
              </w:rPr>
              <w:t>5.5% Cash, 9.0% PIK, 6 Month Libor (1.00%)</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+ 4.50%; Libor Floor 1.00%, Due 8/23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5/8/2020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1,695,718</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1,554,170</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1,665,339</w:t>
            </w:r>
          </w:p>
        </w:tc>
        <w:tc>
          <w:tcPr>
            <w:tcW w:w="5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Centric Brands Inc.</w:t>
            </w:r>
          </w:p>
        </w:tc>
        <w:tc>
          <w:tcPr>
            <w:tcW w:w="94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(8)(13)(14)</w:t>
            </w:r>
          </w:p>
        </w:tc>
        <w:tc>
          <w:tcPr>
            <w:tcW w:w="29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Loan — Term Loan</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150 Verona Street, Rochester, NY 14608</w:t>
            </w:r>
          </w:p>
        </w:tc>
        <w:tc>
          <w:tcPr>
            <w:tcW w:w="940" w:type="dxa"/>
            <w:vAlign w:val="bottom"/>
            <w:shd w:val="clear" w:color="auto" w:fill="CCEEFF"/>
          </w:tcPr>
          <w:p>
            <w:pPr>
              <w:spacing w:after="0"/>
              <w:rPr>
                <w:sz w:val="12"/>
                <w:szCs w:val="12"/>
                <w:color w:val="auto"/>
              </w:rPr>
            </w:pPr>
          </w:p>
        </w:tc>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10.0% PIK, Due 10/25</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Machinery (Non-Agrclt/Constr/Electr)</w:t>
            </w:r>
          </w:p>
        </w:tc>
        <w:tc>
          <w:tcPr>
            <w:tcW w:w="94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10/28/2020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8,405,426</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6,870,868</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7,791,830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Arial" w:cs="Arial" w:eastAsia="Arial" w:hAnsi="Arial"/>
                <w:sz w:val="14"/>
                <w:szCs w:val="14"/>
                <w:color w:val="auto"/>
              </w:rPr>
              <w:t>Centric Brands Inc.</w:t>
            </w:r>
          </w:p>
        </w:tc>
        <w:tc>
          <w:tcPr>
            <w:tcW w:w="940" w:type="dxa"/>
            <w:vAlign w:val="bottom"/>
          </w:tcPr>
          <w:p>
            <w:pPr>
              <w:ind w:left="80"/>
              <w:spacing w:after="0"/>
              <w:rPr>
                <w:sz w:val="20"/>
                <w:szCs w:val="20"/>
                <w:color w:val="auto"/>
              </w:rPr>
            </w:pPr>
            <w:r>
              <w:rPr>
                <w:rFonts w:ascii="Arial" w:cs="Arial" w:eastAsia="Arial" w:hAnsi="Arial"/>
                <w:sz w:val="12"/>
                <w:szCs w:val="12"/>
                <w:color w:val="auto"/>
              </w:rPr>
              <w:t>(8)(13)(14)(23)</w:t>
            </w:r>
          </w:p>
        </w:tc>
        <w:tc>
          <w:tcPr>
            <w:tcW w:w="2900" w:type="dxa"/>
            <w:vAlign w:val="bottom"/>
          </w:tcPr>
          <w:p>
            <w:pPr>
              <w:ind w:left="120"/>
              <w:spacing w:after="0"/>
              <w:rPr>
                <w:sz w:val="20"/>
                <w:szCs w:val="20"/>
                <w:color w:val="auto"/>
              </w:rPr>
            </w:pPr>
            <w:r>
              <w:rPr>
                <w:rFonts w:ascii="Arial" w:cs="Arial" w:eastAsia="Arial" w:hAnsi="Arial"/>
                <w:sz w:val="14"/>
                <w:szCs w:val="14"/>
                <w:color w:val="auto"/>
              </w:rPr>
              <w:t>Senior Secured Loan — Revolver</w:t>
            </w: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150 Verona Street, Rochester, NY 14608</w:t>
            </w:r>
          </w:p>
        </w:tc>
        <w:tc>
          <w:tcPr>
            <w:tcW w:w="940" w:type="dxa"/>
            <w:vAlign w:val="bottom"/>
          </w:tcPr>
          <w:p>
            <w:pPr>
              <w:spacing w:after="0"/>
              <w:rPr>
                <w:sz w:val="12"/>
                <w:szCs w:val="12"/>
                <w:color w:val="auto"/>
              </w:rPr>
            </w:pPr>
          </w:p>
        </w:tc>
        <w:tc>
          <w:tcPr>
            <w:tcW w:w="2900" w:type="dxa"/>
            <w:vAlign w:val="bottom"/>
          </w:tcPr>
          <w:p>
            <w:pPr>
              <w:ind w:left="120"/>
              <w:spacing w:after="0" w:line="149" w:lineRule="exact"/>
              <w:rPr>
                <w:sz w:val="20"/>
                <w:szCs w:val="20"/>
                <w:color w:val="auto"/>
              </w:rPr>
            </w:pPr>
            <w:r>
              <w:rPr>
                <w:rFonts w:ascii="Arial" w:cs="Arial" w:eastAsia="Arial" w:hAnsi="Arial"/>
                <w:sz w:val="14"/>
                <w:szCs w:val="14"/>
                <w:color w:val="auto"/>
              </w:rPr>
              <w:t>6.5% Cash, 6 Month Libor (1.00%) + 5.50%;</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00"/>
              <w:spacing w:after="0"/>
              <w:rPr>
                <w:sz w:val="20"/>
                <w:szCs w:val="20"/>
                <w:color w:val="auto"/>
              </w:rPr>
            </w:pPr>
            <w:r>
              <w:rPr>
                <w:rFonts w:ascii="Arial" w:cs="Arial" w:eastAsia="Arial" w:hAnsi="Arial"/>
                <w:sz w:val="14"/>
                <w:szCs w:val="14"/>
                <w:color w:val="auto"/>
              </w:rPr>
              <w:t>Machinery (Non-Agrclt/Constr/Electr)</w:t>
            </w:r>
          </w:p>
        </w:tc>
        <w:tc>
          <w:tcPr>
            <w:tcW w:w="940" w:type="dxa"/>
            <w:vAlign w:val="bottom"/>
          </w:tcPr>
          <w:p>
            <w:pPr>
              <w:spacing w:after="0"/>
              <w:rPr>
                <w:sz w:val="17"/>
                <w:szCs w:val="17"/>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Libor Floor 1.00%, Due 10/24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10/28/2020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377,160</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317,055</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377,160</w:t>
            </w:r>
          </w:p>
        </w:tc>
        <w:tc>
          <w:tcPr>
            <w:tcW w:w="5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Child Development Schools, Inc.</w:t>
            </w:r>
          </w:p>
        </w:tc>
        <w:tc>
          <w:tcPr>
            <w:tcW w:w="94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(8)(13)(14)</w:t>
            </w:r>
          </w:p>
        </w:tc>
        <w:tc>
          <w:tcPr>
            <w:tcW w:w="29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34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350 Fifth Ave, Empire State Building, 6th Floor New</w:t>
            </w:r>
          </w:p>
        </w:tc>
        <w:tc>
          <w:tcPr>
            <w:tcW w:w="94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900" w:type="dxa"/>
            <w:vAlign w:val="bottom"/>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rPr>
              <w:t>5.3% Cash, 3 Month Libor (1.00%) + 4.25%;</w:t>
            </w:r>
          </w:p>
        </w:tc>
        <w:tc>
          <w:tcPr>
            <w:tcW w:w="8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340" w:type="dxa"/>
            <w:vAlign w:val="bottom"/>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York, NY 10118</w:t>
            </w:r>
          </w:p>
        </w:tc>
        <w:tc>
          <w:tcPr>
            <w:tcW w:w="94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9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Libor Floor 1.00%, Due 5/23</w:t>
            </w:r>
          </w:p>
        </w:tc>
        <w:tc>
          <w:tcPr>
            <w:tcW w:w="8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34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rPr>
              <w:t>Services: Consumer</w:t>
            </w:r>
          </w:p>
        </w:tc>
        <w:tc>
          <w:tcPr>
            <w:tcW w:w="940" w:type="dxa"/>
            <w:vAlign w:val="bottom"/>
            <w:shd w:val="clear" w:color="auto" w:fill="CCEEFF"/>
          </w:tcPr>
          <w:p>
            <w:pPr>
              <w:spacing w:after="0"/>
              <w:rPr>
                <w:sz w:val="8"/>
                <w:szCs w:val="8"/>
                <w:color w:val="auto"/>
              </w:rPr>
            </w:pPr>
          </w:p>
        </w:tc>
        <w:tc>
          <w:tcPr>
            <w:tcW w:w="2900" w:type="dxa"/>
            <w:vAlign w:val="bottom"/>
            <w:vMerge w:val="continue"/>
            <w:shd w:val="clear" w:color="auto" w:fill="CCEEFF"/>
          </w:tcPr>
          <w:p>
            <w:pPr>
              <w:spacing w:after="0"/>
              <w:rPr>
                <w:sz w:val="8"/>
                <w:szCs w:val="8"/>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6/6/2018</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3,840,200</w:t>
            </w:r>
          </w:p>
        </w:tc>
        <w:tc>
          <w:tcPr>
            <w:tcW w:w="9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3,836,548</w:t>
            </w:r>
          </w:p>
        </w:tc>
        <w:tc>
          <w:tcPr>
            <w:tcW w:w="9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3,835,592</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3340" w:type="dxa"/>
            <w:vAlign w:val="bottom"/>
            <w:vMerge w:val="continue"/>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Amortized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02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vMerge w:val="continue"/>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2</w:t>
            </w:r>
          </w:p>
        </w:tc>
        <w:tc>
          <w:tcPr>
            <w:tcW w:w="6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Interest Rate¹ / Maturity</w:t>
            </w:r>
            <w:r>
              <w:rPr>
                <w:rFonts w:ascii="Arial" w:cs="Arial" w:eastAsia="Arial" w:hAnsi="Arial"/>
                <w:sz w:val="12"/>
                <w:szCs w:val="12"/>
                <w:b w:val="1"/>
                <w:bCs w:val="1"/>
                <w:color w:val="auto"/>
                <w:w w:val="97"/>
              </w:rPr>
              <w:t>15</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gridSpan w:val="2"/>
            <w:vMerge w:val="continue"/>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80" w:type="dxa"/>
            <w:vAlign w:val="bottom"/>
            <w:gridSpan w:val="2"/>
            <w:vMerge w:val="continue"/>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94"/>
        </w:trPr>
        <w:tc>
          <w:tcPr>
            <w:tcW w:w="1140" w:type="dxa"/>
            <w:vAlign w:val="bottom"/>
            <w:tcBorders>
              <w:top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Circustrix Holdings, LLC</w:t>
            </w:r>
          </w:p>
        </w:tc>
        <w:tc>
          <w:tcPr>
            <w:tcW w:w="92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(8)(13)(14)</w:t>
            </w:r>
          </w:p>
        </w:tc>
        <w:tc>
          <w:tcPr>
            <w:tcW w:w="32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Loan — Term Loan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4055 Valley View Ln Ste 400 Dallas,</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6.5% Cash, 2.5% PIK, 1 Month Libor (1.00%)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TX 75244</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5.50%; Libor Floor 1.00%, Due 7/23</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Banking, Finance, Insurance &amp;</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Real Estate</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1/29/2021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576,652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576,652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576,652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Arial" w:cs="Arial" w:eastAsia="Arial" w:hAnsi="Arial"/>
                <w:sz w:val="14"/>
                <w:szCs w:val="14"/>
                <w:color w:val="auto"/>
              </w:rPr>
              <w:t>Circustrix Holdings, LLC</w:t>
            </w:r>
          </w:p>
        </w:tc>
        <w:tc>
          <w:tcPr>
            <w:tcW w:w="920" w:type="dxa"/>
            <w:vAlign w:val="bottom"/>
          </w:tcPr>
          <w:p>
            <w:pPr>
              <w:ind w:left="60"/>
              <w:spacing w:after="0"/>
              <w:rPr>
                <w:sz w:val="20"/>
                <w:szCs w:val="20"/>
                <w:color w:val="auto"/>
              </w:rPr>
            </w:pPr>
            <w:r>
              <w:rPr>
                <w:rFonts w:ascii="Arial" w:cs="Arial" w:eastAsia="Arial" w:hAnsi="Arial"/>
                <w:sz w:val="12"/>
                <w:szCs w:val="12"/>
                <w:color w:val="auto"/>
              </w:rPr>
              <w:t>(8)(13)(14)(23)</w:t>
            </w:r>
          </w:p>
        </w:tc>
        <w:tc>
          <w:tcPr>
            <w:tcW w:w="3260" w:type="dxa"/>
            <w:vAlign w:val="bottom"/>
            <w:gridSpan w:val="3"/>
          </w:tcPr>
          <w:p>
            <w:pPr>
              <w:ind w:left="140"/>
              <w:spacing w:after="0"/>
              <w:rPr>
                <w:sz w:val="20"/>
                <w:szCs w:val="20"/>
                <w:color w:val="auto"/>
              </w:rPr>
            </w:pPr>
            <w:r>
              <w:rPr>
                <w:rFonts w:ascii="Arial" w:cs="Arial" w:eastAsia="Arial" w:hAnsi="Arial"/>
                <w:sz w:val="14"/>
                <w:szCs w:val="14"/>
                <w:color w:val="auto"/>
                <w:w w:val="99"/>
              </w:rPr>
              <w:t>Senior Secured Loan — Delayed Draw Term Loan</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4055 Valley View Ln Ste 400 Dallas,</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6.5% Cash, 2.5% PIK, Due 7/23</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TX 75244</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Banking, Finance, Insurance &amp;</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20" w:type="dxa"/>
            <w:vAlign w:val="bottom"/>
            <w:gridSpan w:val="2"/>
          </w:tcPr>
          <w:p>
            <w:pPr>
              <w:ind w:left="440"/>
              <w:spacing w:after="0"/>
              <w:rPr>
                <w:sz w:val="20"/>
                <w:szCs w:val="20"/>
                <w:color w:val="auto"/>
              </w:rPr>
            </w:pPr>
            <w:r>
              <w:rPr>
                <w:rFonts w:ascii="Arial" w:cs="Arial" w:eastAsia="Arial" w:hAnsi="Arial"/>
                <w:sz w:val="14"/>
                <w:szCs w:val="14"/>
                <w:color w:val="auto"/>
              </w:rPr>
              <w:t>Real Estate</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1/11/2021</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465,404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465,404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465,404</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Circustrix Holdings, LLC</w:t>
            </w:r>
          </w:p>
        </w:tc>
        <w:tc>
          <w:tcPr>
            <w:tcW w:w="92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(8)(13)(14)</w:t>
            </w:r>
          </w:p>
        </w:tc>
        <w:tc>
          <w:tcPr>
            <w:tcW w:w="32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Loan — First Lien Term Loan B</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4055 Valley View Ln Ste 400 Dallas,</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6.5% Cash, 2.5% PIK, 1 Month Libor (1.00%) +</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TX 75244</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5.50%; Libor Floor 1.00%, Due 1/22</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Banking, Finance, Insurance &amp;</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Real Estate</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6,583,331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4,729,000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5,547,115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Arial" w:cs="Arial" w:eastAsia="Arial" w:hAnsi="Arial"/>
                <w:sz w:val="14"/>
                <w:szCs w:val="14"/>
                <w:color w:val="auto"/>
              </w:rPr>
              <w:t>Coastal Screen and Rail, LLC</w:t>
            </w:r>
          </w:p>
        </w:tc>
        <w:tc>
          <w:tcPr>
            <w:tcW w:w="920" w:type="dxa"/>
            <w:vAlign w:val="bottom"/>
          </w:tcPr>
          <w:p>
            <w:pPr>
              <w:ind w:left="60"/>
              <w:spacing w:after="0"/>
              <w:rPr>
                <w:sz w:val="20"/>
                <w:szCs w:val="20"/>
                <w:color w:val="auto"/>
              </w:rPr>
            </w:pPr>
            <w:r>
              <w:rPr>
                <w:rFonts w:ascii="Arial" w:cs="Arial" w:eastAsia="Arial" w:hAnsi="Arial"/>
                <w:sz w:val="12"/>
                <w:szCs w:val="12"/>
                <w:color w:val="auto"/>
              </w:rPr>
              <w:t>(8)(13)(23)</w:t>
            </w:r>
          </w:p>
        </w:tc>
        <w:tc>
          <w:tcPr>
            <w:tcW w:w="3260" w:type="dxa"/>
            <w:vAlign w:val="bottom"/>
            <w:gridSpan w:val="3"/>
          </w:tcPr>
          <w:p>
            <w:pPr>
              <w:ind w:left="140"/>
              <w:spacing w:after="0"/>
              <w:rPr>
                <w:sz w:val="20"/>
                <w:szCs w:val="20"/>
                <w:color w:val="auto"/>
              </w:rPr>
            </w:pPr>
            <w:r>
              <w:rPr>
                <w:rFonts w:ascii="Arial" w:cs="Arial" w:eastAsia="Arial" w:hAnsi="Arial"/>
                <w:sz w:val="14"/>
                <w:szCs w:val="14"/>
                <w:color w:val="auto"/>
              </w:rPr>
              <w:t>Senior Secured Loan — Revolver</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1127 Poinsettia Dr., Delray Beach,</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8.2% Cash, 3 Month Libor (0.15%) + 8.00%, Due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FL 33444</w:t>
            </w:r>
          </w:p>
        </w:tc>
        <w:tc>
          <w:tcPr>
            <w:tcW w:w="920" w:type="dxa"/>
            <w:vAlign w:val="bottom"/>
          </w:tcPr>
          <w:p>
            <w:pPr>
              <w:spacing w:after="0"/>
              <w:rPr>
                <w:sz w:val="12"/>
                <w:szCs w:val="12"/>
                <w:color w:val="auto"/>
              </w:rPr>
            </w:pPr>
          </w:p>
        </w:tc>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7/22</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ind w:left="300"/>
              <w:spacing w:after="0"/>
              <w:rPr>
                <w:sz w:val="20"/>
                <w:szCs w:val="20"/>
                <w:color w:val="auto"/>
              </w:rPr>
            </w:pPr>
            <w:r>
              <w:rPr>
                <w:rFonts w:ascii="Arial" w:cs="Arial" w:eastAsia="Arial" w:hAnsi="Arial"/>
                <w:sz w:val="14"/>
                <w:szCs w:val="14"/>
                <w:color w:val="auto"/>
              </w:rPr>
              <w:t>Construction &amp; Building</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100,000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93,745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100,000</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Coastal Screen and Rail, LLC</w:t>
            </w:r>
          </w:p>
        </w:tc>
        <w:tc>
          <w:tcPr>
            <w:tcW w:w="92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(8)(13)(24)</w:t>
            </w:r>
          </w:p>
        </w:tc>
        <w:tc>
          <w:tcPr>
            <w:tcW w:w="32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Loan — First Lien Term Loan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1127 Poinsettia Dr., Delray Beach,</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10.5% Cash, 1.5% PIK, Due 1/23</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FL 33444</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Construction &amp; Building</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6/9/2021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7,079,184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6,612,621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7,079,184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Arial" w:cs="Arial" w:eastAsia="Arial" w:hAnsi="Arial"/>
                <w:sz w:val="14"/>
                <w:szCs w:val="14"/>
                <w:color w:val="auto"/>
              </w:rPr>
              <w:t>Convergeone Holdings Corp.</w:t>
            </w:r>
          </w:p>
        </w:tc>
        <w:tc>
          <w:tcPr>
            <w:tcW w:w="920" w:type="dxa"/>
            <w:vAlign w:val="bottom"/>
          </w:tcPr>
          <w:p>
            <w:pPr>
              <w:ind w:left="60"/>
              <w:spacing w:after="0"/>
              <w:rPr>
                <w:sz w:val="20"/>
                <w:szCs w:val="20"/>
                <w:color w:val="auto"/>
              </w:rPr>
            </w:pPr>
            <w:r>
              <w:rPr>
                <w:rFonts w:ascii="Arial" w:cs="Arial" w:eastAsia="Arial" w:hAnsi="Arial"/>
                <w:sz w:val="12"/>
                <w:szCs w:val="12"/>
                <w:color w:val="auto"/>
              </w:rPr>
              <w:t>(8)(14)</w:t>
            </w:r>
          </w:p>
        </w:tc>
        <w:tc>
          <w:tcPr>
            <w:tcW w:w="3260" w:type="dxa"/>
            <w:vAlign w:val="bottom"/>
            <w:gridSpan w:val="3"/>
          </w:tcPr>
          <w:p>
            <w:pPr>
              <w:ind w:left="140"/>
              <w:spacing w:after="0"/>
              <w:rPr>
                <w:sz w:val="20"/>
                <w:szCs w:val="20"/>
                <w:color w:val="auto"/>
              </w:rPr>
            </w:pPr>
            <w:r>
              <w:rPr>
                <w:rFonts w:ascii="Arial" w:cs="Arial" w:eastAsia="Arial" w:hAnsi="Arial"/>
                <w:sz w:val="14"/>
                <w:szCs w:val="14"/>
                <w:color w:val="auto"/>
              </w:rPr>
              <w:t>Senior Secured Loan — First Lien Term Loan</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w w:val="96"/>
              </w:rPr>
              <w:t>2711 Centerville Road, Suite 400, Wilmington, DE</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5.1% Cash, 1 Month Libor (0.10%) + 5.00%, Due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19808</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ind w:left="300"/>
              <w:spacing w:after="0"/>
              <w:rPr>
                <w:sz w:val="20"/>
                <w:szCs w:val="20"/>
                <w:color w:val="auto"/>
              </w:rPr>
            </w:pPr>
            <w:r>
              <w:rPr>
                <w:rFonts w:ascii="Arial" w:cs="Arial" w:eastAsia="Arial" w:hAnsi="Arial"/>
                <w:sz w:val="14"/>
                <w:szCs w:val="14"/>
                <w:color w:val="auto"/>
              </w:rPr>
              <w:t>Electronics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2,156,993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1,773,926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2,137,871</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Datalink, LLC</w:t>
            </w:r>
          </w:p>
        </w:tc>
        <w:tc>
          <w:tcPr>
            <w:tcW w:w="92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(8)(13)(14)</w:t>
            </w:r>
          </w:p>
        </w:tc>
        <w:tc>
          <w:tcPr>
            <w:tcW w:w="32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Loan — First Lien Term Loan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14055 Riveredge Dr Ste 600, Tampa,</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7.3% Cash, 1 Month Libor (1.00%) + 6.25%; Libor</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FL 33637</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Floor 1.00%, Due 11/26</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Healthcare &amp; Pharmaceuticals</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11/23/2020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2,900,625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2,828,603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2,900,625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Arial" w:cs="Arial" w:eastAsia="Arial" w:hAnsi="Arial"/>
                <w:sz w:val="14"/>
                <w:szCs w:val="14"/>
                <w:color w:val="auto"/>
              </w:rPr>
              <w:t>Datalink, LLC</w:t>
            </w:r>
          </w:p>
        </w:tc>
        <w:tc>
          <w:tcPr>
            <w:tcW w:w="920" w:type="dxa"/>
            <w:vAlign w:val="bottom"/>
          </w:tcPr>
          <w:p>
            <w:pPr>
              <w:ind w:left="60"/>
              <w:spacing w:after="0"/>
              <w:rPr>
                <w:sz w:val="20"/>
                <w:szCs w:val="20"/>
                <w:color w:val="auto"/>
              </w:rPr>
            </w:pPr>
            <w:r>
              <w:rPr>
                <w:rFonts w:ascii="Arial" w:cs="Arial" w:eastAsia="Arial" w:hAnsi="Arial"/>
                <w:sz w:val="12"/>
                <w:szCs w:val="12"/>
                <w:color w:val="auto"/>
              </w:rPr>
              <w:t>(8)(13)(23)</w:t>
            </w:r>
          </w:p>
        </w:tc>
        <w:tc>
          <w:tcPr>
            <w:tcW w:w="3260" w:type="dxa"/>
            <w:vAlign w:val="bottom"/>
            <w:gridSpan w:val="3"/>
          </w:tcPr>
          <w:p>
            <w:pPr>
              <w:ind w:left="140"/>
              <w:spacing w:after="0"/>
              <w:rPr>
                <w:sz w:val="20"/>
                <w:szCs w:val="20"/>
                <w:color w:val="auto"/>
              </w:rPr>
            </w:pPr>
            <w:r>
              <w:rPr>
                <w:rFonts w:ascii="Arial" w:cs="Arial" w:eastAsia="Arial" w:hAnsi="Arial"/>
                <w:sz w:val="14"/>
                <w:szCs w:val="14"/>
                <w:color w:val="auto"/>
                <w:w w:val="99"/>
              </w:rPr>
              <w:t>Senior Secured Loan — Delayed Draw Term Loan</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14055 Riveredge Dr Ste 600, Tampa,</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(First Lien)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FL 33637</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1.0% Cash, Due 11/26</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11/23/2020</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(12,988)</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DCert Buyer, Inc.</w:t>
            </w:r>
          </w:p>
        </w:tc>
        <w:tc>
          <w:tcPr>
            <w:tcW w:w="92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(8)(14)</w:t>
            </w:r>
          </w:p>
        </w:tc>
        <w:tc>
          <w:tcPr>
            <w:tcW w:w="32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w w:val="99"/>
              </w:rPr>
              <w:t>Senior Secured Loan — Term Loan (Second Lien)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131 Griffin Way, Mount Washington,</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7.1% Cash, 1 Month Libor (0.10%) + 7.00%, Due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KY 40047</w:t>
            </w:r>
          </w:p>
        </w:tc>
        <w:tc>
          <w:tcPr>
            <w:tcW w:w="920" w:type="dxa"/>
            <w:vAlign w:val="bottom"/>
            <w:shd w:val="clear" w:color="auto" w:fill="CCEEFF"/>
          </w:tcPr>
          <w:p>
            <w:pPr>
              <w:spacing w:after="0"/>
              <w:rPr>
                <w:sz w:val="12"/>
                <w:szCs w:val="12"/>
                <w:color w:val="auto"/>
              </w:rPr>
            </w:pPr>
          </w:p>
        </w:tc>
        <w:tc>
          <w:tcPr>
            <w:tcW w:w="31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High Tech Industries</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3/16/2021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5,400,000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5,386,572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5,463,018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Arial" w:cs="Arial" w:eastAsia="Arial" w:hAnsi="Arial"/>
                <w:sz w:val="14"/>
                <w:szCs w:val="14"/>
                <w:color w:val="auto"/>
              </w:rPr>
              <w:t>Deliver Buyer, Inc.</w:t>
            </w:r>
          </w:p>
        </w:tc>
        <w:tc>
          <w:tcPr>
            <w:tcW w:w="920" w:type="dxa"/>
            <w:vAlign w:val="bottom"/>
          </w:tcPr>
          <w:p>
            <w:pPr>
              <w:ind w:left="60"/>
              <w:spacing w:after="0"/>
              <w:rPr>
                <w:sz w:val="20"/>
                <w:szCs w:val="20"/>
                <w:color w:val="auto"/>
              </w:rPr>
            </w:pPr>
            <w:r>
              <w:rPr>
                <w:rFonts w:ascii="Arial" w:cs="Arial" w:eastAsia="Arial" w:hAnsi="Arial"/>
                <w:sz w:val="12"/>
                <w:szCs w:val="12"/>
                <w:color w:val="auto"/>
              </w:rPr>
              <w:t>(8)(13)(14)</w:t>
            </w:r>
          </w:p>
        </w:tc>
        <w:tc>
          <w:tcPr>
            <w:tcW w:w="3260" w:type="dxa"/>
            <w:vAlign w:val="bottom"/>
            <w:gridSpan w:val="3"/>
          </w:tcPr>
          <w:p>
            <w:pPr>
              <w:ind w:left="140"/>
              <w:spacing w:after="0"/>
              <w:rPr>
                <w:sz w:val="20"/>
                <w:szCs w:val="20"/>
                <w:color w:val="auto"/>
              </w:rPr>
            </w:pPr>
            <w:r>
              <w:rPr>
                <w:rFonts w:ascii="Arial" w:cs="Arial" w:eastAsia="Arial" w:hAnsi="Arial"/>
                <w:sz w:val="14"/>
                <w:szCs w:val="14"/>
                <w:color w:val="auto"/>
              </w:rPr>
              <w:t>Senior Secured Loan — Incremental Term Loan</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Jachthavenweg 109 H, Amsterdam, 1081 KM,</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(First Lien)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Netherlands</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7.3% Cash, 3 Month Libor (1.00%) + 6.25%; Libor</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ind w:left="160"/>
              <w:spacing w:after="0"/>
              <w:rPr>
                <w:sz w:val="20"/>
                <w:szCs w:val="20"/>
                <w:color w:val="auto"/>
              </w:rPr>
            </w:pPr>
            <w:r>
              <w:rPr>
                <w:rFonts w:ascii="Arial" w:cs="Arial" w:eastAsia="Arial" w:hAnsi="Arial"/>
                <w:sz w:val="14"/>
                <w:szCs w:val="14"/>
                <w:color w:val="auto"/>
              </w:rPr>
              <w:t>Capital Equipment</w:t>
            </w:r>
          </w:p>
        </w:tc>
        <w:tc>
          <w:tcPr>
            <w:tcW w:w="9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4"/>
                <w:szCs w:val="14"/>
                <w:color w:val="auto"/>
              </w:rPr>
              <w:t>Floor 1.00%, Due 5/24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7/1/2020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4,743,852</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4,687,831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4,714,440</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Digitran Innovations B.V. (Pomeroy Solutions</w:t>
            </w:r>
          </w:p>
        </w:tc>
        <w:tc>
          <w:tcPr>
            <w:tcW w:w="92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(3)(13)</w:t>
            </w:r>
          </w:p>
        </w:tc>
        <w:tc>
          <w:tcPr>
            <w:tcW w:w="32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Loan — EUR Term</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Holding Company, Inc.)</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Loan A</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Jachthavenweg 109 H, Amsterdam, 1081 KM,</w:t>
            </w:r>
          </w:p>
        </w:tc>
        <w:tc>
          <w:tcPr>
            <w:tcW w:w="92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5.0% PIK, Due 7/25</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Netherlands</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High Tech Industries</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5/11/2020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261,136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282,691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270,971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1"/>
        </w:trPr>
        <w:tc>
          <w:tcPr>
            <w:tcW w:w="3020" w:type="dxa"/>
            <w:vAlign w:val="bottom"/>
            <w:gridSpan w:val="2"/>
          </w:tcPr>
          <w:p>
            <w:pPr>
              <w:spacing w:after="0"/>
              <w:rPr>
                <w:sz w:val="20"/>
                <w:szCs w:val="20"/>
                <w:color w:val="auto"/>
              </w:rPr>
            </w:pPr>
            <w:r>
              <w:rPr>
                <w:rFonts w:ascii="Arial" w:cs="Arial" w:eastAsia="Arial" w:hAnsi="Arial"/>
                <w:sz w:val="14"/>
                <w:szCs w:val="14"/>
                <w:color w:val="auto"/>
              </w:rPr>
              <w:t>Digitran Innovations B.V. (Pomeroy Solutions</w:t>
            </w:r>
          </w:p>
        </w:tc>
        <w:tc>
          <w:tcPr>
            <w:tcW w:w="920" w:type="dxa"/>
            <w:vAlign w:val="bottom"/>
          </w:tcPr>
          <w:p>
            <w:pPr>
              <w:ind w:left="60"/>
              <w:spacing w:after="0"/>
              <w:rPr>
                <w:sz w:val="20"/>
                <w:szCs w:val="20"/>
                <w:color w:val="auto"/>
              </w:rPr>
            </w:pPr>
            <w:r>
              <w:rPr>
                <w:rFonts w:ascii="Arial" w:cs="Arial" w:eastAsia="Arial" w:hAnsi="Arial"/>
                <w:sz w:val="12"/>
                <w:szCs w:val="12"/>
                <w:color w:val="auto"/>
              </w:rPr>
              <w:t>(8)(13)</w:t>
            </w:r>
          </w:p>
        </w:tc>
        <w:tc>
          <w:tcPr>
            <w:tcW w:w="3260" w:type="dxa"/>
            <w:vAlign w:val="bottom"/>
            <w:gridSpan w:val="3"/>
          </w:tcPr>
          <w:p>
            <w:pPr>
              <w:ind w:left="140"/>
              <w:spacing w:after="0"/>
              <w:rPr>
                <w:sz w:val="20"/>
                <w:szCs w:val="20"/>
                <w:color w:val="auto"/>
              </w:rPr>
            </w:pPr>
            <w:r>
              <w:rPr>
                <w:rFonts w:ascii="Arial" w:cs="Arial" w:eastAsia="Arial" w:hAnsi="Arial"/>
                <w:sz w:val="14"/>
                <w:szCs w:val="14"/>
                <w:color w:val="auto"/>
              </w:rPr>
              <w:t>Senior Secured Loan — Senior Term Loan A</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 Inc.)</w:t>
            </w:r>
          </w:p>
        </w:tc>
        <w:tc>
          <w:tcPr>
            <w:tcW w:w="920" w:type="dxa"/>
            <w:vAlign w:val="bottom"/>
          </w:tcPr>
          <w:p>
            <w:pPr>
              <w:spacing w:after="0"/>
              <w:rPr>
                <w:sz w:val="12"/>
                <w:szCs w:val="12"/>
                <w:color w:val="auto"/>
              </w:rPr>
            </w:pPr>
          </w:p>
        </w:tc>
        <w:tc>
          <w:tcPr>
            <w:tcW w:w="32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5.0% PIK, Due 5/25</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Jachthavenweg 109 H, Amsterdam, 1081 KM,</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Netherlands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5/29/2020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1,504,629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1,156,047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1,166,088</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r>
      <w:tr>
        <w:trPr>
          <w:trHeight w:val="178"/>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Interest Rate¹ / Maturity</w:t>
            </w:r>
            <w:r>
              <w:rPr>
                <w:rFonts w:ascii="Arial" w:cs="Arial" w:eastAsia="Arial" w:hAnsi="Arial"/>
                <w:sz w:val="12"/>
                <w:szCs w:val="12"/>
                <w:b w:val="1"/>
                <w:bCs w:val="1"/>
                <w:color w:val="auto"/>
                <w:w w:val="97"/>
              </w:rPr>
              <w:t>15</w:t>
            </w:r>
          </w:p>
        </w:tc>
      </w:tr>
      <w:tr>
        <w:trPr>
          <w:trHeight w:val="224"/>
        </w:trPr>
        <w:tc>
          <w:tcPr>
            <w:tcW w:w="2200" w:type="dxa"/>
            <w:vAlign w:val="bottom"/>
            <w:gridSpan w:val="2"/>
          </w:tcPr>
          <w:p>
            <w:pPr>
              <w:spacing w:after="0"/>
              <w:rPr>
                <w:sz w:val="20"/>
                <w:szCs w:val="20"/>
                <w:color w:val="auto"/>
              </w:rPr>
            </w:pPr>
            <w:r>
              <w:rPr>
                <w:rFonts w:ascii="Arial" w:cs="Arial" w:eastAsia="Arial" w:hAnsi="Arial"/>
                <w:sz w:val="14"/>
                <w:szCs w:val="14"/>
                <w:color w:val="auto"/>
                <w:w w:val="99"/>
              </w:rPr>
              <w:t>Digitran Innovations B.V. (Pomeroy</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(5)(8)(13)</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Senior Term Loan B</w:t>
            </w: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Solutions Holding Company, Inc.)</w:t>
            </w:r>
          </w:p>
        </w:tc>
        <w:tc>
          <w:tcPr>
            <w:tcW w:w="680" w:type="dxa"/>
            <w:vAlign w:val="bottom"/>
          </w:tcPr>
          <w:p>
            <w:pPr>
              <w:spacing w:after="0"/>
              <w:rPr>
                <w:sz w:val="12"/>
                <w:szCs w:val="12"/>
                <w:color w:val="auto"/>
              </w:rPr>
            </w:pPr>
          </w:p>
        </w:tc>
        <w:tc>
          <w:tcPr>
            <w:tcW w:w="4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7.0% PIK, Due 5/25</w:t>
            </w:r>
          </w:p>
        </w:tc>
      </w:tr>
      <w:tr>
        <w:trPr>
          <w:trHeight w:val="148"/>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8"/>
              </w:rPr>
              <w:t>Jachthavenweg 109 H, Amsterdam,</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1081 KM, Netherlands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236"/>
        </w:trPr>
        <w:tc>
          <w:tcPr>
            <w:tcW w:w="2200" w:type="dxa"/>
            <w:vAlign w:val="bottom"/>
            <w:gridSpan w:val="2"/>
          </w:tcPr>
          <w:p>
            <w:pPr>
              <w:spacing w:after="0"/>
              <w:rPr>
                <w:sz w:val="20"/>
                <w:szCs w:val="20"/>
                <w:color w:val="auto"/>
              </w:rPr>
            </w:pPr>
            <w:r>
              <w:rPr>
                <w:rFonts w:ascii="Arial" w:cs="Arial" w:eastAsia="Arial" w:hAnsi="Arial"/>
                <w:sz w:val="14"/>
                <w:szCs w:val="14"/>
                <w:color w:val="auto"/>
                <w:w w:val="99"/>
              </w:rPr>
              <w:t>Digitran Innovations B.V. (Pomeroy</w:t>
            </w:r>
          </w:p>
        </w:tc>
        <w:tc>
          <w:tcPr>
            <w:tcW w:w="680" w:type="dxa"/>
            <w:vAlign w:val="bottom"/>
          </w:tcPr>
          <w:p>
            <w:pPr>
              <w:jc w:val="right"/>
              <w:ind w:right="219"/>
              <w:spacing w:after="0"/>
              <w:rPr>
                <w:sz w:val="20"/>
                <w:szCs w:val="20"/>
                <w:color w:val="auto"/>
              </w:rPr>
            </w:pPr>
            <w:r>
              <w:rPr>
                <w:rFonts w:ascii="Arial" w:cs="Arial" w:eastAsia="Arial" w:hAnsi="Arial"/>
                <w:sz w:val="12"/>
                <w:szCs w:val="12"/>
                <w:color w:val="auto"/>
              </w:rPr>
              <w:t>(8)(13)</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Super Senior Term Loan B</w:t>
            </w: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Solutions Holding Company, Inc.)</w:t>
            </w:r>
          </w:p>
        </w:tc>
        <w:tc>
          <w:tcPr>
            <w:tcW w:w="680" w:type="dxa"/>
            <w:vAlign w:val="bottom"/>
          </w:tcPr>
          <w:p>
            <w:pPr>
              <w:spacing w:after="0"/>
              <w:rPr>
                <w:sz w:val="12"/>
                <w:szCs w:val="12"/>
                <w:color w:val="auto"/>
              </w:rPr>
            </w:pPr>
          </w:p>
        </w:tc>
        <w:tc>
          <w:tcPr>
            <w:tcW w:w="4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 Cash, 7.0% PIK, Due 5/25</w:t>
            </w: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8"/>
              </w:rPr>
              <w:t>Jachthavenweg 109 H, Amsterdam,</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1081 KM, Netherlands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231"/>
        </w:trPr>
        <w:tc>
          <w:tcPr>
            <w:tcW w:w="2200" w:type="dxa"/>
            <w:vAlign w:val="bottom"/>
            <w:gridSpan w:val="2"/>
          </w:tcPr>
          <w:p>
            <w:pPr>
              <w:spacing w:after="0"/>
              <w:rPr>
                <w:sz w:val="20"/>
                <w:szCs w:val="20"/>
                <w:color w:val="auto"/>
              </w:rPr>
            </w:pPr>
            <w:r>
              <w:rPr>
                <w:rFonts w:ascii="Arial" w:cs="Arial" w:eastAsia="Arial" w:hAnsi="Arial"/>
                <w:sz w:val="14"/>
                <w:szCs w:val="14"/>
                <w:color w:val="auto"/>
              </w:rPr>
              <w:t>Drilling Info Holdings, Inc.</w:t>
            </w:r>
          </w:p>
        </w:tc>
        <w:tc>
          <w:tcPr>
            <w:tcW w:w="680" w:type="dxa"/>
            <w:vAlign w:val="bottom"/>
          </w:tcPr>
          <w:p>
            <w:pPr>
              <w:jc w:val="right"/>
              <w:spacing w:after="0"/>
              <w:rPr>
                <w:sz w:val="20"/>
                <w:szCs w:val="20"/>
                <w:color w:val="auto"/>
              </w:rPr>
            </w:pPr>
            <w:r>
              <w:rPr>
                <w:rFonts w:ascii="Arial" w:cs="Arial" w:eastAsia="Arial" w:hAnsi="Arial"/>
                <w:sz w:val="12"/>
                <w:szCs w:val="12"/>
                <w:color w:val="auto"/>
              </w:rPr>
              <w:t>(8)(13)(14)</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Initial Term Loan (First Lien)</w:t>
            </w:r>
          </w:p>
        </w:tc>
      </w:tr>
      <w:tr>
        <w:trPr>
          <w:trHeight w:val="154"/>
        </w:trPr>
        <w:tc>
          <w:tcPr>
            <w:tcW w:w="2200" w:type="dxa"/>
            <w:vAlign w:val="bottom"/>
            <w:gridSpan w:val="2"/>
          </w:tcPr>
          <w:p>
            <w:pPr>
              <w:spacing w:after="0" w:line="154" w:lineRule="exact"/>
              <w:rPr>
                <w:sz w:val="20"/>
                <w:szCs w:val="20"/>
                <w:color w:val="auto"/>
              </w:rPr>
            </w:pPr>
            <w:r>
              <w:rPr>
                <w:rFonts w:ascii="Arial" w:cs="Arial" w:eastAsia="Arial" w:hAnsi="Arial"/>
                <w:sz w:val="14"/>
                <w:szCs w:val="14"/>
                <w:color w:val="auto"/>
              </w:rPr>
              <w:t>2901 Via Fortuna #200 Austin, TX</w:t>
            </w:r>
          </w:p>
        </w:tc>
        <w:tc>
          <w:tcPr>
            <w:tcW w:w="680" w:type="dxa"/>
            <w:vAlign w:val="bottom"/>
          </w:tcPr>
          <w:p>
            <w:pPr>
              <w:jc w:val="right"/>
              <w:ind w:right="219"/>
              <w:spacing w:after="0"/>
              <w:rPr>
                <w:sz w:val="20"/>
                <w:szCs w:val="20"/>
                <w:color w:val="auto"/>
              </w:rPr>
            </w:pPr>
            <w:r>
              <w:rPr>
                <w:rFonts w:ascii="Arial" w:cs="Arial" w:eastAsia="Arial" w:hAnsi="Arial"/>
                <w:sz w:val="12"/>
                <w:szCs w:val="12"/>
                <w:color w:val="auto"/>
              </w:rPr>
              <w:t>(21)</w:t>
            </w:r>
          </w:p>
        </w:tc>
        <w:tc>
          <w:tcPr>
            <w:tcW w:w="448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4.4% Cash, 1 Month Libor (0.10%) + 4.25%, Due 7/25</w:t>
            </w: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78746</w:t>
            </w: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231"/>
        </w:trPr>
        <w:tc>
          <w:tcPr>
            <w:tcW w:w="2200" w:type="dxa"/>
            <w:vAlign w:val="bottom"/>
            <w:gridSpan w:val="2"/>
          </w:tcPr>
          <w:p>
            <w:pPr>
              <w:spacing w:after="0"/>
              <w:rPr>
                <w:sz w:val="20"/>
                <w:szCs w:val="20"/>
                <w:color w:val="auto"/>
              </w:rPr>
            </w:pPr>
            <w:r>
              <w:rPr>
                <w:rFonts w:ascii="Arial" w:cs="Arial" w:eastAsia="Arial" w:hAnsi="Arial"/>
                <w:sz w:val="14"/>
                <w:szCs w:val="14"/>
                <w:color w:val="auto"/>
              </w:rPr>
              <w:t>Drilling Info Holdings, Inc.</w:t>
            </w:r>
          </w:p>
        </w:tc>
        <w:tc>
          <w:tcPr>
            <w:tcW w:w="680" w:type="dxa"/>
            <w:vAlign w:val="bottom"/>
          </w:tcPr>
          <w:p>
            <w:pPr>
              <w:jc w:val="right"/>
              <w:spacing w:after="0"/>
              <w:rPr>
                <w:sz w:val="20"/>
                <w:szCs w:val="20"/>
                <w:color w:val="auto"/>
              </w:rPr>
            </w:pPr>
            <w:r>
              <w:rPr>
                <w:rFonts w:ascii="Arial" w:cs="Arial" w:eastAsia="Arial" w:hAnsi="Arial"/>
                <w:sz w:val="12"/>
                <w:szCs w:val="12"/>
                <w:color w:val="auto"/>
              </w:rPr>
              <w:t>(8)(13)(14)</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2020 Term Loan (First Lien)</w:t>
            </w:r>
          </w:p>
        </w:tc>
      </w:tr>
      <w:tr>
        <w:trPr>
          <w:trHeight w:val="154"/>
        </w:trPr>
        <w:tc>
          <w:tcPr>
            <w:tcW w:w="2200" w:type="dxa"/>
            <w:vAlign w:val="bottom"/>
            <w:gridSpan w:val="2"/>
          </w:tcPr>
          <w:p>
            <w:pPr>
              <w:spacing w:after="0" w:line="154" w:lineRule="exact"/>
              <w:rPr>
                <w:sz w:val="20"/>
                <w:szCs w:val="20"/>
                <w:color w:val="auto"/>
              </w:rPr>
            </w:pPr>
            <w:r>
              <w:rPr>
                <w:rFonts w:ascii="Arial" w:cs="Arial" w:eastAsia="Arial" w:hAnsi="Arial"/>
                <w:sz w:val="14"/>
                <w:szCs w:val="14"/>
                <w:color w:val="auto"/>
              </w:rPr>
              <w:t>2901 Via Fortuna #200 Austin, TX</w:t>
            </w:r>
          </w:p>
        </w:tc>
        <w:tc>
          <w:tcPr>
            <w:tcW w:w="680" w:type="dxa"/>
            <w:vAlign w:val="bottom"/>
          </w:tcPr>
          <w:p>
            <w:pPr>
              <w:jc w:val="right"/>
              <w:ind w:right="219"/>
              <w:spacing w:after="0"/>
              <w:rPr>
                <w:sz w:val="20"/>
                <w:szCs w:val="20"/>
                <w:color w:val="auto"/>
              </w:rPr>
            </w:pPr>
            <w:r>
              <w:rPr>
                <w:rFonts w:ascii="Arial" w:cs="Arial" w:eastAsia="Arial" w:hAnsi="Arial"/>
                <w:sz w:val="12"/>
                <w:szCs w:val="12"/>
                <w:color w:val="auto"/>
              </w:rPr>
              <w:t>(21)</w:t>
            </w:r>
          </w:p>
        </w:tc>
        <w:tc>
          <w:tcPr>
            <w:tcW w:w="448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4.6% Cash, 1 Month Libor (0.10%) + 4.50%, Due 7/25</w:t>
            </w: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78746</w:t>
            </w: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236"/>
        </w:trPr>
        <w:tc>
          <w:tcPr>
            <w:tcW w:w="2200" w:type="dxa"/>
            <w:vAlign w:val="bottom"/>
            <w:gridSpan w:val="2"/>
          </w:tcPr>
          <w:p>
            <w:pPr>
              <w:spacing w:after="0"/>
              <w:rPr>
                <w:sz w:val="20"/>
                <w:szCs w:val="20"/>
                <w:color w:val="auto"/>
              </w:rPr>
            </w:pPr>
            <w:r>
              <w:rPr>
                <w:rFonts w:ascii="Arial" w:cs="Arial" w:eastAsia="Arial" w:hAnsi="Arial"/>
                <w:sz w:val="14"/>
                <w:szCs w:val="14"/>
                <w:color w:val="auto"/>
              </w:rPr>
              <w:t>Electronics for Imaging, Inc.</w:t>
            </w:r>
          </w:p>
        </w:tc>
        <w:tc>
          <w:tcPr>
            <w:tcW w:w="680" w:type="dxa"/>
            <w:vAlign w:val="bottom"/>
          </w:tcPr>
          <w:p>
            <w:pPr>
              <w:jc w:val="right"/>
              <w:ind w:right="219"/>
              <w:spacing w:after="0"/>
              <w:rPr>
                <w:sz w:val="20"/>
                <w:szCs w:val="20"/>
                <w:color w:val="auto"/>
              </w:rPr>
            </w:pPr>
            <w:r>
              <w:rPr>
                <w:rFonts w:ascii="Arial" w:cs="Arial" w:eastAsia="Arial" w:hAnsi="Arial"/>
                <w:sz w:val="12"/>
                <w:szCs w:val="12"/>
                <w:color w:val="auto"/>
              </w:rPr>
              <w:t>(8)(14)</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First Lien Term Loan</w:t>
            </w:r>
          </w:p>
        </w:tc>
      </w:tr>
      <w:tr>
        <w:trPr>
          <w:trHeight w:val="148"/>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6750 Dumbarton Circle Fremont,</w:t>
            </w:r>
          </w:p>
        </w:tc>
        <w:tc>
          <w:tcPr>
            <w:tcW w:w="680" w:type="dxa"/>
            <w:vAlign w:val="bottom"/>
          </w:tcPr>
          <w:p>
            <w:pPr>
              <w:spacing w:after="0"/>
              <w:rPr>
                <w:sz w:val="12"/>
                <w:szCs w:val="12"/>
                <w:color w:val="auto"/>
              </w:rPr>
            </w:pPr>
          </w:p>
        </w:tc>
        <w:tc>
          <w:tcPr>
            <w:tcW w:w="4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5.1% Cash, 1 Month Libor (0.10%) + 5.00%, Due 7/26</w:t>
            </w: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CA 94555</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Electronics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236"/>
        </w:trPr>
        <w:tc>
          <w:tcPr>
            <w:tcW w:w="2200" w:type="dxa"/>
            <w:vAlign w:val="bottom"/>
            <w:gridSpan w:val="2"/>
          </w:tcPr>
          <w:p>
            <w:pPr>
              <w:spacing w:after="0"/>
              <w:rPr>
                <w:sz w:val="20"/>
                <w:szCs w:val="20"/>
                <w:color w:val="auto"/>
              </w:rPr>
            </w:pPr>
            <w:r>
              <w:rPr>
                <w:rFonts w:ascii="Arial" w:cs="Arial" w:eastAsia="Arial" w:hAnsi="Arial"/>
                <w:sz w:val="14"/>
                <w:szCs w:val="14"/>
                <w:color w:val="auto"/>
              </w:rPr>
              <w:t>ELO Touch Solutions, Inc.</w:t>
            </w:r>
          </w:p>
        </w:tc>
        <w:tc>
          <w:tcPr>
            <w:tcW w:w="680" w:type="dxa"/>
            <w:vAlign w:val="bottom"/>
          </w:tcPr>
          <w:p>
            <w:pPr>
              <w:jc w:val="right"/>
              <w:ind w:right="219"/>
              <w:spacing w:after="0"/>
              <w:rPr>
                <w:sz w:val="20"/>
                <w:szCs w:val="20"/>
                <w:color w:val="auto"/>
              </w:rPr>
            </w:pPr>
            <w:r>
              <w:rPr>
                <w:rFonts w:ascii="Arial" w:cs="Arial" w:eastAsia="Arial" w:hAnsi="Arial"/>
                <w:sz w:val="12"/>
                <w:szCs w:val="12"/>
                <w:color w:val="auto"/>
              </w:rPr>
              <w:t>(8)(14)</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First Lien Term Loan</w:t>
            </w:r>
          </w:p>
        </w:tc>
      </w:tr>
      <w:tr>
        <w:trPr>
          <w:trHeight w:val="148"/>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670 N. McCarthy Blvd. Milpitas,</w:t>
            </w:r>
          </w:p>
        </w:tc>
        <w:tc>
          <w:tcPr>
            <w:tcW w:w="680" w:type="dxa"/>
            <w:vAlign w:val="bottom"/>
          </w:tcPr>
          <w:p>
            <w:pPr>
              <w:spacing w:after="0"/>
              <w:rPr>
                <w:sz w:val="12"/>
                <w:szCs w:val="12"/>
                <w:color w:val="auto"/>
              </w:rPr>
            </w:pPr>
          </w:p>
        </w:tc>
        <w:tc>
          <w:tcPr>
            <w:tcW w:w="4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6.6% Cash, 1 Month Libor (0.10%) + 6.50%, Due 12/25</w:t>
            </w: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CA 95035</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236"/>
        </w:trPr>
        <w:tc>
          <w:tcPr>
            <w:tcW w:w="2200" w:type="dxa"/>
            <w:vAlign w:val="bottom"/>
            <w:gridSpan w:val="2"/>
          </w:tcPr>
          <w:p>
            <w:pPr>
              <w:spacing w:after="0"/>
              <w:rPr>
                <w:sz w:val="20"/>
                <w:szCs w:val="20"/>
                <w:color w:val="auto"/>
              </w:rPr>
            </w:pPr>
            <w:r>
              <w:rPr>
                <w:rFonts w:ascii="Arial" w:cs="Arial" w:eastAsia="Arial" w:hAnsi="Arial"/>
                <w:sz w:val="14"/>
                <w:szCs w:val="14"/>
                <w:color w:val="auto"/>
              </w:rPr>
              <w:t>Emtec, Inc.</w:t>
            </w:r>
          </w:p>
        </w:tc>
        <w:tc>
          <w:tcPr>
            <w:tcW w:w="680" w:type="dxa"/>
            <w:vAlign w:val="bottom"/>
          </w:tcPr>
          <w:p>
            <w:pPr>
              <w:jc w:val="right"/>
              <w:ind w:right="219"/>
              <w:spacing w:after="0"/>
              <w:rPr>
                <w:sz w:val="20"/>
                <w:szCs w:val="20"/>
                <w:color w:val="auto"/>
              </w:rPr>
            </w:pPr>
            <w:r>
              <w:rPr>
                <w:rFonts w:ascii="Arial" w:cs="Arial" w:eastAsia="Arial" w:hAnsi="Arial"/>
                <w:sz w:val="12"/>
                <w:szCs w:val="12"/>
                <w:color w:val="auto"/>
              </w:rPr>
              <w:t>(8)(13)</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First Lien Term Loan A</w:t>
            </w:r>
          </w:p>
        </w:tc>
      </w:tr>
      <w:tr>
        <w:trPr>
          <w:trHeight w:val="148"/>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9"/>
              </w:rPr>
              <w:t>555 East Lancaster Ave., Suite 510</w:t>
            </w:r>
          </w:p>
        </w:tc>
        <w:tc>
          <w:tcPr>
            <w:tcW w:w="680" w:type="dxa"/>
            <w:vAlign w:val="bottom"/>
          </w:tcPr>
          <w:p>
            <w:pPr>
              <w:spacing w:after="0"/>
              <w:rPr>
                <w:sz w:val="12"/>
                <w:szCs w:val="12"/>
                <w:color w:val="auto"/>
              </w:rPr>
            </w:pPr>
          </w:p>
        </w:tc>
        <w:tc>
          <w:tcPr>
            <w:tcW w:w="44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4"/>
              </w:rPr>
              <w:t>10.0% Cash, 1 Month Libor (1.50%) + 8.50%; Libor Floor 1.50%, Due 8/21</w:t>
            </w: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Radnor, PA 19087</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r>
        <w:trPr>
          <w:trHeight w:val="236"/>
        </w:trPr>
        <w:tc>
          <w:tcPr>
            <w:tcW w:w="2200" w:type="dxa"/>
            <w:vAlign w:val="bottom"/>
            <w:gridSpan w:val="2"/>
          </w:tcPr>
          <w:p>
            <w:pPr>
              <w:spacing w:after="0"/>
              <w:rPr>
                <w:sz w:val="20"/>
                <w:szCs w:val="20"/>
                <w:color w:val="auto"/>
              </w:rPr>
            </w:pPr>
            <w:r>
              <w:rPr>
                <w:rFonts w:ascii="Arial" w:cs="Arial" w:eastAsia="Arial" w:hAnsi="Arial"/>
                <w:sz w:val="14"/>
                <w:szCs w:val="14"/>
                <w:color w:val="auto"/>
              </w:rPr>
              <w:t>Emtec, Inc.</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(5)(8)(13)</w:t>
            </w:r>
          </w:p>
        </w:tc>
        <w:tc>
          <w:tcPr>
            <w:tcW w:w="4480" w:type="dxa"/>
            <w:vAlign w:val="bottom"/>
            <w:gridSpan w:val="2"/>
          </w:tcPr>
          <w:p>
            <w:pPr>
              <w:ind w:left="80"/>
              <w:spacing w:after="0"/>
              <w:rPr>
                <w:sz w:val="20"/>
                <w:szCs w:val="20"/>
                <w:color w:val="auto"/>
              </w:rPr>
            </w:pPr>
            <w:r>
              <w:rPr>
                <w:rFonts w:ascii="Arial" w:cs="Arial" w:eastAsia="Arial" w:hAnsi="Arial"/>
                <w:sz w:val="14"/>
                <w:szCs w:val="14"/>
                <w:color w:val="auto"/>
              </w:rPr>
              <w:t>Senior Secured Loan — First Lien Term Loan B</w:t>
            </w: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9"/>
              </w:rPr>
              <w:t>555 East Lancaster Ave., Suite 510</w:t>
            </w:r>
          </w:p>
        </w:tc>
        <w:tc>
          <w:tcPr>
            <w:tcW w:w="680" w:type="dxa"/>
            <w:vAlign w:val="bottom"/>
          </w:tcPr>
          <w:p>
            <w:pPr>
              <w:spacing w:after="0"/>
              <w:rPr>
                <w:sz w:val="12"/>
                <w:szCs w:val="12"/>
                <w:color w:val="auto"/>
              </w:rPr>
            </w:pPr>
          </w:p>
        </w:tc>
        <w:tc>
          <w:tcPr>
            <w:tcW w:w="44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10.3% PIK, Due 8/21</w:t>
            </w:r>
          </w:p>
        </w:tc>
      </w:tr>
      <w:tr>
        <w:trPr>
          <w:trHeight w:val="148"/>
        </w:trPr>
        <w:tc>
          <w:tcPr>
            <w:tcW w:w="22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Radnor, PA 19087</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spacing w:after="0"/>
              <w:rPr>
                <w:sz w:val="12"/>
                <w:szCs w:val="12"/>
                <w:color w:val="auto"/>
              </w:rPr>
            </w:pPr>
          </w:p>
        </w:tc>
      </w:tr>
      <w:tr>
        <w:trPr>
          <w:trHeight w:val="18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-3755390</wp:posOffset>
            </wp:positionV>
            <wp:extent cx="7132320"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-2657475</wp:posOffset>
            </wp:positionV>
            <wp:extent cx="7132320" cy="386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132320" cy="386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-840740</wp:posOffset>
            </wp:positionV>
            <wp:extent cx="7132320"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12"/>
                <w:szCs w:val="12"/>
                <w:b w:val="1"/>
                <w:bCs w:val="1"/>
                <w:color w:val="auto"/>
                <w:w w:val="95"/>
              </w:rPr>
              <w:t>2</w:t>
            </w:r>
          </w:p>
        </w:tc>
        <w:tc>
          <w:tcPr>
            <w:tcW w:w="160" w:type="dxa"/>
            <w:vAlign w:val="bottom"/>
            <w:vMerge w:val="restart"/>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9"/>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5/29/2020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1,537,702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1,189,120</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422,868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864"/>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5/29/2020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1,011,807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997,460</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1,001,689</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6/27/2019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826,486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826,486</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818,882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16"/>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2/14/2020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987,500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983,809</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987,105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16"/>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10/28/2020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2,170,716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1,679,041</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2,074,238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10/28/2020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2,526,621</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2,186,960</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2,535,048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716"/>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10/28/2020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2,395,175</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2,330,488</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2,394,216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10/28/2020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1,825,309</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1,635,531</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1,796,652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2">
            <w:col w:w="7360" w:space="80"/>
            <w:col w:w="380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Energy Acquisition Lp</w:t>
            </w:r>
          </w:p>
        </w:tc>
        <w:tc>
          <w:tcPr>
            <w:tcW w:w="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(14)</w:t>
            </w:r>
          </w:p>
        </w:tc>
        <w:tc>
          <w:tcPr>
            <w:tcW w:w="5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Senior Secured Loan — First Lien Term Loan</w:t>
            </w: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City Place Drive Suite 450 St</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4.4%</w:t>
            </w:r>
          </w:p>
        </w:tc>
        <w:tc>
          <w:tcPr>
            <w:tcW w:w="4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1 Month Libor (0.10%) + 4.25%, Due 6/25</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Louis, MO 63141</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81"/>
        </w:trPr>
        <w:tc>
          <w:tcPr>
            <w:tcW w:w="22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Electronics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10/28/2020</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4,796,795</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3,970,438</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4,748,827</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38"/>
        </w:trPr>
        <w:tc>
          <w:tcPr>
            <w:tcW w:w="2200" w:type="dxa"/>
            <w:vAlign w:val="bottom"/>
          </w:tcPr>
          <w:p>
            <w:pPr>
              <w:spacing w:after="0"/>
              <w:rPr>
                <w:sz w:val="20"/>
                <w:szCs w:val="20"/>
                <w:color w:val="auto"/>
              </w:rPr>
            </w:pPr>
            <w:r>
              <w:rPr>
                <w:rFonts w:ascii="Arial" w:cs="Arial" w:eastAsia="Arial" w:hAnsi="Arial"/>
                <w:sz w:val="14"/>
                <w:szCs w:val="14"/>
                <w:color w:val="auto"/>
              </w:rPr>
              <w:t>Evergreen North America</w:t>
            </w:r>
          </w:p>
        </w:tc>
        <w:tc>
          <w:tcPr>
            <w:tcW w:w="680" w:type="dxa"/>
            <w:vAlign w:val="bottom"/>
          </w:tcPr>
          <w:p>
            <w:pPr>
              <w:ind w:left="60"/>
              <w:spacing w:after="0"/>
              <w:rPr>
                <w:sz w:val="20"/>
                <w:szCs w:val="20"/>
                <w:color w:val="auto"/>
              </w:rPr>
            </w:pPr>
            <w:r>
              <w:rPr>
                <w:rFonts w:ascii="Arial" w:cs="Arial" w:eastAsia="Arial" w:hAnsi="Arial"/>
                <w:sz w:val="12"/>
                <w:szCs w:val="12"/>
                <w:color w:val="auto"/>
              </w:rPr>
              <w:t>(8)(13)(14)</w:t>
            </w:r>
          </w:p>
        </w:tc>
        <w:tc>
          <w:tcPr>
            <w:tcW w:w="536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49"/>
        </w:trPr>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Acquisition, LLC</w:t>
            </w:r>
          </w:p>
        </w:tc>
        <w:tc>
          <w:tcPr>
            <w:tcW w:w="680" w:type="dxa"/>
            <w:vAlign w:val="bottom"/>
          </w:tcPr>
          <w:p>
            <w:pPr>
              <w:spacing w:after="0"/>
              <w:rPr>
                <w:sz w:val="12"/>
                <w:szCs w:val="12"/>
                <w:color w:val="auto"/>
              </w:rPr>
            </w:pPr>
          </w:p>
        </w:tc>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6.0%</w:t>
            </w:r>
          </w:p>
        </w:tc>
        <w:tc>
          <w:tcPr>
            <w:tcW w:w="4960" w:type="dxa"/>
            <w:vAlign w:val="bottom"/>
          </w:tcPr>
          <w:p>
            <w:pPr>
              <w:ind w:left="20"/>
              <w:spacing w:after="0" w:line="149" w:lineRule="exact"/>
              <w:rPr>
                <w:sz w:val="20"/>
                <w:szCs w:val="20"/>
                <w:color w:val="auto"/>
              </w:rPr>
            </w:pPr>
            <w:r>
              <w:rPr>
                <w:rFonts w:ascii="Arial" w:cs="Arial" w:eastAsia="Arial" w:hAnsi="Arial"/>
                <w:sz w:val="14"/>
                <w:szCs w:val="14"/>
                <w:color w:val="auto"/>
              </w:rPr>
              <w:t>Cash, 3 Month Libor (1.00%) + 5.00%; Libor Floor 1.00%, Due 6/22</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2200" w:type="dxa"/>
            <w:vAlign w:val="bottom"/>
          </w:tcPr>
          <w:p>
            <w:pPr>
              <w:spacing w:after="0" w:line="149" w:lineRule="exact"/>
              <w:rPr>
                <w:sz w:val="20"/>
                <w:szCs w:val="20"/>
                <w:color w:val="auto"/>
              </w:rPr>
            </w:pPr>
            <w:r>
              <w:rPr>
                <w:rFonts w:ascii="Arial" w:cs="Arial" w:eastAsia="Arial" w:hAnsi="Arial"/>
                <w:sz w:val="14"/>
                <w:szCs w:val="14"/>
                <w:color w:val="auto"/>
                <w:w w:val="98"/>
              </w:rPr>
              <w:t>704-C Old Undewood Rd. La Porte,</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Texas 77571</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96"/>
        </w:trPr>
        <w:tc>
          <w:tcPr>
            <w:tcW w:w="2200" w:type="dxa"/>
            <w:vAlign w:val="bottom"/>
          </w:tcPr>
          <w:p>
            <w:pPr>
              <w:ind w:left="300"/>
              <w:spacing w:after="0"/>
              <w:rPr>
                <w:sz w:val="20"/>
                <w:szCs w:val="20"/>
                <w:color w:val="auto"/>
              </w:rPr>
            </w:pPr>
            <w:r>
              <w:rPr>
                <w:rFonts w:ascii="Arial" w:cs="Arial" w:eastAsia="Arial" w:hAnsi="Arial"/>
                <w:sz w:val="14"/>
                <w:szCs w:val="14"/>
                <w:color w:val="auto"/>
              </w:rPr>
              <w:t>Environmental Industries</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60" w:type="dxa"/>
            <w:vAlign w:val="bottom"/>
          </w:tcPr>
          <w:p>
            <w:pPr>
              <w:jc w:val="right"/>
              <w:ind w:right="8"/>
              <w:spacing w:after="0"/>
              <w:rPr>
                <w:sz w:val="20"/>
                <w:szCs w:val="20"/>
                <w:color w:val="auto"/>
              </w:rPr>
            </w:pPr>
            <w:r>
              <w:rPr>
                <w:rFonts w:ascii="Arial" w:cs="Arial" w:eastAsia="Arial" w:hAnsi="Arial"/>
                <w:sz w:val="14"/>
                <w:szCs w:val="14"/>
                <w:color w:val="auto"/>
              </w:rPr>
              <w:t>6/21/2016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943,276</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944,231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943,276</w:t>
            </w:r>
          </w:p>
        </w:tc>
        <w:tc>
          <w:tcPr>
            <w:tcW w:w="5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93"/>
        </w:trPr>
        <w:tc>
          <w:tcPr>
            <w:tcW w:w="2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36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Firstlight Holdco Inc.</w:t>
            </w:r>
          </w:p>
        </w:tc>
        <w:tc>
          <w:tcPr>
            <w:tcW w:w="680" w:type="dxa"/>
            <w:vAlign w:val="bottom"/>
            <w:shd w:val="clear" w:color="auto" w:fill="CCEEFF"/>
          </w:tcPr>
          <w:p>
            <w:pPr>
              <w:ind w:left="60"/>
              <w:spacing w:after="0" w:line="130" w:lineRule="exact"/>
              <w:rPr>
                <w:sz w:val="20"/>
                <w:szCs w:val="20"/>
                <w:color w:val="auto"/>
              </w:rPr>
            </w:pPr>
            <w:r>
              <w:rPr>
                <w:rFonts w:ascii="Arial" w:cs="Arial" w:eastAsia="Arial" w:hAnsi="Arial"/>
                <w:sz w:val="12"/>
                <w:szCs w:val="12"/>
                <w:color w:val="auto"/>
              </w:rPr>
              <w:t>(8)(13)(14)</w:t>
            </w:r>
          </w:p>
        </w:tc>
        <w:tc>
          <w:tcPr>
            <w:tcW w:w="536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Junior Secured Loan — Initial Term Loan (Second Lien)</w:t>
            </w: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491 Lisbon Street Lewistown, ME</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7.6%</w:t>
            </w:r>
          </w:p>
        </w:tc>
        <w:tc>
          <w:tcPr>
            <w:tcW w:w="4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1 Month Libor (0.10%) + 7.50%, Due 7/26</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22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04240</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81"/>
        </w:trPr>
        <w:tc>
          <w:tcPr>
            <w:tcW w:w="22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Telecommunications</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12/18/2019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400,000</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365,390</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400,000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38"/>
        </w:trPr>
        <w:tc>
          <w:tcPr>
            <w:tcW w:w="2200" w:type="dxa"/>
            <w:vAlign w:val="bottom"/>
          </w:tcPr>
          <w:p>
            <w:pPr>
              <w:spacing w:after="0"/>
              <w:rPr>
                <w:sz w:val="20"/>
                <w:szCs w:val="20"/>
                <w:color w:val="auto"/>
              </w:rPr>
            </w:pPr>
            <w:r>
              <w:rPr>
                <w:rFonts w:ascii="Arial" w:cs="Arial" w:eastAsia="Arial" w:hAnsi="Arial"/>
                <w:sz w:val="14"/>
                <w:szCs w:val="14"/>
                <w:color w:val="auto"/>
              </w:rPr>
              <w:t>Geo Parent Corporation</w:t>
            </w:r>
          </w:p>
        </w:tc>
        <w:tc>
          <w:tcPr>
            <w:tcW w:w="680" w:type="dxa"/>
            <w:vAlign w:val="bottom"/>
          </w:tcPr>
          <w:p>
            <w:pPr>
              <w:ind w:left="60"/>
              <w:spacing w:after="0"/>
              <w:rPr>
                <w:sz w:val="20"/>
                <w:szCs w:val="20"/>
                <w:color w:val="auto"/>
              </w:rPr>
            </w:pPr>
            <w:r>
              <w:rPr>
                <w:rFonts w:ascii="Arial" w:cs="Arial" w:eastAsia="Arial" w:hAnsi="Arial"/>
                <w:sz w:val="12"/>
                <w:szCs w:val="12"/>
                <w:color w:val="auto"/>
              </w:rPr>
              <w:t>(8)(13)(14)</w:t>
            </w:r>
          </w:p>
        </w:tc>
        <w:tc>
          <w:tcPr>
            <w:tcW w:w="5360" w:type="dxa"/>
            <w:vAlign w:val="bottom"/>
            <w:gridSpan w:val="2"/>
          </w:tcPr>
          <w:p>
            <w:pPr>
              <w:ind w:left="80"/>
              <w:spacing w:after="0"/>
              <w:rPr>
                <w:sz w:val="20"/>
                <w:szCs w:val="20"/>
                <w:color w:val="auto"/>
              </w:rPr>
            </w:pPr>
            <w:r>
              <w:rPr>
                <w:rFonts w:ascii="Arial" w:cs="Arial" w:eastAsia="Arial" w:hAnsi="Arial"/>
                <w:sz w:val="14"/>
                <w:szCs w:val="14"/>
                <w:color w:val="auto"/>
              </w:rPr>
              <w:t>Senior Secured Loan — First Lien Term Loan</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48"/>
        </w:trPr>
        <w:tc>
          <w:tcPr>
            <w:tcW w:w="2200" w:type="dxa"/>
            <w:vAlign w:val="bottom"/>
          </w:tcPr>
          <w:p>
            <w:pPr>
              <w:spacing w:after="0" w:line="149" w:lineRule="exact"/>
              <w:rPr>
                <w:sz w:val="20"/>
                <w:szCs w:val="20"/>
                <w:color w:val="auto"/>
              </w:rPr>
            </w:pPr>
            <w:r>
              <w:rPr>
                <w:rFonts w:ascii="Arial" w:cs="Arial" w:eastAsia="Arial" w:hAnsi="Arial"/>
                <w:sz w:val="14"/>
                <w:szCs w:val="14"/>
                <w:color w:val="auto"/>
                <w:w w:val="96"/>
              </w:rPr>
              <w:t>420 Lexington Ave., Suite 1718 New</w:t>
            </w:r>
          </w:p>
        </w:tc>
        <w:tc>
          <w:tcPr>
            <w:tcW w:w="680" w:type="dxa"/>
            <w:vAlign w:val="bottom"/>
          </w:tcPr>
          <w:p>
            <w:pPr>
              <w:spacing w:after="0"/>
              <w:rPr>
                <w:sz w:val="12"/>
                <w:szCs w:val="12"/>
                <w:color w:val="auto"/>
              </w:rPr>
            </w:pPr>
          </w:p>
        </w:tc>
        <w:tc>
          <w:tcPr>
            <w:tcW w:w="400" w:type="dxa"/>
            <w:vAlign w:val="bottom"/>
          </w:tcPr>
          <w:p>
            <w:pPr>
              <w:ind w:left="80"/>
              <w:spacing w:after="0" w:line="149" w:lineRule="exact"/>
              <w:rPr>
                <w:sz w:val="20"/>
                <w:szCs w:val="20"/>
                <w:color w:val="auto"/>
              </w:rPr>
            </w:pPr>
            <w:r>
              <w:rPr>
                <w:rFonts w:ascii="Arial" w:cs="Arial" w:eastAsia="Arial" w:hAnsi="Arial"/>
                <w:sz w:val="14"/>
                <w:szCs w:val="14"/>
                <w:color w:val="auto"/>
                <w:w w:val="93"/>
              </w:rPr>
              <w:t>5.4%</w:t>
            </w:r>
          </w:p>
        </w:tc>
        <w:tc>
          <w:tcPr>
            <w:tcW w:w="4960" w:type="dxa"/>
            <w:vAlign w:val="bottom"/>
          </w:tcPr>
          <w:p>
            <w:pPr>
              <w:ind w:left="20"/>
              <w:spacing w:after="0" w:line="149" w:lineRule="exact"/>
              <w:rPr>
                <w:sz w:val="20"/>
                <w:szCs w:val="20"/>
                <w:color w:val="auto"/>
              </w:rPr>
            </w:pPr>
            <w:r>
              <w:rPr>
                <w:rFonts w:ascii="Arial" w:cs="Arial" w:eastAsia="Arial" w:hAnsi="Arial"/>
                <w:sz w:val="14"/>
                <w:szCs w:val="14"/>
                <w:color w:val="auto"/>
              </w:rPr>
              <w:t>Cash, 1 Month Libor (0.10%) + 5.25%, Due 12/25</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200" w:type="dxa"/>
            <w:vAlign w:val="bottom"/>
          </w:tcPr>
          <w:p>
            <w:pPr>
              <w:ind w:left="160"/>
              <w:spacing w:after="0" w:line="149" w:lineRule="exact"/>
              <w:rPr>
                <w:sz w:val="20"/>
                <w:szCs w:val="20"/>
                <w:color w:val="auto"/>
              </w:rPr>
            </w:pPr>
            <w:r>
              <w:rPr>
                <w:rFonts w:ascii="Arial" w:cs="Arial" w:eastAsia="Arial" w:hAnsi="Arial"/>
                <w:sz w:val="14"/>
                <w:szCs w:val="14"/>
                <w:color w:val="auto"/>
              </w:rPr>
              <w:t>York, NY 10170</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2200" w:type="dxa"/>
            <w:vAlign w:val="bottom"/>
          </w:tcPr>
          <w:p>
            <w:pPr>
              <w:ind w:left="300"/>
              <w:spacing w:after="0" w:line="149" w:lineRule="exact"/>
              <w:rPr>
                <w:sz w:val="20"/>
                <w:szCs w:val="20"/>
                <w:color w:val="auto"/>
              </w:rPr>
            </w:pPr>
            <w:r>
              <w:rPr>
                <w:rFonts w:ascii="Arial" w:cs="Arial" w:eastAsia="Arial" w:hAnsi="Arial"/>
                <w:sz w:val="14"/>
                <w:szCs w:val="14"/>
                <w:color w:val="auto"/>
              </w:rPr>
              <w:t>Media: Advertising, Printing &amp;</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96"/>
        </w:trPr>
        <w:tc>
          <w:tcPr>
            <w:tcW w:w="2200" w:type="dxa"/>
            <w:vAlign w:val="bottom"/>
          </w:tcPr>
          <w:p>
            <w:pPr>
              <w:ind w:left="440"/>
              <w:spacing w:after="0"/>
              <w:rPr>
                <w:sz w:val="20"/>
                <w:szCs w:val="20"/>
                <w:color w:val="auto"/>
              </w:rPr>
            </w:pPr>
            <w:r>
              <w:rPr>
                <w:rFonts w:ascii="Arial" w:cs="Arial" w:eastAsia="Arial" w:hAnsi="Arial"/>
                <w:sz w:val="14"/>
                <w:szCs w:val="14"/>
                <w:color w:val="auto"/>
              </w:rPr>
              <w:t>Publishing</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60" w:type="dxa"/>
            <w:vAlign w:val="bottom"/>
          </w:tcPr>
          <w:p>
            <w:pPr>
              <w:jc w:val="right"/>
              <w:ind w:right="8"/>
              <w:spacing w:after="0"/>
              <w:rPr>
                <w:sz w:val="20"/>
                <w:szCs w:val="20"/>
                <w:color w:val="auto"/>
              </w:rPr>
            </w:pPr>
            <w:r>
              <w:rPr>
                <w:rFonts w:ascii="Arial" w:cs="Arial" w:eastAsia="Arial" w:hAnsi="Arial"/>
                <w:sz w:val="14"/>
                <w:szCs w:val="14"/>
                <w:color w:val="auto"/>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3,273,268</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2,861,819</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3,273,268</w:t>
            </w: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3"/>
        </w:trPr>
        <w:tc>
          <w:tcPr>
            <w:tcW w:w="2200" w:type="dxa"/>
            <w:vAlign w:val="bottom"/>
          </w:tcPr>
          <w:p>
            <w:pPr>
              <w:spacing w:after="0"/>
              <w:rPr>
                <w:sz w:val="20"/>
                <w:szCs w:val="20"/>
                <w:color w:val="auto"/>
              </w:rPr>
            </w:pPr>
            <w:r>
              <w:rPr>
                <w:rFonts w:ascii="Arial" w:cs="Arial" w:eastAsia="Arial" w:hAnsi="Arial"/>
                <w:sz w:val="14"/>
                <w:szCs w:val="14"/>
                <w:color w:val="auto"/>
                <w:w w:val="99"/>
              </w:rPr>
              <w:t>Global Integrated Flooring Systems</w:t>
            </w:r>
          </w:p>
        </w:tc>
        <w:tc>
          <w:tcPr>
            <w:tcW w:w="680" w:type="dxa"/>
            <w:vAlign w:val="bottom"/>
          </w:tcPr>
          <w:p>
            <w:pPr>
              <w:ind w:left="60"/>
              <w:spacing w:after="0"/>
              <w:rPr>
                <w:sz w:val="20"/>
                <w:szCs w:val="20"/>
                <w:color w:val="auto"/>
              </w:rPr>
            </w:pPr>
            <w:r>
              <w:rPr>
                <w:rFonts w:ascii="Arial" w:cs="Arial" w:eastAsia="Arial" w:hAnsi="Arial"/>
                <w:sz w:val="12"/>
                <w:szCs w:val="12"/>
                <w:color w:val="auto"/>
              </w:rPr>
              <w:t>(8)(13)(23)</w:t>
            </w:r>
          </w:p>
        </w:tc>
        <w:tc>
          <w:tcPr>
            <w:tcW w:w="5360" w:type="dxa"/>
            <w:vAlign w:val="bottom"/>
            <w:gridSpan w:val="2"/>
          </w:tcPr>
          <w:p>
            <w:pPr>
              <w:ind w:left="80"/>
              <w:spacing w:after="0"/>
              <w:rPr>
                <w:sz w:val="20"/>
                <w:szCs w:val="20"/>
                <w:color w:val="auto"/>
              </w:rPr>
            </w:pPr>
            <w:r>
              <w:rPr>
                <w:rFonts w:ascii="Arial" w:cs="Arial" w:eastAsia="Arial" w:hAnsi="Arial"/>
                <w:sz w:val="14"/>
                <w:szCs w:val="14"/>
                <w:color w:val="auto"/>
              </w:rPr>
              <w:t>Senior Secured Loan — Revolver</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61"/>
        </w:trPr>
        <w:tc>
          <w:tcPr>
            <w:tcW w:w="2200" w:type="dxa"/>
            <w:vAlign w:val="bottom"/>
          </w:tcPr>
          <w:p>
            <w:pPr>
              <w:ind w:left="160"/>
              <w:spacing w:after="0"/>
              <w:rPr>
                <w:sz w:val="20"/>
                <w:szCs w:val="20"/>
                <w:color w:val="auto"/>
              </w:rPr>
            </w:pPr>
            <w:r>
              <w:rPr>
                <w:rFonts w:ascii="Arial" w:cs="Arial" w:eastAsia="Arial" w:hAnsi="Arial"/>
                <w:sz w:val="14"/>
                <w:szCs w:val="14"/>
                <w:color w:val="auto"/>
              </w:rPr>
              <w:t>Inc.</w:t>
            </w:r>
          </w:p>
        </w:tc>
        <w:tc>
          <w:tcPr>
            <w:tcW w:w="68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4"/>
                <w:szCs w:val="14"/>
                <w:color w:val="auto"/>
                <w:w w:val="93"/>
              </w:rPr>
              <w:t>0.8%</w:t>
            </w:r>
          </w:p>
        </w:tc>
        <w:tc>
          <w:tcPr>
            <w:tcW w:w="4960" w:type="dxa"/>
            <w:vAlign w:val="bottom"/>
          </w:tcPr>
          <w:p>
            <w:pPr>
              <w:ind w:left="20"/>
              <w:spacing w:after="0"/>
              <w:rPr>
                <w:sz w:val="20"/>
                <w:szCs w:val="20"/>
                <w:color w:val="auto"/>
              </w:rPr>
            </w:pPr>
            <w:r>
              <w:rPr>
                <w:rFonts w:ascii="Arial" w:cs="Arial" w:eastAsia="Arial" w:hAnsi="Arial"/>
                <w:sz w:val="14"/>
                <w:szCs w:val="14"/>
                <w:color w:val="auto"/>
              </w:rPr>
              <w:t>Cash, Due 2/23</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48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4760" w:type="dxa"/>
            <w:vAlign w:val="bottom"/>
          </w:tcPr>
          <w:p>
            <w:pPr>
              <w:spacing w:after="0" w:line="137" w:lineRule="exact"/>
              <w:rPr>
                <w:sz w:val="20"/>
                <w:szCs w:val="20"/>
                <w:color w:val="auto"/>
              </w:rPr>
            </w:pPr>
            <w:r>
              <w:rPr>
                <w:rFonts w:ascii="Arial" w:cs="Arial" w:eastAsia="Arial" w:hAnsi="Arial"/>
                <w:sz w:val="14"/>
                <w:szCs w:val="14"/>
                <w:color w:val="auto"/>
              </w:rPr>
              <w:t>9000 Regency Parkway Suite 400,</w:t>
            </w:r>
          </w:p>
        </w:tc>
        <w:tc>
          <w:tcPr>
            <w:tcW w:w="3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8"/>
        </w:trPr>
        <w:tc>
          <w:tcPr>
            <w:tcW w:w="4760" w:type="dxa"/>
            <w:vAlign w:val="bottom"/>
          </w:tcPr>
          <w:p>
            <w:pPr>
              <w:ind w:left="160"/>
              <w:spacing w:after="0" w:line="149" w:lineRule="exact"/>
              <w:rPr>
                <w:sz w:val="20"/>
                <w:szCs w:val="20"/>
                <w:color w:val="auto"/>
              </w:rPr>
            </w:pPr>
            <w:r>
              <w:rPr>
                <w:rFonts w:ascii="Arial" w:cs="Arial" w:eastAsia="Arial" w:hAnsi="Arial"/>
                <w:sz w:val="14"/>
                <w:szCs w:val="14"/>
                <w:color w:val="auto"/>
              </w:rPr>
              <w:t>Cary, NC 27518</w:t>
            </w:r>
          </w:p>
        </w:tc>
        <w:tc>
          <w:tcPr>
            <w:tcW w:w="3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6"/>
        </w:trPr>
        <w:tc>
          <w:tcPr>
            <w:tcW w:w="4760" w:type="dxa"/>
            <w:vAlign w:val="bottom"/>
          </w:tcPr>
          <w:p>
            <w:pPr>
              <w:ind w:left="300"/>
              <w:spacing w:after="0"/>
              <w:rPr>
                <w:sz w:val="20"/>
                <w:szCs w:val="20"/>
                <w:color w:val="auto"/>
              </w:rPr>
            </w:pPr>
            <w:r>
              <w:rPr>
                <w:rFonts w:ascii="Arial" w:cs="Arial" w:eastAsia="Arial" w:hAnsi="Arial"/>
                <w:sz w:val="14"/>
                <w:szCs w:val="14"/>
                <w:color w:val="auto"/>
              </w:rPr>
              <w:t>Consumer goods: Durable</w:t>
            </w:r>
          </w:p>
        </w:tc>
        <w:tc>
          <w:tcPr>
            <w:tcW w:w="3660" w:type="dxa"/>
            <w:vAlign w:val="bottom"/>
          </w:tcPr>
          <w:p>
            <w:pPr>
              <w:jc w:val="right"/>
              <w:ind w:right="188"/>
              <w:spacing w:after="0"/>
              <w:rPr>
                <w:sz w:val="20"/>
                <w:szCs w:val="20"/>
                <w:color w:val="auto"/>
              </w:rPr>
            </w:pPr>
            <w:r>
              <w:rPr>
                <w:rFonts w:ascii="Arial" w:cs="Arial" w:eastAsia="Arial" w:hAnsi="Arial"/>
                <w:sz w:val="14"/>
                <w:szCs w:val="14"/>
                <w:color w:val="auto"/>
              </w:rPr>
              <w:t>10/28/2020</w:t>
            </w:r>
          </w:p>
        </w:tc>
        <w:tc>
          <w:tcPr>
            <w:tcW w:w="740" w:type="dxa"/>
            <w:vAlign w:val="bottom"/>
          </w:tcPr>
          <w:p>
            <w:pPr>
              <w:ind w:left="260"/>
              <w:spacing w:after="0"/>
              <w:rPr>
                <w:sz w:val="20"/>
                <w:szCs w:val="20"/>
                <w:color w:val="auto"/>
              </w:rPr>
            </w:pPr>
            <w:r>
              <w:rPr>
                <w:rFonts w:ascii="Arial" w:cs="Arial" w:eastAsia="Arial" w:hAnsi="Arial"/>
                <w:sz w:val="14"/>
                <w:szCs w:val="14"/>
                <w:color w:val="auto"/>
              </w:rPr>
              <w:t>—</w:t>
            </w:r>
          </w:p>
        </w:tc>
        <w:tc>
          <w:tcPr>
            <w:tcW w:w="680" w:type="dxa"/>
            <w:vAlign w:val="bottom"/>
          </w:tcPr>
          <w:p>
            <w:pPr>
              <w:ind w:left="3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(18,257)</w:t>
            </w:r>
          </w:p>
        </w:tc>
        <w:tc>
          <w:tcPr>
            <w:tcW w:w="480" w:type="dxa"/>
            <w:vAlign w:val="bottom"/>
          </w:tcPr>
          <w:p>
            <w:pPr>
              <w:jc w:val="right"/>
              <w:spacing w:after="0"/>
              <w:rPr>
                <w:sz w:val="20"/>
                <w:szCs w:val="20"/>
                <w:color w:val="auto"/>
              </w:rPr>
            </w:pPr>
            <w:r>
              <w:rPr>
                <w:rFonts w:ascii="Arial" w:cs="Arial" w:eastAsia="Arial" w:hAnsi="Arial"/>
                <w:sz w:val="14"/>
                <w:szCs w:val="14"/>
                <w:color w:val="auto"/>
              </w:rPr>
              <w:t>0.0%</w:t>
            </w: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320" w:top="459" w:right="379" w:bottom="1440" w:gutter="0" w:footer="0" w:header="0"/>
        </w:sect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w:t>
            </w:r>
          </w:p>
        </w:tc>
        <w:tc>
          <w:tcPr>
            <w:tcW w:w="700" w:type="dxa"/>
            <w:vAlign w:val="bottom"/>
          </w:tcPr>
          <w:p>
            <w:pPr>
              <w:spacing w:after="0"/>
              <w:rPr>
                <w:sz w:val="14"/>
                <w:szCs w:val="14"/>
                <w:color w:val="auto"/>
              </w:rPr>
            </w:pPr>
          </w:p>
        </w:tc>
        <w:tc>
          <w:tcPr>
            <w:tcW w:w="4460" w:type="dxa"/>
            <w:vAlign w:val="bottom"/>
          </w:tcPr>
          <w:p>
            <w:pPr>
              <w:ind w:left="188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Principal Business</w:t>
            </w: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211"/>
        </w:trPr>
        <w:tc>
          <w:tcPr>
            <w:tcW w:w="2260" w:type="dxa"/>
            <w:vAlign w:val="bottom"/>
            <w:gridSpan w:val="2"/>
          </w:tcPr>
          <w:p>
            <w:pPr>
              <w:spacing w:after="0"/>
              <w:rPr>
                <w:sz w:val="20"/>
                <w:szCs w:val="20"/>
                <w:color w:val="auto"/>
              </w:rPr>
            </w:pPr>
            <w:r>
              <w:rPr>
                <w:rFonts w:ascii="Arial" w:cs="Arial" w:eastAsia="Arial" w:hAnsi="Arial"/>
                <w:sz w:val="14"/>
                <w:szCs w:val="14"/>
                <w:color w:val="auto"/>
              </w:rPr>
              <w:t>Global Integrated Flooring Systems</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(8)(13)</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Inc.</w:t>
            </w:r>
          </w:p>
        </w:tc>
        <w:tc>
          <w:tcPr>
            <w:tcW w:w="700" w:type="dxa"/>
            <w:vAlign w:val="bottom"/>
          </w:tcPr>
          <w:p>
            <w:pPr>
              <w:spacing w:after="0"/>
              <w:rPr>
                <w:sz w:val="12"/>
                <w:szCs w:val="12"/>
                <w:color w:val="auto"/>
              </w:rPr>
            </w:pPr>
          </w:p>
        </w:tc>
        <w:tc>
          <w:tcPr>
            <w:tcW w:w="4460" w:type="dxa"/>
            <w:vAlign w:val="bottom"/>
            <w:vMerge w:val="restart"/>
          </w:tcPr>
          <w:p>
            <w:pPr>
              <w:spacing w:after="0"/>
              <w:rPr>
                <w:sz w:val="20"/>
                <w:szCs w:val="20"/>
                <w:color w:val="auto"/>
              </w:rPr>
            </w:pPr>
            <w:r>
              <w:rPr>
                <w:rFonts w:ascii="Arial" w:cs="Arial" w:eastAsia="Arial" w:hAnsi="Arial"/>
                <w:sz w:val="14"/>
                <w:szCs w:val="14"/>
                <w:color w:val="auto"/>
              </w:rPr>
              <w:t>Senior Secured Loan — First Lien Term Loan</w:t>
            </w:r>
          </w:p>
        </w:tc>
        <w:tc>
          <w:tcPr>
            <w:tcW w:w="0" w:type="dxa"/>
            <w:vAlign w:val="bottom"/>
          </w:tcPr>
          <w:p>
            <w:pPr>
              <w:spacing w:after="0"/>
              <w:rPr>
                <w:sz w:val="1"/>
                <w:szCs w:val="1"/>
                <w:color w:val="auto"/>
              </w:rPr>
            </w:pPr>
          </w:p>
        </w:tc>
      </w:tr>
      <w:tr>
        <w:trPr>
          <w:trHeight w:val="68"/>
        </w:trPr>
        <w:tc>
          <w:tcPr>
            <w:tcW w:w="22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9000 Regency Parkway Suite 400,</w:t>
            </w:r>
          </w:p>
        </w:tc>
        <w:tc>
          <w:tcPr>
            <w:tcW w:w="700" w:type="dxa"/>
            <w:vAlign w:val="bottom"/>
          </w:tcPr>
          <w:p>
            <w:pPr>
              <w:spacing w:after="0"/>
              <w:rPr>
                <w:sz w:val="5"/>
                <w:szCs w:val="5"/>
                <w:color w:val="auto"/>
              </w:rPr>
            </w:pPr>
          </w:p>
        </w:tc>
        <w:tc>
          <w:tcPr>
            <w:tcW w:w="4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4460" w:type="dxa"/>
            <w:vAlign w:val="bottom"/>
            <w:vMerge w:val="restart"/>
          </w:tcPr>
          <w:p>
            <w:pPr>
              <w:spacing w:after="0"/>
              <w:rPr>
                <w:sz w:val="20"/>
                <w:szCs w:val="20"/>
                <w:color w:val="auto"/>
              </w:rPr>
            </w:pPr>
            <w:r>
              <w:rPr>
                <w:rFonts w:ascii="Arial" w:cs="Arial" w:eastAsia="Arial" w:hAnsi="Arial"/>
                <w:sz w:val="14"/>
                <w:szCs w:val="14"/>
                <w:color w:val="auto"/>
                <w:w w:val="97"/>
              </w:rPr>
              <w:t>9.5% Cash, 3 Month Libor (1.25%) + 8.25%; Libor Floor 1.25%, Due 2/23</w:t>
            </w:r>
          </w:p>
        </w:tc>
        <w:tc>
          <w:tcPr>
            <w:tcW w:w="0" w:type="dxa"/>
            <w:vAlign w:val="bottom"/>
          </w:tcPr>
          <w:p>
            <w:pPr>
              <w:spacing w:after="0"/>
              <w:rPr>
                <w:sz w:val="1"/>
                <w:szCs w:val="1"/>
                <w:color w:val="auto"/>
              </w:rPr>
            </w:pPr>
          </w:p>
        </w:tc>
      </w:tr>
      <w:tr>
        <w:trPr>
          <w:trHeight w:val="101"/>
        </w:trPr>
        <w:tc>
          <w:tcPr>
            <w:tcW w:w="22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Cary, NC 27518</w:t>
            </w:r>
          </w:p>
        </w:tc>
        <w:tc>
          <w:tcPr>
            <w:tcW w:w="70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26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Consumer goods: Durable</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60" w:type="dxa"/>
            <w:vAlign w:val="bottom"/>
            <w:gridSpan w:val="2"/>
          </w:tcPr>
          <w:p>
            <w:pPr>
              <w:spacing w:after="0"/>
              <w:rPr>
                <w:sz w:val="20"/>
                <w:szCs w:val="20"/>
                <w:color w:val="auto"/>
              </w:rPr>
            </w:pPr>
            <w:r>
              <w:rPr>
                <w:rFonts w:ascii="Arial" w:cs="Arial" w:eastAsia="Arial" w:hAnsi="Arial"/>
                <w:sz w:val="14"/>
                <w:szCs w:val="14"/>
                <w:color w:val="auto"/>
              </w:rPr>
              <w:t>Global Tel*Link Corporation</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(8)(13)</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260" w:type="dxa"/>
            <w:vAlign w:val="bottom"/>
            <w:gridSpan w:val="2"/>
          </w:tcPr>
          <w:p>
            <w:pPr>
              <w:spacing w:after="0" w:line="154" w:lineRule="exact"/>
              <w:rPr>
                <w:sz w:val="20"/>
                <w:szCs w:val="20"/>
                <w:color w:val="auto"/>
              </w:rPr>
            </w:pPr>
            <w:r>
              <w:rPr>
                <w:rFonts w:ascii="Arial" w:cs="Arial" w:eastAsia="Arial" w:hAnsi="Arial"/>
                <w:sz w:val="14"/>
                <w:szCs w:val="14"/>
                <w:color w:val="auto"/>
                <w:w w:val="99"/>
              </w:rPr>
              <w:t>3700 32nd Street SE Grand Rapids,</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(14)</w:t>
            </w:r>
          </w:p>
        </w:tc>
        <w:tc>
          <w:tcPr>
            <w:tcW w:w="4460" w:type="dxa"/>
            <w:vAlign w:val="bottom"/>
          </w:tcPr>
          <w:p>
            <w:pPr>
              <w:spacing w:after="0" w:line="154" w:lineRule="exact"/>
              <w:rPr>
                <w:sz w:val="20"/>
                <w:szCs w:val="20"/>
                <w:color w:val="auto"/>
              </w:rPr>
            </w:pPr>
            <w:r>
              <w:rPr>
                <w:rFonts w:ascii="Arial" w:cs="Arial" w:eastAsia="Arial" w:hAnsi="Arial"/>
                <w:sz w:val="14"/>
                <w:szCs w:val="14"/>
                <w:color w:val="auto"/>
              </w:rPr>
              <w:t>Junior Secured Loan — Loan (Second Lien)</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MI 49512</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8.4% Cash, 1 Month Libor (0.10%) + 8.25%, Due 11/26</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Telecommunications</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spacing w:after="0"/>
              <w:rPr>
                <w:sz w:val="20"/>
                <w:szCs w:val="20"/>
                <w:color w:val="auto"/>
              </w:rPr>
            </w:pPr>
            <w:r>
              <w:rPr>
                <w:rFonts w:ascii="Arial" w:cs="Arial" w:eastAsia="Arial" w:hAnsi="Arial"/>
                <w:sz w:val="14"/>
                <w:szCs w:val="14"/>
                <w:color w:val="auto"/>
              </w:rPr>
              <w:t>GNC Holdings, LLC</w:t>
            </w:r>
          </w:p>
        </w:tc>
        <w:tc>
          <w:tcPr>
            <w:tcW w:w="700" w:type="dxa"/>
            <w:vAlign w:val="bottom"/>
          </w:tcPr>
          <w:p>
            <w:pPr>
              <w:jc w:val="right"/>
              <w:ind w:right="419"/>
              <w:spacing w:after="0"/>
              <w:rPr>
                <w:sz w:val="20"/>
                <w:szCs w:val="20"/>
                <w:color w:val="auto"/>
              </w:rPr>
            </w:pPr>
            <w:r>
              <w:rPr>
                <w:rFonts w:ascii="Arial" w:cs="Arial" w:eastAsia="Arial" w:hAnsi="Arial"/>
                <w:sz w:val="12"/>
                <w:szCs w:val="12"/>
                <w:color w:val="auto"/>
              </w:rPr>
              <w:t>(8)</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300 Sixth Avenue, Pittsburgh, PA</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Junior Secured Loan — Term Loan (Second Lien)</w:t>
            </w: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15222</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6.2% PIK, Due 10/26</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Beverage, Food and Tobacco</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spacing w:after="0"/>
              <w:rPr>
                <w:sz w:val="20"/>
                <w:szCs w:val="20"/>
                <w:color w:val="auto"/>
              </w:rPr>
            </w:pPr>
            <w:r>
              <w:rPr>
                <w:rFonts w:ascii="Arial" w:cs="Arial" w:eastAsia="Arial" w:hAnsi="Arial"/>
                <w:sz w:val="14"/>
                <w:szCs w:val="14"/>
                <w:color w:val="auto"/>
              </w:rPr>
              <w:t>Gruden Acquisition, Inc.</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(8)(14)</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w w:val="99"/>
              </w:rPr>
              <w:t>12021 Sunset Hills Road, Suite 100,</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Senior Secured Loan — First Lien Term Loan</w:t>
            </w:r>
          </w:p>
        </w:tc>
        <w:tc>
          <w:tcPr>
            <w:tcW w:w="0" w:type="dxa"/>
            <w:vAlign w:val="bottom"/>
          </w:tcPr>
          <w:p>
            <w:pPr>
              <w:spacing w:after="0"/>
              <w:rPr>
                <w:sz w:val="1"/>
                <w:szCs w:val="1"/>
                <w:color w:val="auto"/>
              </w:rPr>
            </w:pPr>
          </w:p>
        </w:tc>
      </w:tr>
      <w:tr>
        <w:trPr>
          <w:trHeight w:val="148"/>
        </w:trPr>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Reston, VA 20190</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7.8% Cash, PRIME (3.25%) + 4.50%, Due 8/22</w:t>
            </w:r>
          </w:p>
        </w:tc>
        <w:tc>
          <w:tcPr>
            <w:tcW w:w="0" w:type="dxa"/>
            <w:vAlign w:val="bottom"/>
          </w:tcPr>
          <w:p>
            <w:pPr>
              <w:spacing w:after="0"/>
              <w:rPr>
                <w:sz w:val="1"/>
                <w:szCs w:val="1"/>
                <w:color w:val="auto"/>
              </w:rPr>
            </w:pPr>
          </w:p>
        </w:tc>
      </w:tr>
      <w:tr>
        <w:trPr>
          <w:trHeight w:val="16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Transportation: Cargo</w:t>
            </w:r>
          </w:p>
        </w:tc>
        <w:tc>
          <w:tcPr>
            <w:tcW w:w="7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60" w:type="dxa"/>
            <w:vAlign w:val="bottom"/>
            <w:gridSpan w:val="2"/>
          </w:tcPr>
          <w:p>
            <w:pPr>
              <w:spacing w:after="0" w:line="143" w:lineRule="exact"/>
              <w:rPr>
                <w:sz w:val="20"/>
                <w:szCs w:val="20"/>
                <w:color w:val="auto"/>
              </w:rPr>
            </w:pPr>
            <w:r>
              <w:rPr>
                <w:rFonts w:ascii="Arial" w:cs="Arial" w:eastAsia="Arial" w:hAnsi="Arial"/>
                <w:sz w:val="14"/>
                <w:szCs w:val="14"/>
                <w:color w:val="auto"/>
              </w:rPr>
              <w:t>Grupo HIMA San Pablo, Inc.</w:t>
            </w:r>
          </w:p>
        </w:tc>
        <w:tc>
          <w:tcPr>
            <w:tcW w:w="700" w:type="dxa"/>
            <w:vAlign w:val="bottom"/>
          </w:tcPr>
          <w:p>
            <w:pPr>
              <w:jc w:val="right"/>
              <w:ind w:right="79"/>
              <w:spacing w:after="0"/>
              <w:rPr>
                <w:sz w:val="20"/>
                <w:szCs w:val="20"/>
                <w:color w:val="auto"/>
              </w:rPr>
            </w:pPr>
            <w:r>
              <w:rPr>
                <w:rFonts w:ascii="Arial" w:cs="Arial" w:eastAsia="Arial" w:hAnsi="Arial"/>
                <w:sz w:val="12"/>
                <w:szCs w:val="12"/>
                <w:color w:val="auto"/>
              </w:rPr>
              <w:t>(5)(8)(13)</w:t>
            </w:r>
          </w:p>
        </w:tc>
        <w:tc>
          <w:tcPr>
            <w:tcW w:w="4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260" w:type="dxa"/>
            <w:vAlign w:val="bottom"/>
            <w:gridSpan w:val="2"/>
          </w:tcPr>
          <w:p>
            <w:pPr>
              <w:spacing w:after="0" w:line="154" w:lineRule="exact"/>
              <w:rPr>
                <w:sz w:val="20"/>
                <w:szCs w:val="20"/>
                <w:color w:val="auto"/>
              </w:rPr>
            </w:pPr>
            <w:r>
              <w:rPr>
                <w:rFonts w:ascii="Arial" w:cs="Arial" w:eastAsia="Arial" w:hAnsi="Arial"/>
                <w:sz w:val="14"/>
                <w:szCs w:val="14"/>
                <w:color w:val="auto"/>
                <w:w w:val="98"/>
              </w:rPr>
              <w:t>601 Lexington Avenue Suite 53 New</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(14)</w:t>
            </w:r>
          </w:p>
        </w:tc>
        <w:tc>
          <w:tcPr>
            <w:tcW w:w="4460" w:type="dxa"/>
            <w:vAlign w:val="bottom"/>
          </w:tcPr>
          <w:p>
            <w:pPr>
              <w:spacing w:after="0" w:line="154" w:lineRule="exact"/>
              <w:rPr>
                <w:sz w:val="20"/>
                <w:szCs w:val="20"/>
                <w:color w:val="auto"/>
              </w:rPr>
            </w:pPr>
            <w:r>
              <w:rPr>
                <w:rFonts w:ascii="Arial" w:cs="Arial" w:eastAsia="Arial" w:hAnsi="Arial"/>
                <w:sz w:val="14"/>
                <w:szCs w:val="14"/>
                <w:color w:val="auto"/>
              </w:rPr>
              <w:t>Senior Secured Loan — Term B Loan (First Lien)</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York, NY 10022</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w w:val="96"/>
              </w:rPr>
              <w:t>10.5% Cash, 3 Month Libor (1.50%) + 9.00%; Libor Floor 1.50%, Due 1/18</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spacing w:after="0"/>
              <w:rPr>
                <w:sz w:val="20"/>
                <w:szCs w:val="20"/>
                <w:color w:val="auto"/>
              </w:rPr>
            </w:pPr>
            <w:r>
              <w:rPr>
                <w:rFonts w:ascii="Arial" w:cs="Arial" w:eastAsia="Arial" w:hAnsi="Arial"/>
                <w:sz w:val="14"/>
                <w:szCs w:val="14"/>
                <w:color w:val="auto"/>
              </w:rPr>
              <w:t>Grupo HIMA San Pablo, Inc.</w:t>
            </w:r>
          </w:p>
        </w:tc>
        <w:tc>
          <w:tcPr>
            <w:tcW w:w="700" w:type="dxa"/>
            <w:vAlign w:val="bottom"/>
          </w:tcPr>
          <w:p>
            <w:pPr>
              <w:jc w:val="right"/>
              <w:ind w:right="79"/>
              <w:spacing w:after="0"/>
              <w:rPr>
                <w:sz w:val="20"/>
                <w:szCs w:val="20"/>
                <w:color w:val="auto"/>
              </w:rPr>
            </w:pPr>
            <w:r>
              <w:rPr>
                <w:rFonts w:ascii="Arial" w:cs="Arial" w:eastAsia="Arial" w:hAnsi="Arial"/>
                <w:sz w:val="12"/>
                <w:szCs w:val="12"/>
                <w:color w:val="auto"/>
              </w:rPr>
              <w:t>(5)(8)(13)</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w w:val="98"/>
              </w:rPr>
              <w:t>601 Lexington Avenue Suite 53 New</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Junior Secured Loan — Term Loan (Second Lien)</w:t>
            </w:r>
          </w:p>
        </w:tc>
        <w:tc>
          <w:tcPr>
            <w:tcW w:w="0" w:type="dxa"/>
            <w:vAlign w:val="bottom"/>
          </w:tcPr>
          <w:p>
            <w:pPr>
              <w:spacing w:after="0"/>
              <w:rPr>
                <w:sz w:val="1"/>
                <w:szCs w:val="1"/>
                <w:color w:val="auto"/>
              </w:rPr>
            </w:pPr>
          </w:p>
        </w:tc>
      </w:tr>
      <w:tr>
        <w:trPr>
          <w:trHeight w:val="148"/>
        </w:trPr>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York, NY 10022</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13.8% Cash, Due 7/18</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spacing w:after="0"/>
              <w:rPr>
                <w:sz w:val="20"/>
                <w:szCs w:val="20"/>
                <w:color w:val="auto"/>
              </w:rPr>
            </w:pPr>
            <w:r>
              <w:rPr>
                <w:rFonts w:ascii="Arial" w:cs="Arial" w:eastAsia="Arial" w:hAnsi="Arial"/>
                <w:sz w:val="14"/>
                <w:szCs w:val="14"/>
                <w:color w:val="auto"/>
                <w:w w:val="97"/>
              </w:rPr>
              <w:t>H-CA II, LLC P.O. Box 4980 Caguas,</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(8)(13)</w:t>
            </w:r>
          </w:p>
        </w:tc>
        <w:tc>
          <w:tcPr>
            <w:tcW w:w="4460" w:type="dxa"/>
            <w:vAlign w:val="bottom"/>
            <w:vMerge w:val="restart"/>
          </w:tcPr>
          <w:p>
            <w:pPr>
              <w:spacing w:after="0"/>
              <w:rPr>
                <w:sz w:val="20"/>
                <w:szCs w:val="20"/>
                <w:color w:val="auto"/>
              </w:rPr>
            </w:pPr>
            <w:r>
              <w:rPr>
                <w:rFonts w:ascii="Arial" w:cs="Arial" w:eastAsia="Arial" w:hAnsi="Arial"/>
                <w:sz w:val="14"/>
                <w:szCs w:val="14"/>
                <w:color w:val="auto"/>
              </w:rPr>
              <w:t>Senior Secured Loan — Term Loan</w:t>
            </w:r>
          </w:p>
        </w:tc>
        <w:tc>
          <w:tcPr>
            <w:tcW w:w="0" w:type="dxa"/>
            <w:vAlign w:val="bottom"/>
          </w:tcPr>
          <w:p>
            <w:pPr>
              <w:spacing w:after="0"/>
              <w:rPr>
                <w:sz w:val="1"/>
                <w:szCs w:val="1"/>
                <w:color w:val="auto"/>
              </w:rPr>
            </w:pPr>
          </w:p>
        </w:tc>
      </w:tr>
      <w:tr>
        <w:trPr>
          <w:trHeight w:val="68"/>
        </w:trPr>
        <w:tc>
          <w:tcPr>
            <w:tcW w:w="22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PR 00726</w:t>
            </w:r>
          </w:p>
        </w:tc>
        <w:tc>
          <w:tcPr>
            <w:tcW w:w="700" w:type="dxa"/>
            <w:vAlign w:val="bottom"/>
          </w:tcPr>
          <w:p>
            <w:pPr>
              <w:spacing w:after="0"/>
              <w:rPr>
                <w:sz w:val="5"/>
                <w:szCs w:val="5"/>
                <w:color w:val="auto"/>
              </w:rPr>
            </w:pPr>
          </w:p>
        </w:tc>
        <w:tc>
          <w:tcPr>
            <w:tcW w:w="4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2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4460" w:type="dxa"/>
            <w:vAlign w:val="bottom"/>
            <w:vMerge w:val="restart"/>
          </w:tcPr>
          <w:p>
            <w:pPr>
              <w:spacing w:after="0"/>
              <w:rPr>
                <w:sz w:val="20"/>
                <w:szCs w:val="20"/>
                <w:color w:val="auto"/>
              </w:rPr>
            </w:pPr>
            <w:r>
              <w:rPr>
                <w:rFonts w:ascii="Arial" w:cs="Arial" w:eastAsia="Arial" w:hAnsi="Arial"/>
                <w:sz w:val="14"/>
                <w:szCs w:val="14"/>
                <w:color w:val="auto"/>
              </w:rPr>
              <w:t>19.0% Cash, Due 2/24</w:t>
            </w:r>
          </w:p>
        </w:tc>
        <w:tc>
          <w:tcPr>
            <w:tcW w:w="0" w:type="dxa"/>
            <w:vAlign w:val="bottom"/>
          </w:tcPr>
          <w:p>
            <w:pPr>
              <w:spacing w:after="0"/>
              <w:rPr>
                <w:sz w:val="1"/>
                <w:szCs w:val="1"/>
                <w:color w:val="auto"/>
              </w:rPr>
            </w:pPr>
          </w:p>
        </w:tc>
      </w:tr>
      <w:tr>
        <w:trPr>
          <w:trHeight w:val="101"/>
        </w:trPr>
        <w:tc>
          <w:tcPr>
            <w:tcW w:w="2260" w:type="dxa"/>
            <w:vAlign w:val="bottom"/>
            <w:gridSpan w:val="2"/>
            <w:vMerge w:val="restart"/>
          </w:tcPr>
          <w:p>
            <w:pPr>
              <w:ind w:left="300"/>
              <w:spacing w:after="0"/>
              <w:rPr>
                <w:sz w:val="20"/>
                <w:szCs w:val="20"/>
                <w:color w:val="auto"/>
              </w:rPr>
            </w:pPr>
            <w:r>
              <w:rPr>
                <w:rFonts w:ascii="Arial" w:cs="Arial" w:eastAsia="Arial" w:hAnsi="Arial"/>
                <w:sz w:val="14"/>
                <w:szCs w:val="14"/>
                <w:color w:val="auto"/>
              </w:rPr>
              <w:t>Healthcare &amp; Pharmaceuticals</w:t>
            </w:r>
          </w:p>
        </w:tc>
        <w:tc>
          <w:tcPr>
            <w:tcW w:w="70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2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960" w:type="dxa"/>
            <w:vAlign w:val="bottom"/>
            <w:gridSpan w:val="3"/>
          </w:tcPr>
          <w:p>
            <w:pPr>
              <w:spacing w:after="0"/>
              <w:rPr>
                <w:sz w:val="20"/>
                <w:szCs w:val="20"/>
                <w:color w:val="auto"/>
              </w:rPr>
            </w:pPr>
            <w:r>
              <w:rPr>
                <w:rFonts w:ascii="Arial" w:cs="Arial" w:eastAsia="Arial" w:hAnsi="Arial"/>
                <w:sz w:val="14"/>
                <w:szCs w:val="14"/>
                <w:color w:val="auto"/>
              </w:rPr>
              <w:t xml:space="preserve">HDC/HW Intermediate Holdings, LLC </w:t>
            </w:r>
            <w:r>
              <w:rPr>
                <w:rFonts w:ascii="Arial" w:cs="Arial" w:eastAsia="Arial" w:hAnsi="Arial"/>
                <w:sz w:val="12"/>
                <w:szCs w:val="12"/>
                <w:color w:val="auto"/>
              </w:rPr>
              <w:t>(8)(13)</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26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620 Division Street, Elizabeth, NJ</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(14)</w:t>
            </w:r>
          </w:p>
        </w:tc>
        <w:tc>
          <w:tcPr>
            <w:tcW w:w="4460" w:type="dxa"/>
            <w:vAlign w:val="bottom"/>
          </w:tcPr>
          <w:p>
            <w:pPr>
              <w:spacing w:after="0" w:line="154" w:lineRule="exact"/>
              <w:rPr>
                <w:sz w:val="20"/>
                <w:szCs w:val="20"/>
                <w:color w:val="auto"/>
              </w:rPr>
            </w:pPr>
            <w:r>
              <w:rPr>
                <w:rFonts w:ascii="Arial" w:cs="Arial" w:eastAsia="Arial" w:hAnsi="Arial"/>
                <w:sz w:val="14"/>
                <w:szCs w:val="14"/>
                <w:color w:val="auto"/>
              </w:rPr>
              <w:t>Senior Secured Loan — Revolver</w:t>
            </w: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07207</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w w:val="96"/>
              </w:rPr>
              <w:t>8.5% Cash, 3 Month Libor (1.00%) + 7.50%; Libor Floor 1.00%, Due 12/23</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960" w:type="dxa"/>
            <w:vAlign w:val="bottom"/>
            <w:gridSpan w:val="3"/>
          </w:tcPr>
          <w:p>
            <w:pPr>
              <w:spacing w:after="0"/>
              <w:rPr>
                <w:sz w:val="20"/>
                <w:szCs w:val="20"/>
                <w:color w:val="auto"/>
              </w:rPr>
            </w:pPr>
            <w:r>
              <w:rPr>
                <w:rFonts w:ascii="Arial" w:cs="Arial" w:eastAsia="Arial" w:hAnsi="Arial"/>
                <w:sz w:val="14"/>
                <w:szCs w:val="14"/>
                <w:color w:val="auto"/>
              </w:rPr>
              <w:t xml:space="preserve">HDC/HW Intermediate Holdings, LLC </w:t>
            </w:r>
            <w:r>
              <w:rPr>
                <w:rFonts w:ascii="Arial" w:cs="Arial" w:eastAsia="Arial" w:hAnsi="Arial"/>
                <w:sz w:val="12"/>
                <w:szCs w:val="12"/>
                <w:color w:val="auto"/>
              </w:rPr>
              <w:t>(8)(13)</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26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620 Division Street, Elizabeth, NJ</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(14)</w:t>
            </w:r>
          </w:p>
        </w:tc>
        <w:tc>
          <w:tcPr>
            <w:tcW w:w="4460" w:type="dxa"/>
            <w:vAlign w:val="bottom"/>
          </w:tcPr>
          <w:p>
            <w:pPr>
              <w:spacing w:after="0" w:line="154" w:lineRule="exact"/>
              <w:rPr>
                <w:sz w:val="20"/>
                <w:szCs w:val="20"/>
                <w:color w:val="auto"/>
              </w:rPr>
            </w:pPr>
            <w:r>
              <w:rPr>
                <w:rFonts w:ascii="Arial" w:cs="Arial" w:eastAsia="Arial" w:hAnsi="Arial"/>
                <w:sz w:val="14"/>
                <w:szCs w:val="14"/>
                <w:color w:val="auto"/>
              </w:rPr>
              <w:t>Senior Secured Loan — First Lien Term Loan A</w:t>
            </w: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07207</w:t>
            </w: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w w:val="96"/>
              </w:rPr>
              <w:t>8.5% Cash, 3 Month Libor (1.00%) + 7.50%; Libor Floor 1.00%, Due 12/23</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spacing w:after="0"/>
              <w:rPr>
                <w:sz w:val="20"/>
                <w:szCs w:val="20"/>
                <w:color w:val="auto"/>
              </w:rPr>
            </w:pPr>
            <w:r>
              <w:rPr>
                <w:rFonts w:ascii="Arial" w:cs="Arial" w:eastAsia="Arial" w:hAnsi="Arial"/>
                <w:sz w:val="14"/>
                <w:szCs w:val="14"/>
                <w:color w:val="auto"/>
              </w:rPr>
              <w:t>Helix Acquisition Holdings, Inc.</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(8)(14)</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w w:val="96"/>
              </w:rPr>
              <w:t>211 Wacker Dr., Suite 900E Chicago,</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Junior Secured Loan — Initial Term Loan (Second Lien)</w:t>
            </w:r>
          </w:p>
        </w:tc>
        <w:tc>
          <w:tcPr>
            <w:tcW w:w="0" w:type="dxa"/>
            <w:vAlign w:val="bottom"/>
          </w:tcPr>
          <w:p>
            <w:pPr>
              <w:spacing w:after="0"/>
              <w:rPr>
                <w:sz w:val="1"/>
                <w:szCs w:val="1"/>
                <w:color w:val="auto"/>
              </w:rPr>
            </w:pPr>
          </w:p>
        </w:tc>
      </w:tr>
      <w:tr>
        <w:trPr>
          <w:trHeight w:val="148"/>
        </w:trPr>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IL 60606</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8.2% Cash, 3 Month Libor (0.15%) + 8.00%, Due 9/25</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Metals &amp; Mining</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60" w:type="dxa"/>
            <w:vAlign w:val="bottom"/>
            <w:gridSpan w:val="2"/>
          </w:tcPr>
          <w:p>
            <w:pPr>
              <w:spacing w:after="0"/>
              <w:rPr>
                <w:sz w:val="20"/>
                <w:szCs w:val="20"/>
                <w:color w:val="auto"/>
              </w:rPr>
            </w:pPr>
            <w:r>
              <w:rPr>
                <w:rFonts w:ascii="Arial" w:cs="Arial" w:eastAsia="Arial" w:hAnsi="Arial"/>
                <w:sz w:val="14"/>
                <w:szCs w:val="14"/>
                <w:color w:val="auto"/>
              </w:rPr>
              <w:t>Hoffmaster Group, Inc.</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(8)(13)</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260" w:type="dxa"/>
            <w:vAlign w:val="bottom"/>
            <w:gridSpan w:val="2"/>
          </w:tcPr>
          <w:p>
            <w:pPr>
              <w:spacing w:after="0" w:line="154" w:lineRule="exact"/>
              <w:rPr>
                <w:sz w:val="20"/>
                <w:szCs w:val="20"/>
                <w:color w:val="auto"/>
              </w:rPr>
            </w:pPr>
            <w:r>
              <w:rPr>
                <w:rFonts w:ascii="Arial" w:cs="Arial" w:eastAsia="Arial" w:hAnsi="Arial"/>
                <w:sz w:val="14"/>
                <w:szCs w:val="14"/>
                <w:color w:val="auto"/>
              </w:rPr>
              <w:t>9501 Technology Boulevard, Suite</w:t>
            </w:r>
          </w:p>
        </w:tc>
        <w:tc>
          <w:tcPr>
            <w:tcW w:w="700" w:type="dxa"/>
            <w:vAlign w:val="bottom"/>
          </w:tcPr>
          <w:p>
            <w:pPr>
              <w:jc w:val="right"/>
              <w:ind w:right="219"/>
              <w:spacing w:after="0"/>
              <w:rPr>
                <w:sz w:val="20"/>
                <w:szCs w:val="20"/>
                <w:color w:val="auto"/>
              </w:rPr>
            </w:pPr>
            <w:r>
              <w:rPr>
                <w:rFonts w:ascii="Arial" w:cs="Arial" w:eastAsia="Arial" w:hAnsi="Arial"/>
                <w:sz w:val="12"/>
                <w:szCs w:val="12"/>
                <w:color w:val="auto"/>
              </w:rPr>
              <w:t>(14)</w:t>
            </w:r>
          </w:p>
        </w:tc>
        <w:tc>
          <w:tcPr>
            <w:tcW w:w="4460" w:type="dxa"/>
            <w:vAlign w:val="bottom"/>
          </w:tcPr>
          <w:p>
            <w:pPr>
              <w:spacing w:after="0" w:line="154" w:lineRule="exact"/>
              <w:rPr>
                <w:sz w:val="20"/>
                <w:szCs w:val="20"/>
                <w:color w:val="auto"/>
              </w:rPr>
            </w:pPr>
            <w:r>
              <w:rPr>
                <w:rFonts w:ascii="Arial" w:cs="Arial" w:eastAsia="Arial" w:hAnsi="Arial"/>
                <w:sz w:val="14"/>
                <w:szCs w:val="14"/>
                <w:color w:val="auto"/>
              </w:rPr>
              <w:t>Junior Secured Loan — Initial Term Loan (Second Lien)</w:t>
            </w:r>
          </w:p>
        </w:tc>
        <w:tc>
          <w:tcPr>
            <w:tcW w:w="0" w:type="dxa"/>
            <w:vAlign w:val="bottom"/>
          </w:tcPr>
          <w:p>
            <w:pPr>
              <w:spacing w:after="0"/>
              <w:rPr>
                <w:sz w:val="1"/>
                <w:szCs w:val="1"/>
                <w:color w:val="auto"/>
              </w:rPr>
            </w:pPr>
          </w:p>
        </w:tc>
      </w:tr>
      <w:tr>
        <w:trPr>
          <w:trHeight w:val="148"/>
        </w:trPr>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401, Rosemont, IL 60018</w:t>
            </w:r>
          </w:p>
        </w:tc>
        <w:tc>
          <w:tcPr>
            <w:tcW w:w="70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w w:val="94"/>
              </w:rPr>
              <w:t>10.5% Cash, 3 Month Libor (1.00%) + 9.50%; Libor Floor 1.00%, Due 11/24</w:t>
            </w:r>
          </w:p>
        </w:tc>
        <w:tc>
          <w:tcPr>
            <w:tcW w:w="0" w:type="dxa"/>
            <w:vAlign w:val="bottom"/>
          </w:tcPr>
          <w:p>
            <w:pPr>
              <w:spacing w:after="0"/>
              <w:rPr>
                <w:sz w:val="1"/>
                <w:szCs w:val="1"/>
                <w:color w:val="auto"/>
              </w:rPr>
            </w:pPr>
          </w:p>
        </w:tc>
      </w:tr>
      <w:tr>
        <w:trPr>
          <w:trHeight w:val="182"/>
        </w:trPr>
        <w:tc>
          <w:tcPr>
            <w:tcW w:w="2260" w:type="dxa"/>
            <w:vAlign w:val="bottom"/>
            <w:gridSpan w:val="2"/>
          </w:tcPr>
          <w:p>
            <w:pPr>
              <w:ind w:left="300"/>
              <w:spacing w:after="0"/>
              <w:rPr>
                <w:sz w:val="20"/>
                <w:szCs w:val="20"/>
                <w:color w:val="auto"/>
              </w:rPr>
            </w:pPr>
            <w:r>
              <w:rPr>
                <w:rFonts w:ascii="Arial" w:cs="Arial" w:eastAsia="Arial" w:hAnsi="Arial"/>
                <w:sz w:val="14"/>
                <w:szCs w:val="14"/>
                <w:color w:val="auto"/>
              </w:rPr>
              <w:t>Forest Products &amp; Paper</w:t>
            </w:r>
          </w:p>
        </w:tc>
        <w:tc>
          <w:tcPr>
            <w:tcW w:w="7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-4860925</wp:posOffset>
            </wp:positionV>
            <wp:extent cx="7132320" cy="48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-3857625</wp:posOffset>
            </wp:positionV>
            <wp:extent cx="713232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-3017520</wp:posOffset>
            </wp:positionV>
            <wp:extent cx="7132320" cy="386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-2109470</wp:posOffset>
            </wp:positionV>
            <wp:extent cx="713232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-1294765</wp:posOffset>
            </wp:positionV>
            <wp:extent cx="7132320" cy="386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385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12"/>
                <w:szCs w:val="12"/>
                <w:b w:val="1"/>
                <w:bCs w:val="1"/>
                <w:color w:val="auto"/>
                <w:w w:val="92"/>
              </w:rPr>
              <w:t>2</w:t>
            </w: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720" w:type="dxa"/>
            <w:vAlign w:val="bottom"/>
          </w:tcPr>
          <w:p>
            <w:pPr>
              <w:jc w:val="right"/>
              <w:spacing w:after="0"/>
              <w:rPr>
                <w:sz w:val="20"/>
                <w:szCs w:val="20"/>
                <w:color w:val="auto"/>
              </w:rPr>
            </w:pPr>
            <w:r>
              <w:rPr>
                <w:rFonts w:ascii="Arial" w:cs="Arial" w:eastAsia="Arial" w:hAnsi="Arial"/>
                <w:sz w:val="14"/>
                <w:szCs w:val="14"/>
                <w:color w:val="auto"/>
                <w:w w:val="99"/>
              </w:rPr>
              <w:t>10/28/2020</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6,300,000</w:t>
            </w: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4,566,855</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3,616,200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16"/>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5/21/2013</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1,500,000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1,482,608</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1,278,900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6/9/2021</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1,686,629</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1,119,019</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1,526,399</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716"/>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10/28/2020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2,401,608</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2,164,194</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2,404,610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608"/>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1/30/2013</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2,702,232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2,702,232</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1,655,658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1/30/2013</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7,191,667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7,191,667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55,376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67"/>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2/16/2021</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2,000,000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10/28/2020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669,722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579,807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632,888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10/28/2020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6,563,278</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5,682,116</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6,202,298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16"/>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12/18/2019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1,400,000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1,238,084</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1,348,662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715"/>
        </w:trPr>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5/6/2014</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1,600,000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1,579,613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1,352,000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2">
            <w:col w:w="7420" w:space="80"/>
            <w:col w:w="3700"/>
          </w:cols>
          <w:pgMar w:left="320" w:top="459" w:right="37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Arial" w:cs="Arial" w:eastAsia="Arial" w:hAnsi="Arial"/>
                <w:sz w:val="14"/>
                <w:szCs w:val="14"/>
                <w:color w:val="auto"/>
                <w:w w:val="99"/>
              </w:rPr>
              <w:t>Idera, Inc. 2950 North Loop Freeway</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(8)(13)</w:t>
            </w:r>
          </w:p>
        </w:tc>
      </w:tr>
      <w:tr>
        <w:trPr>
          <w:trHeight w:val="154"/>
        </w:trPr>
        <w:tc>
          <w:tcPr>
            <w:tcW w:w="2300" w:type="dxa"/>
            <w:vAlign w:val="bottom"/>
          </w:tcPr>
          <w:p>
            <w:pPr>
              <w:ind w:left="160"/>
              <w:spacing w:after="0" w:line="154" w:lineRule="exact"/>
              <w:rPr>
                <w:sz w:val="20"/>
                <w:szCs w:val="20"/>
                <w:color w:val="auto"/>
              </w:rPr>
            </w:pPr>
            <w:r>
              <w:rPr>
                <w:rFonts w:ascii="Arial" w:cs="Arial" w:eastAsia="Arial" w:hAnsi="Arial"/>
                <w:sz w:val="14"/>
                <w:szCs w:val="14"/>
                <w:color w:val="auto"/>
                <w:w w:val="93"/>
              </w:rPr>
              <w:t>West, Suite 700, Houston, TX 77042</w:t>
            </w: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82"/>
        </w:trPr>
        <w:tc>
          <w:tcPr>
            <w:tcW w:w="2300" w:type="dxa"/>
            <w:vAlign w:val="bottom"/>
          </w:tcPr>
          <w:p>
            <w:pPr>
              <w:ind w:left="300"/>
              <w:spacing w:after="0"/>
              <w:rPr>
                <w:sz w:val="20"/>
                <w:szCs w:val="20"/>
                <w:color w:val="auto"/>
              </w:rPr>
            </w:pPr>
            <w:r>
              <w:rPr>
                <w:rFonts w:ascii="Arial" w:cs="Arial" w:eastAsia="Arial" w:hAnsi="Arial"/>
                <w:sz w:val="14"/>
                <w:szCs w:val="14"/>
                <w:color w:val="auto"/>
              </w:rPr>
              <w:t>High Tech Industries</w:t>
            </w:r>
          </w:p>
        </w:tc>
        <w:tc>
          <w:tcPr>
            <w:tcW w:w="380" w:type="dxa"/>
            <w:vAlign w:val="bottom"/>
          </w:tcPr>
          <w:p>
            <w:pPr>
              <w:spacing w:after="0"/>
              <w:rPr>
                <w:sz w:val="15"/>
                <w:szCs w:val="15"/>
                <w:color w:val="auto"/>
              </w:rPr>
            </w:pPr>
          </w:p>
        </w:tc>
      </w:tr>
      <w:tr>
        <w:trPr>
          <w:trHeight w:val="231"/>
        </w:trPr>
        <w:tc>
          <w:tcPr>
            <w:tcW w:w="2300" w:type="dxa"/>
            <w:vAlign w:val="bottom"/>
          </w:tcPr>
          <w:p>
            <w:pPr>
              <w:spacing w:after="0"/>
              <w:rPr>
                <w:sz w:val="20"/>
                <w:szCs w:val="20"/>
                <w:color w:val="auto"/>
              </w:rPr>
            </w:pPr>
            <w:r>
              <w:rPr>
                <w:rFonts w:ascii="Arial" w:cs="Arial" w:eastAsia="Arial" w:hAnsi="Arial"/>
                <w:sz w:val="14"/>
                <w:szCs w:val="14"/>
                <w:color w:val="auto"/>
              </w:rPr>
              <w:t>Infobase Holdings, Inc.</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(8)(13)</w:t>
            </w:r>
          </w:p>
        </w:tc>
      </w:tr>
      <w:tr>
        <w:trPr>
          <w:trHeight w:val="154"/>
        </w:trPr>
        <w:tc>
          <w:tcPr>
            <w:tcW w:w="2300" w:type="dxa"/>
            <w:vAlign w:val="bottom"/>
          </w:tcPr>
          <w:p>
            <w:pPr>
              <w:spacing w:after="0" w:line="154" w:lineRule="exact"/>
              <w:rPr>
                <w:sz w:val="20"/>
                <w:szCs w:val="20"/>
                <w:color w:val="auto"/>
              </w:rPr>
            </w:pPr>
            <w:r>
              <w:rPr>
                <w:rFonts w:ascii="Arial" w:cs="Arial" w:eastAsia="Arial" w:hAnsi="Arial"/>
                <w:sz w:val="14"/>
                <w:szCs w:val="14"/>
                <w:color w:val="auto"/>
                <w:w w:val="98"/>
              </w:rPr>
              <w:t>1801 Russellville Rd. Bowling Green,</w:t>
            </w: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8"/>
        </w:trPr>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KY 42101</w:t>
            </w:r>
          </w:p>
        </w:tc>
        <w:tc>
          <w:tcPr>
            <w:tcW w:w="380" w:type="dxa"/>
            <w:vAlign w:val="bottom"/>
          </w:tcPr>
          <w:p>
            <w:pPr>
              <w:spacing w:after="0"/>
              <w:rPr>
                <w:sz w:val="12"/>
                <w:szCs w:val="12"/>
                <w:color w:val="auto"/>
              </w:rPr>
            </w:pPr>
          </w:p>
        </w:tc>
      </w:tr>
      <w:tr>
        <w:trPr>
          <w:trHeight w:val="182"/>
        </w:trPr>
        <w:tc>
          <w:tcPr>
            <w:tcW w:w="2300" w:type="dxa"/>
            <w:vAlign w:val="bottom"/>
          </w:tcPr>
          <w:p>
            <w:pPr>
              <w:ind w:left="300"/>
              <w:spacing w:after="0"/>
              <w:rPr>
                <w:sz w:val="20"/>
                <w:szCs w:val="20"/>
                <w:color w:val="auto"/>
              </w:rPr>
            </w:pPr>
            <w:r>
              <w:rPr>
                <w:rFonts w:ascii="Arial" w:cs="Arial" w:eastAsia="Arial" w:hAnsi="Arial"/>
                <w:sz w:val="14"/>
                <w:szCs w:val="14"/>
                <w:color w:val="auto"/>
              </w:rPr>
              <w:t>High Tech Industries</w:t>
            </w:r>
          </w:p>
        </w:tc>
        <w:tc>
          <w:tcPr>
            <w:tcW w:w="380" w:type="dxa"/>
            <w:vAlign w:val="bottom"/>
          </w:tcPr>
          <w:p>
            <w:pPr>
              <w:spacing w:after="0"/>
              <w:rPr>
                <w:sz w:val="15"/>
                <w:szCs w:val="15"/>
                <w:color w:val="auto"/>
              </w:rPr>
            </w:pPr>
          </w:p>
        </w:tc>
      </w:tr>
      <w:tr>
        <w:trPr>
          <w:trHeight w:val="231"/>
        </w:trPr>
        <w:tc>
          <w:tcPr>
            <w:tcW w:w="2300" w:type="dxa"/>
            <w:vAlign w:val="bottom"/>
          </w:tcPr>
          <w:p>
            <w:pPr>
              <w:spacing w:after="0"/>
              <w:rPr>
                <w:sz w:val="20"/>
                <w:szCs w:val="20"/>
                <w:color w:val="auto"/>
              </w:rPr>
            </w:pPr>
            <w:r>
              <w:rPr>
                <w:rFonts w:ascii="Arial" w:cs="Arial" w:eastAsia="Arial" w:hAnsi="Arial"/>
                <w:sz w:val="14"/>
                <w:szCs w:val="14"/>
                <w:color w:val="auto"/>
              </w:rPr>
              <w:t>Infobase Holdings, Inc.</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(8)(13)</w:t>
            </w:r>
          </w:p>
        </w:tc>
      </w:tr>
      <w:tr>
        <w:trPr>
          <w:trHeight w:val="154"/>
        </w:trPr>
        <w:tc>
          <w:tcPr>
            <w:tcW w:w="2300" w:type="dxa"/>
            <w:vAlign w:val="bottom"/>
          </w:tcPr>
          <w:p>
            <w:pPr>
              <w:spacing w:after="0" w:line="154" w:lineRule="exact"/>
              <w:rPr>
                <w:sz w:val="20"/>
                <w:szCs w:val="20"/>
                <w:color w:val="auto"/>
              </w:rPr>
            </w:pPr>
            <w:r>
              <w:rPr>
                <w:rFonts w:ascii="Arial" w:cs="Arial" w:eastAsia="Arial" w:hAnsi="Arial"/>
                <w:sz w:val="14"/>
                <w:szCs w:val="14"/>
                <w:color w:val="auto"/>
                <w:w w:val="98"/>
              </w:rPr>
              <w:t>1801 Russellville Rd. Bowling Green,</w:t>
            </w: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8"/>
        </w:trPr>
        <w:tc>
          <w:tcPr>
            <w:tcW w:w="2300" w:type="dxa"/>
            <w:vAlign w:val="bottom"/>
          </w:tcPr>
          <w:p>
            <w:pPr>
              <w:ind w:left="160"/>
              <w:spacing w:after="0" w:line="149" w:lineRule="exact"/>
              <w:rPr>
                <w:sz w:val="20"/>
                <w:szCs w:val="20"/>
                <w:color w:val="auto"/>
              </w:rPr>
            </w:pPr>
            <w:r>
              <w:rPr>
                <w:rFonts w:ascii="Arial" w:cs="Arial" w:eastAsia="Arial" w:hAnsi="Arial"/>
                <w:sz w:val="14"/>
                <w:szCs w:val="14"/>
                <w:color w:val="auto"/>
              </w:rPr>
              <w:t>KY 42101</w:t>
            </w:r>
          </w:p>
        </w:tc>
        <w:tc>
          <w:tcPr>
            <w:tcW w:w="380" w:type="dxa"/>
            <w:vAlign w:val="bottom"/>
          </w:tcPr>
          <w:p>
            <w:pPr>
              <w:spacing w:after="0"/>
              <w:rPr>
                <w:sz w:val="12"/>
                <w:szCs w:val="12"/>
                <w:color w:val="auto"/>
              </w:rPr>
            </w:pPr>
          </w:p>
        </w:tc>
      </w:tr>
      <w:tr>
        <w:trPr>
          <w:trHeight w:val="182"/>
        </w:trPr>
        <w:tc>
          <w:tcPr>
            <w:tcW w:w="2300" w:type="dxa"/>
            <w:vAlign w:val="bottom"/>
          </w:tcPr>
          <w:p>
            <w:pPr>
              <w:ind w:left="300"/>
              <w:spacing w:after="0"/>
              <w:rPr>
                <w:sz w:val="20"/>
                <w:szCs w:val="20"/>
                <w:color w:val="auto"/>
              </w:rPr>
            </w:pPr>
            <w:r>
              <w:rPr>
                <w:rFonts w:ascii="Arial" w:cs="Arial" w:eastAsia="Arial" w:hAnsi="Arial"/>
                <w:sz w:val="14"/>
                <w:szCs w:val="14"/>
                <w:color w:val="auto"/>
              </w:rPr>
              <w:t>High Tech Industries</w:t>
            </w:r>
          </w:p>
        </w:tc>
        <w:tc>
          <w:tcPr>
            <w:tcW w:w="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rPr>
          <w:sz w:val="20"/>
          <w:szCs w:val="20"/>
          <w:color w:val="auto"/>
        </w:rPr>
      </w:pPr>
      <w:r>
        <w:rPr>
          <w:rFonts w:ascii="Arial" w:cs="Arial" w:eastAsia="Arial" w:hAnsi="Arial"/>
          <w:sz w:val="13"/>
          <w:szCs w:val="13"/>
          <w:color w:val="auto"/>
        </w:rPr>
        <w:t>7.5% Cash, 6 Month Libor (0.75%) + 6.75%; Libor Floor 0.75%, Due 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132080</wp:posOffset>
            </wp:positionV>
            <wp:extent cx="7132320" cy="386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rPr>
          <w:sz w:val="20"/>
          <w:szCs w:val="20"/>
          <w:color w:val="auto"/>
        </w:rPr>
      </w:pPr>
      <w:r>
        <w:rPr>
          <w:rFonts w:ascii="Arial" w:cs="Arial" w:eastAsia="Arial" w:hAnsi="Arial"/>
          <w:sz w:val="13"/>
          <w:szCs w:val="13"/>
          <w:color w:val="auto"/>
        </w:rPr>
        <w:t>5.5% Cash, 3 Month Libor (1.00%) + 4.50%; Libor Floor 1.00%, Due 12/22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 (add on)</w:t>
      </w:r>
    </w:p>
    <w:p>
      <w:pPr>
        <w:spacing w:after="0"/>
        <w:rPr>
          <w:sz w:val="20"/>
          <w:szCs w:val="20"/>
          <w:color w:val="auto"/>
        </w:rPr>
      </w:pPr>
      <w:r>
        <w:rPr>
          <w:rFonts w:ascii="Arial" w:cs="Arial" w:eastAsia="Arial" w:hAnsi="Arial"/>
          <w:sz w:val="13"/>
          <w:szCs w:val="13"/>
          <w:color w:val="auto"/>
        </w:rPr>
        <w:t>5.5% Cash, 3 Month Libor (1.00%) + 4.50%; Libor Floor 1.00%, Due 12/22</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jc w:val="right"/>
              <w:ind w:right="8"/>
              <w:spacing w:after="0"/>
              <w:rPr>
                <w:sz w:val="20"/>
                <w:szCs w:val="20"/>
                <w:color w:val="auto"/>
              </w:rPr>
            </w:pPr>
            <w:r>
              <w:rPr>
                <w:rFonts w:ascii="Arial" w:cs="Arial" w:eastAsia="Arial" w:hAnsi="Arial"/>
                <w:sz w:val="14"/>
                <w:szCs w:val="14"/>
                <w:color w:val="auto"/>
              </w:rPr>
              <w:t>4/29/2021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6,000,000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5,940,915</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5,940,000</w:t>
            </w: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715"/>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12/13/2017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1,837,500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1,831,451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1,837,500</w:t>
            </w:r>
          </w:p>
        </w:tc>
        <w:tc>
          <w:tcPr>
            <w:tcW w:w="4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715"/>
        </w:trPr>
        <w:tc>
          <w:tcPr>
            <w:tcW w:w="740" w:type="dxa"/>
            <w:vAlign w:val="bottom"/>
          </w:tcPr>
          <w:p>
            <w:pPr>
              <w:jc w:val="right"/>
              <w:ind w:right="8"/>
              <w:spacing w:after="0"/>
              <w:rPr>
                <w:sz w:val="20"/>
                <w:szCs w:val="20"/>
                <w:color w:val="auto"/>
              </w:rPr>
            </w:pPr>
            <w:r>
              <w:rPr>
                <w:rFonts w:ascii="Arial" w:cs="Arial" w:eastAsia="Arial" w:hAnsi="Arial"/>
                <w:sz w:val="14"/>
                <w:szCs w:val="14"/>
                <w:color w:val="auto"/>
                <w:w w:val="91"/>
              </w:rPr>
              <w:t>12/13/2017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1,948,120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1,941,707</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1,948,120</w:t>
            </w:r>
          </w:p>
        </w:tc>
        <w:tc>
          <w:tcPr>
            <w:tcW w:w="460" w:type="dxa"/>
            <w:vAlign w:val="bottom"/>
          </w:tcPr>
          <w:p>
            <w:pPr>
              <w:jc w:val="right"/>
              <w:spacing w:after="0"/>
              <w:rPr>
                <w:sz w:val="20"/>
                <w:szCs w:val="20"/>
                <w:color w:val="auto"/>
              </w:rPr>
            </w:pPr>
            <w:r>
              <w:rPr>
                <w:rFonts w:ascii="Arial" w:cs="Arial" w:eastAsia="Arial" w:hAnsi="Arial"/>
                <w:sz w:val="14"/>
                <w:szCs w:val="14"/>
                <w:color w:val="auto"/>
              </w:rPr>
              <w:t>0.7%</w:t>
            </w:r>
          </w:p>
        </w:tc>
      </w:tr>
    </w:tbl>
    <w:p>
      <w:pPr>
        <w:spacing w:after="0" w:line="119" w:lineRule="exact"/>
        <w:rPr>
          <w:sz w:val="20"/>
          <w:szCs w:val="20"/>
          <w:color w:val="auto"/>
        </w:rPr>
      </w:pPr>
    </w:p>
    <w:p>
      <w:pPr>
        <w:sectPr>
          <w:pgSz w:w="11900" w:h="16838" w:orient="portrait"/>
          <w:cols w:equalWidth="0" w:num="3">
            <w:col w:w="2680" w:space="280"/>
            <w:col w:w="4380" w:space="220"/>
            <w:col w:w="3640"/>
          </w:cols>
          <w:pgMar w:left="320" w:top="459" w:right="3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00"/>
          </w:cols>
          <w:pgMar w:left="320" w:top="459" w:right="3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5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Amortized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520" w:type="dxa"/>
            <w:vAlign w:val="bottom"/>
            <w:gridSpan w:val="2"/>
            <w:vMerge w:val="continue"/>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Acquisition</w:t>
            </w: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20"/>
                <w:szCs w:val="20"/>
                <w:color w:val="auto"/>
              </w:rPr>
            </w:pPr>
            <w:r>
              <w:rPr>
                <w:rFonts w:ascii="Arial" w:cs="Arial" w:eastAsia="Arial" w:hAnsi="Arial"/>
                <w:sz w:val="14"/>
                <w:szCs w:val="14"/>
                <w:b w:val="1"/>
                <w:bCs w:val="1"/>
                <w:color w:val="auto"/>
                <w:w w:val="89"/>
              </w:rPr>
              <w:t>Principal Business</w:t>
            </w:r>
          </w:p>
        </w:tc>
        <w:tc>
          <w:tcPr>
            <w:tcW w:w="138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 Rate¹ / Maturity</w:t>
            </w:r>
            <w:r>
              <w:rPr>
                <w:rFonts w:ascii="Arial" w:cs="Arial" w:eastAsia="Arial" w:hAnsi="Arial"/>
                <w:sz w:val="12"/>
                <w:szCs w:val="12"/>
                <w:b w:val="1"/>
                <w:bCs w:val="1"/>
                <w:color w:val="auto"/>
                <w:w w:val="97"/>
              </w:rPr>
              <w:t>15</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12"/>
                <w:szCs w:val="12"/>
                <w:b w:val="1"/>
                <w:bCs w:val="1"/>
                <w:color w:val="auto"/>
                <w:w w:val="92"/>
              </w:rPr>
              <w:t>2</w:t>
            </w:r>
            <w:r>
              <w:rPr>
                <w:rFonts w:ascii="Arial" w:cs="Arial" w:eastAsia="Arial" w:hAnsi="Arial"/>
                <w:sz w:val="14"/>
                <w:szCs w:val="14"/>
                <w:b w:val="1"/>
                <w:bCs w:val="1"/>
                <w:color w:val="auto"/>
                <w:w w:val="92"/>
              </w:rPr>
              <w:t xml:space="preserve">  Assets</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4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ectPr>
          <w:pgSz w:w="11900" w:h="16838" w:orient="portrait"/>
          <w:cols w:equalWidth="0" w:num="1">
            <w:col w:w="11240"/>
          </w:cols>
          <w:pgMar w:left="320" w:top="459" w:right="339" w:bottom="1440" w:gutter="0" w:footer="0" w:header="0"/>
        </w:sectPr>
      </w:pPr>
    </w:p>
    <w:p>
      <w:pPr>
        <w:spacing w:after="0"/>
        <w:rPr>
          <w:sz w:val="20"/>
          <w:szCs w:val="20"/>
          <w:color w:val="auto"/>
        </w:rPr>
      </w:pPr>
      <w:r>
        <w:rPr>
          <w:rFonts w:ascii="Arial" w:cs="Arial" w:eastAsia="Arial" w:hAnsi="Arial"/>
          <w:sz w:val="14"/>
          <w:szCs w:val="14"/>
          <w:color w:val="auto"/>
        </w:rPr>
        <w:t>Intermedia Holdings, Inc.</w:t>
      </w:r>
    </w:p>
    <w:p>
      <w:pPr>
        <w:spacing w:after="0"/>
        <w:rPr>
          <w:sz w:val="20"/>
          <w:szCs w:val="20"/>
          <w:color w:val="auto"/>
        </w:rPr>
      </w:pPr>
      <w:r>
        <w:rPr>
          <w:rFonts w:ascii="Arial" w:cs="Arial" w:eastAsia="Arial" w:hAnsi="Arial"/>
          <w:sz w:val="13"/>
          <w:szCs w:val="13"/>
          <w:color w:val="auto"/>
        </w:rPr>
        <w:t>132 West 31st Street New York,</w:t>
      </w:r>
    </w:p>
    <w:p>
      <w:pPr>
        <w:ind w:left="160"/>
        <w:spacing w:after="0" w:line="221" w:lineRule="auto"/>
        <w:rPr>
          <w:sz w:val="20"/>
          <w:szCs w:val="20"/>
          <w:color w:val="auto"/>
        </w:rPr>
      </w:pPr>
      <w:r>
        <w:rPr>
          <w:rFonts w:ascii="Arial" w:cs="Arial" w:eastAsia="Arial" w:hAnsi="Arial"/>
          <w:sz w:val="14"/>
          <w:szCs w:val="14"/>
          <w:color w:val="auto"/>
        </w:rPr>
        <w:t>NY 10001</w:t>
      </w:r>
    </w:p>
    <w:p>
      <w:pPr>
        <w:ind w:left="300"/>
        <w:spacing w:after="0"/>
        <w:rPr>
          <w:sz w:val="20"/>
          <w:szCs w:val="20"/>
          <w:color w:val="auto"/>
        </w:rPr>
      </w:pPr>
      <w:r>
        <w:rPr>
          <w:rFonts w:ascii="Arial" w:cs="Arial" w:eastAsia="Arial" w:hAnsi="Arial"/>
          <w:sz w:val="14"/>
          <w:szCs w:val="14"/>
          <w:color w:val="auto"/>
        </w:rPr>
        <w:t>High Tech Industries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Janus International Group, LLC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132 West 31st Street New York,</w:t>
      </w:r>
    </w:p>
    <w:p>
      <w:pPr>
        <w:ind w:left="160"/>
        <w:spacing w:after="0" w:line="221" w:lineRule="auto"/>
        <w:rPr>
          <w:sz w:val="20"/>
          <w:szCs w:val="20"/>
          <w:color w:val="auto"/>
        </w:rPr>
      </w:pPr>
      <w:r>
        <w:rPr>
          <w:rFonts w:ascii="Arial" w:cs="Arial" w:eastAsia="Arial" w:hAnsi="Arial"/>
          <w:sz w:val="14"/>
          <w:szCs w:val="14"/>
          <w:color w:val="auto"/>
        </w:rPr>
        <w:t>NY 10001</w:t>
      </w:r>
    </w:p>
    <w:p>
      <w:pPr>
        <w:ind w:left="300"/>
        <w:spacing w:after="0"/>
        <w:rPr>
          <w:sz w:val="20"/>
          <w:szCs w:val="20"/>
          <w:color w:val="auto"/>
        </w:rPr>
      </w:pPr>
      <w:r>
        <w:rPr>
          <w:rFonts w:ascii="Arial" w:cs="Arial" w:eastAsia="Arial" w:hAnsi="Arial"/>
          <w:sz w:val="14"/>
          <w:szCs w:val="14"/>
          <w:color w:val="auto"/>
        </w:rPr>
        <w:t>Construction &amp; Building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Keeco, LLC</w:t>
      </w:r>
    </w:p>
    <w:p>
      <w:pPr>
        <w:spacing w:after="0"/>
        <w:rPr>
          <w:sz w:val="20"/>
          <w:szCs w:val="20"/>
          <w:color w:val="auto"/>
        </w:rPr>
      </w:pPr>
      <w:r>
        <w:rPr>
          <w:rFonts w:ascii="Arial" w:cs="Arial" w:eastAsia="Arial" w:hAnsi="Arial"/>
          <w:sz w:val="13"/>
          <w:szCs w:val="13"/>
          <w:color w:val="auto"/>
        </w:rPr>
        <w:t>702 King Farm Boulevard, Suite</w:t>
      </w:r>
    </w:p>
    <w:p>
      <w:pPr>
        <w:ind w:left="160"/>
        <w:spacing w:after="0" w:line="221" w:lineRule="auto"/>
        <w:rPr>
          <w:sz w:val="20"/>
          <w:szCs w:val="20"/>
          <w:color w:val="auto"/>
        </w:rPr>
      </w:pPr>
      <w:r>
        <w:rPr>
          <w:rFonts w:ascii="Arial" w:cs="Arial" w:eastAsia="Arial" w:hAnsi="Arial"/>
          <w:sz w:val="14"/>
          <w:szCs w:val="14"/>
          <w:color w:val="auto"/>
        </w:rPr>
        <w:t>400 Rockville, MD 20850</w:t>
      </w:r>
    </w:p>
    <w:p>
      <w:pPr>
        <w:ind w:left="300"/>
        <w:spacing w:after="0"/>
        <w:rPr>
          <w:sz w:val="20"/>
          <w:szCs w:val="20"/>
          <w:color w:val="auto"/>
        </w:rPr>
      </w:pPr>
      <w:r>
        <w:rPr>
          <w:rFonts w:ascii="Arial" w:cs="Arial" w:eastAsia="Arial" w:hAnsi="Arial"/>
          <w:sz w:val="13"/>
          <w:szCs w:val="13"/>
          <w:color w:val="auto"/>
        </w:rPr>
        <w:t>Consumer goods: Durable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Lifescan Global Corporation</w:t>
      </w:r>
    </w:p>
    <w:p>
      <w:pPr>
        <w:spacing w:after="0" w:line="221" w:lineRule="auto"/>
        <w:rPr>
          <w:sz w:val="20"/>
          <w:szCs w:val="20"/>
          <w:color w:val="auto"/>
        </w:rPr>
      </w:pPr>
      <w:r>
        <w:rPr>
          <w:rFonts w:ascii="Arial" w:cs="Arial" w:eastAsia="Arial" w:hAnsi="Arial"/>
          <w:sz w:val="14"/>
          <w:szCs w:val="14"/>
          <w:color w:val="auto"/>
        </w:rPr>
        <w:t>825 East Middlefield Road,</w:t>
      </w:r>
    </w:p>
    <w:p>
      <w:pPr>
        <w:ind w:left="160"/>
        <w:spacing w:after="0" w:line="221" w:lineRule="auto"/>
        <w:rPr>
          <w:sz w:val="20"/>
          <w:szCs w:val="20"/>
          <w:color w:val="auto"/>
        </w:rPr>
      </w:pPr>
      <w:r>
        <w:rPr>
          <w:rFonts w:ascii="Arial" w:cs="Arial" w:eastAsia="Arial" w:hAnsi="Arial"/>
          <w:sz w:val="14"/>
          <w:szCs w:val="14"/>
          <w:color w:val="auto"/>
        </w:rPr>
        <w:t>Mountain View, CA 94043</w:t>
      </w:r>
    </w:p>
    <w:p>
      <w:pPr>
        <w:ind w:left="300"/>
        <w:spacing w:after="0" w:line="222" w:lineRule="auto"/>
        <w:rPr>
          <w:sz w:val="20"/>
          <w:szCs w:val="20"/>
          <w:color w:val="auto"/>
        </w:rPr>
      </w:pPr>
      <w:r>
        <w:rPr>
          <w:rFonts w:ascii="Arial" w:cs="Arial" w:eastAsia="Arial" w:hAnsi="Arial"/>
          <w:sz w:val="14"/>
          <w:szCs w:val="14"/>
          <w:color w:val="auto"/>
        </w:rPr>
        <w:t>Healthcare &amp;</w:t>
      </w:r>
    </w:p>
    <w:p>
      <w:pPr>
        <w:ind w:left="440"/>
        <w:spacing w:after="0"/>
        <w:rPr>
          <w:sz w:val="20"/>
          <w:szCs w:val="20"/>
          <w:color w:val="auto"/>
        </w:rPr>
      </w:pPr>
      <w:r>
        <w:rPr>
          <w:rFonts w:ascii="Arial" w:cs="Arial" w:eastAsia="Arial" w:hAnsi="Arial"/>
          <w:sz w:val="14"/>
          <w:szCs w:val="14"/>
          <w:color w:val="auto"/>
        </w:rPr>
        <w:t>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-80010</wp:posOffset>
            </wp:positionV>
            <wp:extent cx="7132320" cy="385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ind w:left="560" w:hanging="411"/>
        <w:spacing w:after="0" w:line="189" w:lineRule="auto"/>
        <w:tabs>
          <w:tab w:leader="none" w:pos="560" w:val="left"/>
        </w:tabs>
        <w:numPr>
          <w:ilvl w:val="0"/>
          <w:numId w:val="18"/>
        </w:numPr>
        <w:rPr>
          <w:rFonts w:ascii="Arial" w:cs="Arial" w:eastAsia="Arial" w:hAnsi="Arial"/>
          <w:sz w:val="18"/>
          <w:szCs w:val="18"/>
          <w:color w:val="auto"/>
          <w:vertAlign w:val="superscript"/>
        </w:rPr>
      </w:pPr>
      <w:r>
        <w:rPr>
          <w:rFonts w:ascii="Arial" w:cs="Arial" w:eastAsia="Arial" w:hAnsi="Arial"/>
          <w:sz w:val="11"/>
          <w:szCs w:val="11"/>
          <w:color w:val="auto"/>
        </w:rPr>
        <w:t>Senior Secured Loan — First Lien Term Loan B</w:t>
      </w:r>
    </w:p>
    <w:p>
      <w:pPr>
        <w:ind w:left="560"/>
        <w:spacing w:after="0"/>
        <w:rPr>
          <w:rFonts w:ascii="Arial" w:cs="Arial" w:eastAsia="Arial" w:hAnsi="Arial"/>
          <w:sz w:val="18"/>
          <w:szCs w:val="18"/>
          <w:color w:val="auto"/>
          <w:vertAlign w:val="superscript"/>
        </w:rPr>
      </w:pPr>
      <w:r>
        <w:rPr>
          <w:rFonts w:ascii="Arial" w:cs="Arial" w:eastAsia="Arial" w:hAnsi="Arial"/>
          <w:sz w:val="14"/>
          <w:szCs w:val="14"/>
          <w:color w:val="auto"/>
        </w:rPr>
        <w:t>7.0% Cash, 1 Month Libor (1.00%) + 6.00%; Libor Floor 1.00%, Due 7/25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0" w:type="dxa"/>
            <w:vAlign w:val="bottom"/>
          </w:tcPr>
          <w:p>
            <w:pPr>
              <w:jc w:val="right"/>
              <w:spacing w:after="0"/>
              <w:rPr>
                <w:sz w:val="20"/>
                <w:szCs w:val="20"/>
                <w:color w:val="auto"/>
              </w:rPr>
            </w:pPr>
            <w:r>
              <w:rPr>
                <w:rFonts w:ascii="Arial" w:cs="Arial" w:eastAsia="Arial" w:hAnsi="Arial"/>
                <w:sz w:val="14"/>
                <w:szCs w:val="14"/>
                <w:color w:val="auto"/>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2,681,686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2,374,755</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2,681,686</w:t>
            </w: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5"/>
        </w:trPr>
        <w:tc>
          <w:tcPr>
            <w:tcW w:w="460" w:type="dxa"/>
            <w:vAlign w:val="bottom"/>
          </w:tcPr>
          <w:p>
            <w:pPr>
              <w:jc w:val="right"/>
              <w:ind w:right="39"/>
              <w:spacing w:after="0"/>
              <w:rPr>
                <w:sz w:val="20"/>
                <w:szCs w:val="20"/>
                <w:color w:val="auto"/>
              </w:rPr>
            </w:pPr>
            <w:r>
              <w:rPr>
                <w:rFonts w:ascii="Arial" w:cs="Arial" w:eastAsia="Arial" w:hAnsi="Arial"/>
                <w:sz w:val="12"/>
                <w:szCs w:val="12"/>
                <w:color w:val="auto"/>
                <w:w w:val="94"/>
              </w:rPr>
              <w:t>(8)(13)</w:t>
            </w:r>
          </w:p>
        </w:tc>
        <w:tc>
          <w:tcPr>
            <w:tcW w:w="4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54"/>
        </w:trPr>
        <w:tc>
          <w:tcPr>
            <w:tcW w:w="46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59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Senior Secured Loan — First Lien Term Loan B</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2"/>
        </w:trPr>
        <w:tc>
          <w:tcPr>
            <w:tcW w:w="4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93"/>
              </w:rPr>
              <w:t>4.3%</w:t>
            </w:r>
          </w:p>
        </w:tc>
        <w:tc>
          <w:tcPr>
            <w:tcW w:w="5500" w:type="dxa"/>
            <w:vAlign w:val="bottom"/>
          </w:tcPr>
          <w:p>
            <w:pPr>
              <w:ind w:left="20"/>
              <w:spacing w:after="0"/>
              <w:rPr>
                <w:sz w:val="20"/>
                <w:szCs w:val="20"/>
                <w:color w:val="auto"/>
              </w:rPr>
            </w:pPr>
            <w:r>
              <w:rPr>
                <w:rFonts w:ascii="Arial" w:cs="Arial" w:eastAsia="Arial" w:hAnsi="Arial"/>
                <w:sz w:val="14"/>
                <w:szCs w:val="14"/>
                <w:color w:val="auto"/>
              </w:rPr>
              <w:t>Cash, 3 Month Libor (1.00%) + 3.25%; Libor Floor 1.00%, Due 2/25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2"/>
        </w:trPr>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0" w:type="dxa"/>
            <w:vAlign w:val="bottom"/>
          </w:tcPr>
          <w:p>
            <w:pPr>
              <w:jc w:val="right"/>
              <w:spacing w:after="0"/>
              <w:rPr>
                <w:sz w:val="20"/>
                <w:szCs w:val="20"/>
                <w:color w:val="auto"/>
              </w:rPr>
            </w:pPr>
            <w:r>
              <w:rPr>
                <w:rFonts w:ascii="Arial" w:cs="Arial" w:eastAsia="Arial" w:hAnsi="Arial"/>
                <w:sz w:val="14"/>
                <w:szCs w:val="14"/>
                <w:color w:val="auto"/>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1,974,929</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1,717,673</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1,974,929</w:t>
            </w:r>
          </w:p>
        </w:tc>
        <w:tc>
          <w:tcPr>
            <w:tcW w:w="4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17"/>
        </w:trPr>
        <w:tc>
          <w:tcPr>
            <w:tcW w:w="460" w:type="dxa"/>
            <w:vAlign w:val="bottom"/>
          </w:tcPr>
          <w:p>
            <w:pPr>
              <w:jc w:val="right"/>
              <w:ind w:right="39"/>
              <w:spacing w:after="0"/>
              <w:rPr>
                <w:sz w:val="20"/>
                <w:szCs w:val="20"/>
                <w:color w:val="auto"/>
              </w:rPr>
            </w:pPr>
            <w:r>
              <w:rPr>
                <w:rFonts w:ascii="Arial" w:cs="Arial" w:eastAsia="Arial" w:hAnsi="Arial"/>
                <w:sz w:val="12"/>
                <w:szCs w:val="12"/>
                <w:color w:val="auto"/>
                <w:w w:val="94"/>
              </w:rPr>
              <w:t>(8)(13)</w:t>
            </w:r>
          </w:p>
        </w:tc>
        <w:tc>
          <w:tcPr>
            <w:tcW w:w="4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54"/>
        </w:trPr>
        <w:tc>
          <w:tcPr>
            <w:tcW w:w="46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59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Senior Secured Loan — First Lien Term Loan A</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2"/>
        </w:trPr>
        <w:tc>
          <w:tcPr>
            <w:tcW w:w="46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93"/>
              </w:rPr>
              <w:t>9.5%</w:t>
            </w:r>
          </w:p>
        </w:tc>
        <w:tc>
          <w:tcPr>
            <w:tcW w:w="5500" w:type="dxa"/>
            <w:vAlign w:val="bottom"/>
          </w:tcPr>
          <w:p>
            <w:pPr>
              <w:ind w:left="20"/>
              <w:spacing w:after="0"/>
              <w:rPr>
                <w:sz w:val="20"/>
                <w:szCs w:val="20"/>
                <w:color w:val="auto"/>
              </w:rPr>
            </w:pPr>
            <w:r>
              <w:rPr>
                <w:rFonts w:ascii="Arial" w:cs="Arial" w:eastAsia="Arial" w:hAnsi="Arial"/>
                <w:sz w:val="14"/>
                <w:szCs w:val="14"/>
                <w:color w:val="auto"/>
              </w:rPr>
              <w:t>Cash, 0.8% PIK, 1 Month Libor (1.75%) + 7.75%; Libor Floor 1.75%, Due 3/24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2"/>
        </w:trPr>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0" w:type="dxa"/>
            <w:vAlign w:val="bottom"/>
          </w:tcPr>
          <w:p>
            <w:pPr>
              <w:jc w:val="right"/>
              <w:spacing w:after="0"/>
              <w:rPr>
                <w:sz w:val="20"/>
                <w:szCs w:val="20"/>
                <w:color w:val="auto"/>
              </w:rPr>
            </w:pPr>
            <w:r>
              <w:rPr>
                <w:rFonts w:ascii="Arial" w:cs="Arial" w:eastAsia="Arial" w:hAnsi="Arial"/>
                <w:sz w:val="14"/>
                <w:szCs w:val="14"/>
                <w:color w:val="auto"/>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5,504,452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4,614,948</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5,347,576</w:t>
            </w:r>
          </w:p>
        </w:tc>
        <w:tc>
          <w:tcPr>
            <w:tcW w:w="4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37"/>
        </w:trPr>
        <w:tc>
          <w:tcPr>
            <w:tcW w:w="460" w:type="dxa"/>
            <w:vAlign w:val="bottom"/>
          </w:tcPr>
          <w:p>
            <w:pPr>
              <w:jc w:val="right"/>
              <w:ind w:right="39"/>
              <w:spacing w:after="0"/>
              <w:rPr>
                <w:sz w:val="20"/>
                <w:szCs w:val="20"/>
                <w:color w:val="auto"/>
              </w:rPr>
            </w:pPr>
            <w:r>
              <w:rPr>
                <w:rFonts w:ascii="Arial" w:cs="Arial" w:eastAsia="Arial" w:hAnsi="Arial"/>
                <w:sz w:val="12"/>
                <w:szCs w:val="12"/>
                <w:color w:val="auto"/>
                <w:w w:val="94"/>
              </w:rPr>
              <w:t>(8)(14)</w:t>
            </w:r>
          </w:p>
        </w:tc>
        <w:tc>
          <w:tcPr>
            <w:tcW w:w="4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02"/>
        </w:trPr>
        <w:tc>
          <w:tcPr>
            <w:tcW w:w="460" w:type="dxa"/>
            <w:vAlign w:val="bottom"/>
          </w:tcPr>
          <w:p>
            <w:pPr>
              <w:spacing w:after="0"/>
              <w:rPr>
                <w:sz w:val="17"/>
                <w:szCs w:val="17"/>
                <w:color w:val="auto"/>
              </w:rPr>
            </w:pPr>
          </w:p>
        </w:tc>
        <w:tc>
          <w:tcPr>
            <w:tcW w:w="5920" w:type="dxa"/>
            <w:vAlign w:val="bottom"/>
            <w:gridSpan w:val="2"/>
          </w:tcPr>
          <w:p>
            <w:pPr>
              <w:ind w:left="100"/>
              <w:spacing w:after="0"/>
              <w:rPr>
                <w:sz w:val="20"/>
                <w:szCs w:val="20"/>
                <w:color w:val="auto"/>
              </w:rPr>
            </w:pPr>
            <w:r>
              <w:rPr>
                <w:rFonts w:ascii="Arial" w:cs="Arial" w:eastAsia="Arial" w:hAnsi="Arial"/>
                <w:sz w:val="14"/>
                <w:szCs w:val="14"/>
                <w:color w:val="auto"/>
              </w:rPr>
              <w:t>Senior Secured Loan — First Lien Term Loan A</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82"/>
        </w:trPr>
        <w:tc>
          <w:tcPr>
            <w:tcW w:w="460" w:type="dxa"/>
            <w:vAlign w:val="bottom"/>
          </w:tcPr>
          <w:p>
            <w:pPr>
              <w:spacing w:after="0"/>
              <w:rPr>
                <w:sz w:val="15"/>
                <w:szCs w:val="15"/>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w w:val="93"/>
              </w:rPr>
              <w:t>6.2%</w:t>
            </w:r>
          </w:p>
        </w:tc>
        <w:tc>
          <w:tcPr>
            <w:tcW w:w="5500" w:type="dxa"/>
            <w:vAlign w:val="bottom"/>
          </w:tcPr>
          <w:p>
            <w:pPr>
              <w:ind w:left="20"/>
              <w:spacing w:after="0"/>
              <w:rPr>
                <w:sz w:val="20"/>
                <w:szCs w:val="20"/>
                <w:color w:val="auto"/>
              </w:rPr>
            </w:pPr>
            <w:r>
              <w:rPr>
                <w:rFonts w:ascii="Arial" w:cs="Arial" w:eastAsia="Arial" w:hAnsi="Arial"/>
                <w:sz w:val="14"/>
                <w:szCs w:val="14"/>
                <w:color w:val="auto"/>
              </w:rPr>
              <w:t>Cash, 3 Month Libor (0.20%) + 6.00%, Due 10/24</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43"/>
        </w:trPr>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500" w:type="dxa"/>
            <w:vAlign w:val="bottom"/>
          </w:tcPr>
          <w:p>
            <w:pPr>
              <w:jc w:val="right"/>
              <w:spacing w:after="0"/>
              <w:rPr>
                <w:sz w:val="20"/>
                <w:szCs w:val="20"/>
                <w:color w:val="auto"/>
              </w:rPr>
            </w:pPr>
            <w:r>
              <w:rPr>
                <w:rFonts w:ascii="Arial" w:cs="Arial" w:eastAsia="Arial" w:hAnsi="Arial"/>
                <w:sz w:val="14"/>
                <w:szCs w:val="14"/>
                <w:color w:val="auto"/>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3,167,755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2,692,247</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3,145,121</w:t>
            </w: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-942975</wp:posOffset>
            </wp:positionV>
            <wp:extent cx="7132320" cy="386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1900" w:space="60"/>
            <w:col w:w="92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Location Services Holdings,</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(8)(13)</w:t>
            </w:r>
          </w:p>
        </w:tc>
        <w:tc>
          <w:tcPr>
            <w:tcW w:w="7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46"/>
        </w:trPr>
        <w:tc>
          <w:tcPr>
            <w:tcW w:w="184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LLC</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w:t>
            </w:r>
          </w:p>
        </w:tc>
        <w:tc>
          <w:tcPr>
            <w:tcW w:w="7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135 Janus International Blvd.</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(21)</w:t>
            </w:r>
          </w:p>
        </w:tc>
        <w:tc>
          <w:tcPr>
            <w:tcW w:w="7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Senior Secured Loan — Revolving Credit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57"/>
        </w:trPr>
        <w:tc>
          <w:tcPr>
            <w:tcW w:w="18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Temple,</w:t>
            </w:r>
          </w:p>
        </w:tc>
        <w:tc>
          <w:tcPr>
            <w:tcW w:w="58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rPr>
              <w:t>(23)</w:t>
            </w:r>
          </w:p>
        </w:tc>
        <w:tc>
          <w:tcPr>
            <w:tcW w:w="74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7.8% Cash, 1 Month Libor (1.00%) + 6.75%; Libor Floor 1.00%, Due 5/21</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49"/>
        </w:trPr>
        <w:tc>
          <w:tcPr>
            <w:tcW w:w="18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GA 30179</w:t>
            </w:r>
          </w:p>
        </w:tc>
        <w:tc>
          <w:tcPr>
            <w:tcW w:w="580" w:type="dxa"/>
            <w:vAlign w:val="bottom"/>
            <w:shd w:val="clear" w:color="auto" w:fill="CCEEFF"/>
          </w:tcPr>
          <w:p>
            <w:pPr>
              <w:spacing w:after="0"/>
              <w:rPr>
                <w:sz w:val="12"/>
                <w:szCs w:val="12"/>
                <w:color w:val="auto"/>
              </w:rPr>
            </w:pPr>
          </w:p>
        </w:tc>
        <w:tc>
          <w:tcPr>
            <w:tcW w:w="7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81"/>
        </w:trPr>
        <w:tc>
          <w:tcPr>
            <w:tcW w:w="18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Services: Business</w:t>
            </w:r>
          </w:p>
        </w:tc>
        <w:tc>
          <w:tcPr>
            <w:tcW w:w="580" w:type="dxa"/>
            <w:vAlign w:val="bottom"/>
            <w:shd w:val="clear" w:color="auto" w:fill="CCEEFF"/>
          </w:tcPr>
          <w:p>
            <w:pPr>
              <w:spacing w:after="0"/>
              <w:rPr>
                <w:sz w:val="15"/>
                <w:szCs w:val="15"/>
                <w:color w:val="auto"/>
              </w:rPr>
            </w:pPr>
          </w:p>
        </w:tc>
        <w:tc>
          <w:tcPr>
            <w:tcW w:w="7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11/7/2019  2,291,667   2,282,155</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2,230,917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bl>
    <w:p>
      <w:pPr>
        <w:spacing w:after="0" w:line="71" w:lineRule="exact"/>
        <w:rPr>
          <w:sz w:val="20"/>
          <w:szCs w:val="20"/>
          <w:color w:val="auto"/>
        </w:rPr>
      </w:pPr>
    </w:p>
    <w:p>
      <w:pPr>
        <w:sectPr>
          <w:pgSz w:w="11900" w:h="16838" w:orient="portrait"/>
          <w:cols w:equalWidth="0" w:num="1">
            <w:col w:w="1124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Arial" w:cs="Arial" w:eastAsia="Arial" w:hAnsi="Arial"/>
                <w:sz w:val="14"/>
                <w:szCs w:val="14"/>
                <w:color w:val="auto"/>
              </w:rPr>
              <w:t>Luminii LLC</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line="146" w:lineRule="exact"/>
              <w:rPr>
                <w:sz w:val="20"/>
                <w:szCs w:val="20"/>
                <w:color w:val="auto"/>
              </w:rPr>
            </w:pPr>
            <w:r>
              <w:rPr>
                <w:rFonts w:ascii="Arial" w:cs="Arial" w:eastAsia="Arial" w:hAnsi="Arial"/>
                <w:sz w:val="14"/>
                <w:szCs w:val="14"/>
                <w:color w:val="auto"/>
                <w:w w:val="94"/>
              </w:rPr>
              <w:t>30736 Wiegman Road Hayward,</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tcPr>
          <w:p>
            <w:pPr>
              <w:ind w:left="100"/>
              <w:spacing w:after="0" w:line="146" w:lineRule="exact"/>
              <w:rPr>
                <w:sz w:val="20"/>
                <w:szCs w:val="20"/>
                <w:color w:val="auto"/>
              </w:rPr>
            </w:pPr>
            <w:r>
              <w:rPr>
                <w:rFonts w:ascii="Arial" w:cs="Arial" w:eastAsia="Arial" w:hAnsi="Arial"/>
                <w:sz w:val="14"/>
                <w:szCs w:val="14"/>
                <w:color w:val="auto"/>
              </w:rPr>
              <w:t>Senior Secured Loan — Revolver</w:t>
            </w:r>
          </w:p>
        </w:tc>
        <w:tc>
          <w:tcPr>
            <w:tcW w:w="0" w:type="dxa"/>
            <w:vAlign w:val="bottom"/>
          </w:tcPr>
          <w:p>
            <w:pPr>
              <w:spacing w:after="0"/>
              <w:rPr>
                <w:sz w:val="1"/>
                <w:szCs w:val="1"/>
                <w:color w:val="auto"/>
              </w:rPr>
            </w:pPr>
          </w:p>
        </w:tc>
      </w:tr>
      <w:tr>
        <w:trPr>
          <w:trHeight w:val="157"/>
        </w:trPr>
        <w:tc>
          <w:tcPr>
            <w:tcW w:w="1940" w:type="dxa"/>
            <w:vAlign w:val="bottom"/>
          </w:tcPr>
          <w:p>
            <w:pPr>
              <w:ind w:left="160"/>
              <w:spacing w:after="0" w:line="157" w:lineRule="exact"/>
              <w:rPr>
                <w:sz w:val="20"/>
                <w:szCs w:val="20"/>
                <w:color w:val="auto"/>
              </w:rPr>
            </w:pPr>
            <w:r>
              <w:rPr>
                <w:rFonts w:ascii="Arial" w:cs="Arial" w:eastAsia="Arial" w:hAnsi="Arial"/>
                <w:sz w:val="14"/>
                <w:szCs w:val="14"/>
                <w:color w:val="auto"/>
              </w:rPr>
              <w:t>CA 94544</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(23)</w:t>
            </w:r>
          </w:p>
        </w:tc>
        <w:tc>
          <w:tcPr>
            <w:tcW w:w="4500" w:type="dxa"/>
            <w:vAlign w:val="bottom"/>
          </w:tcPr>
          <w:p>
            <w:pPr>
              <w:ind w:left="100"/>
              <w:spacing w:after="0" w:line="157" w:lineRule="exact"/>
              <w:rPr>
                <w:sz w:val="20"/>
                <w:szCs w:val="20"/>
                <w:color w:val="auto"/>
              </w:rPr>
            </w:pPr>
            <w:r>
              <w:rPr>
                <w:rFonts w:ascii="Arial" w:cs="Arial" w:eastAsia="Arial" w:hAnsi="Arial"/>
                <w:sz w:val="14"/>
                <w:szCs w:val="14"/>
                <w:color w:val="auto"/>
                <w:w w:val="96"/>
              </w:rPr>
              <w:t>7.3% Cash, 3 Month Libor (1.00%) + 6.25%; Libor Floor 1.00%, Due 4/23</w:t>
            </w:r>
          </w:p>
        </w:tc>
        <w:tc>
          <w:tcPr>
            <w:tcW w:w="0" w:type="dxa"/>
            <w:vAlign w:val="bottom"/>
          </w:tcPr>
          <w:p>
            <w:pPr>
              <w:spacing w:after="0"/>
              <w:rPr>
                <w:sz w:val="1"/>
                <w:szCs w:val="1"/>
                <w:color w:val="auto"/>
              </w:rPr>
            </w:pPr>
          </w:p>
        </w:tc>
      </w:tr>
      <w:tr>
        <w:trPr>
          <w:trHeight w:val="182"/>
        </w:trPr>
        <w:tc>
          <w:tcPr>
            <w:tcW w:w="1940" w:type="dxa"/>
            <w:vAlign w:val="bottom"/>
          </w:tcPr>
          <w:p>
            <w:pPr>
              <w:ind w:left="300"/>
              <w:spacing w:after="0"/>
              <w:rPr>
                <w:sz w:val="20"/>
                <w:szCs w:val="20"/>
                <w:color w:val="auto"/>
              </w:rPr>
            </w:pPr>
            <w:r>
              <w:rPr>
                <w:rFonts w:ascii="Arial" w:cs="Arial" w:eastAsia="Arial" w:hAnsi="Arial"/>
                <w:sz w:val="14"/>
                <w:szCs w:val="14"/>
                <w:color w:val="auto"/>
              </w:rPr>
              <w:t>Construction &amp; Building</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r>
              <w:rPr>
                <w:rFonts w:ascii="Arial" w:cs="Arial" w:eastAsia="Arial" w:hAnsi="Arial"/>
                <w:sz w:val="14"/>
                <w:szCs w:val="14"/>
                <w:color w:val="auto"/>
              </w:rPr>
              <w:t>Luminii LLC</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940" w:type="dxa"/>
            <w:vAlign w:val="bottom"/>
          </w:tcPr>
          <w:p>
            <w:pPr>
              <w:spacing w:after="0" w:line="154" w:lineRule="exact"/>
              <w:rPr>
                <w:sz w:val="20"/>
                <w:szCs w:val="20"/>
                <w:color w:val="auto"/>
              </w:rPr>
            </w:pPr>
            <w:r>
              <w:rPr>
                <w:rFonts w:ascii="Arial" w:cs="Arial" w:eastAsia="Arial" w:hAnsi="Arial"/>
                <w:sz w:val="14"/>
                <w:szCs w:val="14"/>
                <w:color w:val="auto"/>
                <w:w w:val="94"/>
              </w:rPr>
              <w:t>30736 Wiegman Road Hayward,</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tcPr>
          <w:p>
            <w:pPr>
              <w:ind w:left="100"/>
              <w:spacing w:after="0" w:line="154" w:lineRule="exact"/>
              <w:rPr>
                <w:sz w:val="20"/>
                <w:szCs w:val="20"/>
                <w:color w:val="auto"/>
              </w:rPr>
            </w:pPr>
            <w:r>
              <w:rPr>
                <w:rFonts w:ascii="Arial" w:cs="Arial" w:eastAsia="Arial" w:hAnsi="Arial"/>
                <w:sz w:val="14"/>
                <w:szCs w:val="14"/>
                <w:color w:val="auto"/>
              </w:rPr>
              <w:t>Senior Secured Loan — First Lien Term Loan B</w:t>
            </w:r>
          </w:p>
        </w:tc>
        <w:tc>
          <w:tcPr>
            <w:tcW w:w="0" w:type="dxa"/>
            <w:vAlign w:val="bottom"/>
          </w:tcPr>
          <w:p>
            <w:pPr>
              <w:spacing w:after="0"/>
              <w:rPr>
                <w:sz w:val="1"/>
                <w:szCs w:val="1"/>
                <w:color w:val="auto"/>
              </w:rPr>
            </w:pPr>
          </w:p>
        </w:tc>
      </w:tr>
      <w:tr>
        <w:trPr>
          <w:trHeight w:val="148"/>
        </w:trPr>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CA 94544</w:t>
            </w:r>
          </w:p>
        </w:tc>
        <w:tc>
          <w:tcPr>
            <w:tcW w:w="48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w w:val="96"/>
              </w:rPr>
              <w:t>7.3% Cash, 1 Month Libor (1.00%) + 6.25%; Libor Floor 1.00%, Due 4/23</w:t>
            </w:r>
          </w:p>
        </w:tc>
        <w:tc>
          <w:tcPr>
            <w:tcW w:w="0" w:type="dxa"/>
            <w:vAlign w:val="bottom"/>
          </w:tcPr>
          <w:p>
            <w:pPr>
              <w:spacing w:after="0"/>
              <w:rPr>
                <w:sz w:val="1"/>
                <w:szCs w:val="1"/>
                <w:color w:val="auto"/>
              </w:rPr>
            </w:pPr>
          </w:p>
        </w:tc>
      </w:tr>
      <w:tr>
        <w:trPr>
          <w:trHeight w:val="182"/>
        </w:trPr>
        <w:tc>
          <w:tcPr>
            <w:tcW w:w="1940" w:type="dxa"/>
            <w:vAlign w:val="bottom"/>
          </w:tcPr>
          <w:p>
            <w:pPr>
              <w:ind w:left="300"/>
              <w:spacing w:after="0"/>
              <w:rPr>
                <w:sz w:val="20"/>
                <w:szCs w:val="20"/>
                <w:color w:val="auto"/>
              </w:rPr>
            </w:pPr>
            <w:r>
              <w:rPr>
                <w:rFonts w:ascii="Arial" w:cs="Arial" w:eastAsia="Arial" w:hAnsi="Arial"/>
                <w:sz w:val="14"/>
                <w:szCs w:val="14"/>
                <w:color w:val="auto"/>
              </w:rPr>
              <w:t>Construction &amp; Building</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r>
              <w:rPr>
                <w:rFonts w:ascii="Arial" w:cs="Arial" w:eastAsia="Arial" w:hAnsi="Arial"/>
                <w:sz w:val="14"/>
                <w:szCs w:val="14"/>
                <w:color w:val="auto"/>
              </w:rPr>
              <w:t>Mag Ds Corp.</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line="146" w:lineRule="exact"/>
              <w:rPr>
                <w:sz w:val="20"/>
                <w:szCs w:val="20"/>
                <w:color w:val="auto"/>
              </w:rPr>
            </w:pPr>
            <w:r>
              <w:rPr>
                <w:rFonts w:ascii="Arial" w:cs="Arial" w:eastAsia="Arial" w:hAnsi="Arial"/>
                <w:sz w:val="14"/>
                <w:szCs w:val="14"/>
                <w:color w:val="auto"/>
              </w:rPr>
              <w:t>3923 Ranchero Drive Ann</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vMerge w:val="restart"/>
          </w:tcPr>
          <w:p>
            <w:pPr>
              <w:ind w:left="100"/>
              <w:spacing w:after="0"/>
              <w:rPr>
                <w:sz w:val="20"/>
                <w:szCs w:val="20"/>
                <w:color w:val="auto"/>
              </w:rPr>
            </w:pPr>
            <w:r>
              <w:rPr>
                <w:rFonts w:ascii="Arial" w:cs="Arial" w:eastAsia="Arial" w:hAnsi="Arial"/>
                <w:sz w:val="14"/>
                <w:szCs w:val="14"/>
                <w:color w:val="auto"/>
              </w:rPr>
              <w:t>Senior Secured Loan — First Lien Term Loan</w:t>
            </w:r>
          </w:p>
        </w:tc>
        <w:tc>
          <w:tcPr>
            <w:tcW w:w="0" w:type="dxa"/>
            <w:vAlign w:val="bottom"/>
          </w:tcPr>
          <w:p>
            <w:pPr>
              <w:spacing w:after="0"/>
              <w:rPr>
                <w:sz w:val="1"/>
                <w:szCs w:val="1"/>
                <w:color w:val="auto"/>
              </w:rPr>
            </w:pPr>
          </w:p>
        </w:tc>
      </w:tr>
      <w:tr>
        <w:trPr>
          <w:trHeight w:val="76"/>
        </w:trPr>
        <w:tc>
          <w:tcPr>
            <w:tcW w:w="1940" w:type="dxa"/>
            <w:vAlign w:val="bottom"/>
            <w:vMerge w:val="restart"/>
          </w:tcPr>
          <w:p>
            <w:pPr>
              <w:ind w:left="160"/>
              <w:spacing w:after="0" w:line="157" w:lineRule="exact"/>
              <w:rPr>
                <w:sz w:val="20"/>
                <w:szCs w:val="20"/>
                <w:color w:val="auto"/>
              </w:rPr>
            </w:pPr>
            <w:r>
              <w:rPr>
                <w:rFonts w:ascii="Arial" w:cs="Arial" w:eastAsia="Arial" w:hAnsi="Arial"/>
                <w:sz w:val="14"/>
                <w:szCs w:val="14"/>
                <w:color w:val="auto"/>
              </w:rPr>
              <w:t>Arbor,</w:t>
            </w:r>
          </w:p>
        </w:tc>
        <w:tc>
          <w:tcPr>
            <w:tcW w:w="480" w:type="dxa"/>
            <w:vAlign w:val="bottom"/>
            <w:vMerge w:val="restart"/>
          </w:tcPr>
          <w:p>
            <w:pPr>
              <w:jc w:val="right"/>
              <w:ind w:right="39"/>
              <w:spacing w:after="0"/>
              <w:rPr>
                <w:sz w:val="20"/>
                <w:szCs w:val="20"/>
                <w:color w:val="auto"/>
              </w:rPr>
            </w:pPr>
            <w:r>
              <w:rPr>
                <w:rFonts w:ascii="Arial" w:cs="Arial" w:eastAsia="Arial" w:hAnsi="Arial"/>
                <w:sz w:val="12"/>
                <w:szCs w:val="12"/>
                <w:color w:val="auto"/>
              </w:rPr>
              <w:t>(21)</w:t>
            </w:r>
          </w:p>
        </w:tc>
        <w:tc>
          <w:tcPr>
            <w:tcW w:w="4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500" w:type="dxa"/>
            <w:vAlign w:val="bottom"/>
            <w:vMerge w:val="restart"/>
          </w:tcPr>
          <w:p>
            <w:pPr>
              <w:ind w:left="100"/>
              <w:spacing w:after="0"/>
              <w:rPr>
                <w:sz w:val="20"/>
                <w:szCs w:val="20"/>
                <w:color w:val="auto"/>
              </w:rPr>
            </w:pPr>
            <w:r>
              <w:rPr>
                <w:rFonts w:ascii="Arial" w:cs="Arial" w:eastAsia="Arial" w:hAnsi="Arial"/>
                <w:sz w:val="14"/>
                <w:szCs w:val="14"/>
                <w:color w:val="auto"/>
                <w:w w:val="96"/>
              </w:rPr>
              <w:t>6.5% Cash, 3 Month Libor (1.00%) + 5.50%; Libor Floor 1.00%, Due 4/27</w:t>
            </w:r>
          </w:p>
        </w:tc>
        <w:tc>
          <w:tcPr>
            <w:tcW w:w="0" w:type="dxa"/>
            <w:vAlign w:val="bottom"/>
          </w:tcPr>
          <w:p>
            <w:pPr>
              <w:spacing w:after="0"/>
              <w:rPr>
                <w:sz w:val="1"/>
                <w:szCs w:val="1"/>
                <w:color w:val="auto"/>
              </w:rPr>
            </w:pPr>
          </w:p>
        </w:tc>
      </w:tr>
      <w:tr>
        <w:trPr>
          <w:trHeight w:val="101"/>
        </w:trPr>
        <w:tc>
          <w:tcPr>
            <w:tcW w:w="19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MI 48108</w:t>
            </w:r>
          </w:p>
        </w:tc>
        <w:tc>
          <w:tcPr>
            <w:tcW w:w="48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9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300"/>
              <w:spacing w:after="0"/>
              <w:rPr>
                <w:sz w:val="20"/>
                <w:szCs w:val="20"/>
                <w:color w:val="auto"/>
              </w:rPr>
            </w:pPr>
            <w:r>
              <w:rPr>
                <w:rFonts w:ascii="Arial" w:cs="Arial" w:eastAsia="Arial" w:hAnsi="Arial"/>
                <w:sz w:val="14"/>
                <w:szCs w:val="14"/>
                <w:color w:val="auto"/>
              </w:rPr>
              <w:t>Aerospace and Defense</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r>
              <w:rPr>
                <w:rFonts w:ascii="Arial" w:cs="Arial" w:eastAsia="Arial" w:hAnsi="Arial"/>
                <w:sz w:val="14"/>
                <w:szCs w:val="14"/>
                <w:color w:val="auto"/>
              </w:rPr>
              <w:t>Maxor National Pharmacy</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940" w:type="dxa"/>
            <w:vAlign w:val="bottom"/>
          </w:tcPr>
          <w:p>
            <w:pPr>
              <w:ind w:left="160"/>
              <w:spacing w:after="0" w:line="154" w:lineRule="exact"/>
              <w:rPr>
                <w:sz w:val="20"/>
                <w:szCs w:val="20"/>
                <w:color w:val="auto"/>
              </w:rPr>
            </w:pPr>
            <w:r>
              <w:rPr>
                <w:rFonts w:ascii="Arial" w:cs="Arial" w:eastAsia="Arial" w:hAnsi="Arial"/>
                <w:sz w:val="14"/>
                <w:szCs w:val="14"/>
                <w:color w:val="auto"/>
              </w:rPr>
              <w:t>Services, LLC</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line="149" w:lineRule="exact"/>
              <w:rPr>
                <w:sz w:val="20"/>
                <w:szCs w:val="20"/>
                <w:color w:val="auto"/>
              </w:rPr>
            </w:pPr>
            <w:r>
              <w:rPr>
                <w:rFonts w:ascii="Arial" w:cs="Arial" w:eastAsia="Arial" w:hAnsi="Arial"/>
                <w:sz w:val="14"/>
                <w:szCs w:val="14"/>
                <w:color w:val="auto"/>
                <w:w w:val="95"/>
              </w:rPr>
              <w:t>7777 N. Merrimac Avenue Niles,</w:t>
            </w:r>
          </w:p>
        </w:tc>
        <w:tc>
          <w:tcPr>
            <w:tcW w:w="48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First Lien Term Loan</w:t>
            </w:r>
          </w:p>
        </w:tc>
        <w:tc>
          <w:tcPr>
            <w:tcW w:w="0" w:type="dxa"/>
            <w:vAlign w:val="bottom"/>
          </w:tcPr>
          <w:p>
            <w:pPr>
              <w:spacing w:after="0"/>
              <w:rPr>
                <w:sz w:val="1"/>
                <w:szCs w:val="1"/>
                <w:color w:val="auto"/>
              </w:rPr>
            </w:pPr>
          </w:p>
        </w:tc>
      </w:tr>
      <w:tr>
        <w:trPr>
          <w:trHeight w:val="148"/>
        </w:trPr>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IL 60714</w:t>
            </w:r>
          </w:p>
        </w:tc>
        <w:tc>
          <w:tcPr>
            <w:tcW w:w="48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w w:val="94"/>
              </w:rPr>
              <w:t>6.5% Cash, 3 Month Libor (1.00%) + 5.50%; Libor Floor 1.00%, Due 11/23</w:t>
            </w:r>
          </w:p>
        </w:tc>
        <w:tc>
          <w:tcPr>
            <w:tcW w:w="0" w:type="dxa"/>
            <w:vAlign w:val="bottom"/>
          </w:tcPr>
          <w:p>
            <w:pPr>
              <w:spacing w:after="0"/>
              <w:rPr>
                <w:sz w:val="1"/>
                <w:szCs w:val="1"/>
                <w:color w:val="auto"/>
              </w:rPr>
            </w:pPr>
          </w:p>
        </w:tc>
      </w:tr>
      <w:tr>
        <w:trPr>
          <w:trHeight w:val="149"/>
        </w:trPr>
        <w:tc>
          <w:tcPr>
            <w:tcW w:w="1940" w:type="dxa"/>
            <w:vAlign w:val="bottom"/>
          </w:tcPr>
          <w:p>
            <w:pPr>
              <w:ind w:left="300"/>
              <w:spacing w:after="0" w:line="149" w:lineRule="exact"/>
              <w:rPr>
                <w:sz w:val="20"/>
                <w:szCs w:val="20"/>
                <w:color w:val="auto"/>
              </w:rPr>
            </w:pPr>
            <w:r>
              <w:rPr>
                <w:rFonts w:ascii="Arial" w:cs="Arial" w:eastAsia="Arial" w:hAnsi="Arial"/>
                <w:sz w:val="14"/>
                <w:szCs w:val="14"/>
                <w:color w:val="auto"/>
              </w:rPr>
              <w:t>Healthcare &amp;</w:t>
            </w:r>
          </w:p>
        </w:tc>
        <w:tc>
          <w:tcPr>
            <w:tcW w:w="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440"/>
              <w:spacing w:after="0"/>
              <w:rPr>
                <w:sz w:val="20"/>
                <w:szCs w:val="20"/>
                <w:color w:val="auto"/>
              </w:rPr>
            </w:pPr>
            <w:r>
              <w:rPr>
                <w:rFonts w:ascii="Arial" w:cs="Arial" w:eastAsia="Arial" w:hAnsi="Arial"/>
                <w:sz w:val="14"/>
                <w:szCs w:val="14"/>
                <w:color w:val="auto"/>
              </w:rPr>
              <w:t>Pharmaceuticals</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r>
              <w:rPr>
                <w:rFonts w:ascii="Arial" w:cs="Arial" w:eastAsia="Arial" w:hAnsi="Arial"/>
                <w:sz w:val="14"/>
                <w:szCs w:val="14"/>
                <w:color w:val="auto"/>
              </w:rPr>
              <w:t>Maxor National Pharmacy</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4500" w:type="dxa"/>
            <w:vAlign w:val="bottom"/>
          </w:tcPr>
          <w:p>
            <w:pPr>
              <w:ind w:left="100"/>
              <w:spacing w:after="0"/>
              <w:rPr>
                <w:sz w:val="20"/>
                <w:szCs w:val="20"/>
                <w:color w:val="auto"/>
              </w:rPr>
            </w:pPr>
            <w:r>
              <w:rPr>
                <w:rFonts w:ascii="Arial" w:cs="Arial" w:eastAsia="Arial" w:hAnsi="Arial"/>
                <w:sz w:val="14"/>
                <w:szCs w:val="14"/>
                <w:color w:val="auto"/>
              </w:rPr>
              <w:t>Senior Secured Loan — Revolver</w:t>
            </w:r>
          </w:p>
        </w:tc>
        <w:tc>
          <w:tcPr>
            <w:tcW w:w="0" w:type="dxa"/>
            <w:vAlign w:val="bottom"/>
          </w:tcPr>
          <w:p>
            <w:pPr>
              <w:spacing w:after="0"/>
              <w:rPr>
                <w:sz w:val="1"/>
                <w:szCs w:val="1"/>
                <w:color w:val="auto"/>
              </w:rPr>
            </w:pPr>
          </w:p>
        </w:tc>
      </w:tr>
      <w:tr>
        <w:trPr>
          <w:trHeight w:val="146"/>
        </w:trPr>
        <w:tc>
          <w:tcPr>
            <w:tcW w:w="1940" w:type="dxa"/>
            <w:vAlign w:val="bottom"/>
          </w:tcPr>
          <w:p>
            <w:pPr>
              <w:ind w:left="160"/>
              <w:spacing w:after="0" w:line="146" w:lineRule="exact"/>
              <w:rPr>
                <w:sz w:val="20"/>
                <w:szCs w:val="20"/>
                <w:color w:val="auto"/>
              </w:rPr>
            </w:pPr>
            <w:r>
              <w:rPr>
                <w:rFonts w:ascii="Arial" w:cs="Arial" w:eastAsia="Arial" w:hAnsi="Arial"/>
                <w:sz w:val="14"/>
                <w:szCs w:val="14"/>
                <w:color w:val="auto"/>
              </w:rPr>
              <w:t>Services, LLC</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tcPr>
          <w:p>
            <w:pPr>
              <w:ind w:left="100"/>
              <w:spacing w:after="0" w:line="146" w:lineRule="exact"/>
              <w:rPr>
                <w:sz w:val="20"/>
                <w:szCs w:val="20"/>
                <w:color w:val="auto"/>
              </w:rPr>
            </w:pPr>
            <w:r>
              <w:rPr>
                <w:rFonts w:ascii="Arial" w:cs="Arial" w:eastAsia="Arial" w:hAnsi="Arial"/>
                <w:sz w:val="14"/>
                <w:szCs w:val="14"/>
                <w:color w:val="auto"/>
              </w:rPr>
              <w:t>0.5% Cash, Due 11/22</w:t>
            </w:r>
          </w:p>
        </w:tc>
        <w:tc>
          <w:tcPr>
            <w:tcW w:w="0" w:type="dxa"/>
            <w:vAlign w:val="bottom"/>
          </w:tcPr>
          <w:p>
            <w:pPr>
              <w:spacing w:after="0"/>
              <w:rPr>
                <w:sz w:val="1"/>
                <w:szCs w:val="1"/>
                <w:color w:val="auto"/>
              </w:rPr>
            </w:pPr>
          </w:p>
        </w:tc>
      </w:tr>
      <w:tr>
        <w:trPr>
          <w:trHeight w:val="157"/>
        </w:trPr>
        <w:tc>
          <w:tcPr>
            <w:tcW w:w="1940" w:type="dxa"/>
            <w:vAlign w:val="bottom"/>
          </w:tcPr>
          <w:p>
            <w:pPr>
              <w:spacing w:after="0" w:line="157" w:lineRule="exact"/>
              <w:rPr>
                <w:sz w:val="20"/>
                <w:szCs w:val="20"/>
                <w:color w:val="auto"/>
              </w:rPr>
            </w:pPr>
            <w:r>
              <w:rPr>
                <w:rFonts w:ascii="Arial" w:cs="Arial" w:eastAsia="Arial" w:hAnsi="Arial"/>
                <w:sz w:val="14"/>
                <w:szCs w:val="14"/>
                <w:color w:val="auto"/>
                <w:w w:val="95"/>
              </w:rPr>
              <w:t>7777 N. Merrimac Avenue Niles,</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(23)</w:t>
            </w:r>
          </w:p>
        </w:tc>
        <w:tc>
          <w:tcPr>
            <w:tcW w:w="4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IL 60714</w:t>
            </w:r>
          </w:p>
        </w:tc>
        <w:tc>
          <w:tcPr>
            <w:tcW w:w="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ind w:left="300"/>
              <w:spacing w:after="0" w:line="149" w:lineRule="exact"/>
              <w:rPr>
                <w:sz w:val="20"/>
                <w:szCs w:val="20"/>
                <w:color w:val="auto"/>
              </w:rPr>
            </w:pPr>
            <w:r>
              <w:rPr>
                <w:rFonts w:ascii="Arial" w:cs="Arial" w:eastAsia="Arial" w:hAnsi="Arial"/>
                <w:sz w:val="14"/>
                <w:szCs w:val="14"/>
                <w:color w:val="auto"/>
              </w:rPr>
              <w:t>Healthcare &amp;</w:t>
            </w:r>
          </w:p>
        </w:tc>
        <w:tc>
          <w:tcPr>
            <w:tcW w:w="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440"/>
              <w:spacing w:after="0"/>
              <w:rPr>
                <w:sz w:val="20"/>
                <w:szCs w:val="20"/>
                <w:color w:val="auto"/>
              </w:rPr>
            </w:pPr>
            <w:r>
              <w:rPr>
                <w:rFonts w:ascii="Arial" w:cs="Arial" w:eastAsia="Arial" w:hAnsi="Arial"/>
                <w:sz w:val="14"/>
                <w:szCs w:val="14"/>
                <w:color w:val="auto"/>
              </w:rPr>
              <w:t>Pharmaceuticals</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r>
              <w:rPr>
                <w:rFonts w:ascii="Arial" w:cs="Arial" w:eastAsia="Arial" w:hAnsi="Arial"/>
                <w:sz w:val="14"/>
                <w:szCs w:val="14"/>
                <w:color w:val="auto"/>
              </w:rPr>
              <w:t>Ministry Brands, LLC</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940" w:type="dxa"/>
            <w:vAlign w:val="bottom"/>
          </w:tcPr>
          <w:p>
            <w:pPr>
              <w:spacing w:after="0" w:line="154" w:lineRule="exact"/>
              <w:rPr>
                <w:sz w:val="20"/>
                <w:szCs w:val="20"/>
                <w:color w:val="auto"/>
              </w:rPr>
            </w:pPr>
            <w:r>
              <w:rPr>
                <w:rFonts w:ascii="Arial" w:cs="Arial" w:eastAsia="Arial" w:hAnsi="Arial"/>
                <w:sz w:val="14"/>
                <w:szCs w:val="14"/>
                <w:color w:val="auto"/>
              </w:rPr>
              <w:t>12730 Fair Lakes Circle, Suite</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tcPr>
          <w:p>
            <w:pPr>
              <w:ind w:left="100"/>
              <w:spacing w:after="0" w:line="154" w:lineRule="exact"/>
              <w:rPr>
                <w:sz w:val="20"/>
                <w:szCs w:val="20"/>
                <w:color w:val="auto"/>
              </w:rPr>
            </w:pPr>
            <w:r>
              <w:rPr>
                <w:rFonts w:ascii="Arial" w:cs="Arial" w:eastAsia="Arial" w:hAnsi="Arial"/>
                <w:sz w:val="14"/>
                <w:szCs w:val="14"/>
                <w:color w:val="auto"/>
                <w:w w:val="96"/>
              </w:rPr>
              <w:t>Junior Secured Loan — April 2018 Incremental Term Loan (Second Lien)</w:t>
            </w:r>
          </w:p>
        </w:tc>
        <w:tc>
          <w:tcPr>
            <w:tcW w:w="0" w:type="dxa"/>
            <w:vAlign w:val="bottom"/>
          </w:tcPr>
          <w:p>
            <w:pPr>
              <w:spacing w:after="0"/>
              <w:rPr>
                <w:sz w:val="1"/>
                <w:szCs w:val="1"/>
                <w:color w:val="auto"/>
              </w:rPr>
            </w:pPr>
          </w:p>
        </w:tc>
      </w:tr>
      <w:tr>
        <w:trPr>
          <w:trHeight w:val="149"/>
        </w:trPr>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600, Fairfax, VA 22033</w:t>
            </w:r>
          </w:p>
        </w:tc>
        <w:tc>
          <w:tcPr>
            <w:tcW w:w="48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w w:val="96"/>
              </w:rPr>
              <w:t>9.0% Cash, 3 Month Libor (1.00%) + 8.00%; Libor Floor 1.00%, Due 6/23</w:t>
            </w:r>
          </w:p>
        </w:tc>
        <w:tc>
          <w:tcPr>
            <w:tcW w:w="0" w:type="dxa"/>
            <w:vAlign w:val="bottom"/>
          </w:tcPr>
          <w:p>
            <w:pPr>
              <w:spacing w:after="0"/>
              <w:rPr>
                <w:sz w:val="1"/>
                <w:szCs w:val="1"/>
                <w:color w:val="auto"/>
              </w:rPr>
            </w:pPr>
          </w:p>
        </w:tc>
      </w:tr>
      <w:tr>
        <w:trPr>
          <w:trHeight w:val="182"/>
        </w:trPr>
        <w:tc>
          <w:tcPr>
            <w:tcW w:w="1940" w:type="dxa"/>
            <w:vAlign w:val="bottom"/>
          </w:tcPr>
          <w:p>
            <w:pPr>
              <w:ind w:left="300"/>
              <w:spacing w:after="0"/>
              <w:rPr>
                <w:sz w:val="20"/>
                <w:szCs w:val="20"/>
                <w:color w:val="auto"/>
              </w:rPr>
            </w:pPr>
            <w:r>
              <w:rPr>
                <w:rFonts w:ascii="Arial" w:cs="Arial" w:eastAsia="Arial" w:hAnsi="Arial"/>
                <w:sz w:val="14"/>
                <w:szCs w:val="14"/>
                <w:color w:val="auto"/>
              </w:rPr>
              <w:t>Electronics</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420" w:type="dxa"/>
            <w:vAlign w:val="bottom"/>
            <w:gridSpan w:val="2"/>
          </w:tcPr>
          <w:p>
            <w:pPr>
              <w:spacing w:after="0"/>
              <w:rPr>
                <w:sz w:val="20"/>
                <w:szCs w:val="20"/>
                <w:color w:val="auto"/>
              </w:rPr>
            </w:pPr>
            <w:r>
              <w:rPr>
                <w:rFonts w:ascii="Arial" w:cs="Arial" w:eastAsia="Arial" w:hAnsi="Arial"/>
                <w:sz w:val="14"/>
                <w:szCs w:val="14"/>
                <w:color w:val="auto"/>
              </w:rPr>
              <w:t xml:space="preserve">Mother’s Market &amp; Kitchen, Inc. </w:t>
            </w:r>
            <w:r>
              <w:rPr>
                <w:rFonts w:ascii="Arial" w:cs="Arial" w:eastAsia="Arial" w:hAnsi="Arial"/>
                <w:sz w:val="12"/>
                <w:szCs w:val="12"/>
                <w:color w:val="auto"/>
              </w:rPr>
              <w:t>(8)(13)</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940" w:type="dxa"/>
            <w:vAlign w:val="bottom"/>
          </w:tcPr>
          <w:p>
            <w:pPr>
              <w:spacing w:after="0" w:line="154" w:lineRule="exact"/>
              <w:rPr>
                <w:sz w:val="20"/>
                <w:szCs w:val="20"/>
                <w:color w:val="auto"/>
              </w:rPr>
            </w:pPr>
            <w:r>
              <w:rPr>
                <w:rFonts w:ascii="Arial" w:cs="Arial" w:eastAsia="Arial" w:hAnsi="Arial"/>
                <w:sz w:val="14"/>
                <w:szCs w:val="14"/>
                <w:color w:val="auto"/>
              </w:rPr>
              <w:t>320 S. Polk St., Suite 100</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Amarillo,</w:t>
            </w:r>
          </w:p>
        </w:tc>
        <w:tc>
          <w:tcPr>
            <w:tcW w:w="48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Loan — First Lien Term Loan</w:t>
            </w:r>
          </w:p>
        </w:tc>
        <w:tc>
          <w:tcPr>
            <w:tcW w:w="0" w:type="dxa"/>
            <w:vAlign w:val="bottom"/>
          </w:tcPr>
          <w:p>
            <w:pPr>
              <w:spacing w:after="0"/>
              <w:rPr>
                <w:sz w:val="1"/>
                <w:szCs w:val="1"/>
                <w:color w:val="auto"/>
              </w:rPr>
            </w:pPr>
          </w:p>
        </w:tc>
      </w:tr>
      <w:tr>
        <w:trPr>
          <w:trHeight w:val="148"/>
        </w:trPr>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TX 79101</w:t>
            </w:r>
          </w:p>
        </w:tc>
        <w:tc>
          <w:tcPr>
            <w:tcW w:w="48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w w:val="96"/>
              </w:rPr>
              <w:t>6.8% Cash, 3 Month Libor (1.25%) + 5.50%; Libor Floor 1.25%, Due 7/23</w:t>
            </w:r>
          </w:p>
        </w:tc>
        <w:tc>
          <w:tcPr>
            <w:tcW w:w="0" w:type="dxa"/>
            <w:vAlign w:val="bottom"/>
          </w:tcPr>
          <w:p>
            <w:pPr>
              <w:spacing w:after="0"/>
              <w:rPr>
                <w:sz w:val="1"/>
                <w:szCs w:val="1"/>
                <w:color w:val="auto"/>
              </w:rPr>
            </w:pPr>
          </w:p>
        </w:tc>
      </w:tr>
      <w:tr>
        <w:trPr>
          <w:trHeight w:val="148"/>
        </w:trPr>
        <w:tc>
          <w:tcPr>
            <w:tcW w:w="1940" w:type="dxa"/>
            <w:vAlign w:val="bottom"/>
          </w:tcPr>
          <w:p>
            <w:pPr>
              <w:ind w:left="300"/>
              <w:spacing w:after="0" w:line="149" w:lineRule="exact"/>
              <w:rPr>
                <w:sz w:val="20"/>
                <w:szCs w:val="20"/>
                <w:color w:val="auto"/>
              </w:rPr>
            </w:pPr>
            <w:r>
              <w:rPr>
                <w:rFonts w:ascii="Arial" w:cs="Arial" w:eastAsia="Arial" w:hAnsi="Arial"/>
                <w:sz w:val="14"/>
                <w:szCs w:val="14"/>
                <w:color w:val="auto"/>
              </w:rPr>
              <w:t>Healthcare &amp;</w:t>
            </w:r>
          </w:p>
        </w:tc>
        <w:tc>
          <w:tcPr>
            <w:tcW w:w="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440"/>
              <w:spacing w:after="0"/>
              <w:rPr>
                <w:sz w:val="20"/>
                <w:szCs w:val="20"/>
                <w:color w:val="auto"/>
              </w:rPr>
            </w:pPr>
            <w:r>
              <w:rPr>
                <w:rFonts w:ascii="Arial" w:cs="Arial" w:eastAsia="Arial" w:hAnsi="Arial"/>
                <w:sz w:val="14"/>
                <w:szCs w:val="14"/>
                <w:color w:val="auto"/>
              </w:rPr>
              <w:t>Pharmaceuticals</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r>
              <w:rPr>
                <w:rFonts w:ascii="Arial" w:cs="Arial" w:eastAsia="Arial" w:hAnsi="Arial"/>
                <w:sz w:val="14"/>
                <w:szCs w:val="14"/>
                <w:color w:val="auto"/>
              </w:rPr>
              <w:t>MSM Acquisitions, Inc.</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940" w:type="dxa"/>
            <w:vAlign w:val="bottom"/>
          </w:tcPr>
          <w:p>
            <w:pPr>
              <w:spacing w:after="0" w:line="154" w:lineRule="exact"/>
              <w:rPr>
                <w:sz w:val="20"/>
                <w:szCs w:val="20"/>
                <w:color w:val="auto"/>
              </w:rPr>
            </w:pPr>
            <w:r>
              <w:rPr>
                <w:rFonts w:ascii="Arial" w:cs="Arial" w:eastAsia="Arial" w:hAnsi="Arial"/>
                <w:sz w:val="14"/>
                <w:szCs w:val="14"/>
                <w:color w:val="auto"/>
                <w:w w:val="99"/>
              </w:rPr>
              <w:t>401 City Avenue Bala Cynwyd,</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4500" w:type="dxa"/>
            <w:vAlign w:val="bottom"/>
          </w:tcPr>
          <w:p>
            <w:pPr>
              <w:ind w:left="100"/>
              <w:spacing w:after="0" w:line="154" w:lineRule="exact"/>
              <w:rPr>
                <w:sz w:val="20"/>
                <w:szCs w:val="20"/>
                <w:color w:val="auto"/>
              </w:rPr>
            </w:pPr>
            <w:r>
              <w:rPr>
                <w:rFonts w:ascii="Arial" w:cs="Arial" w:eastAsia="Arial" w:hAnsi="Arial"/>
                <w:sz w:val="14"/>
                <w:szCs w:val="14"/>
                <w:color w:val="auto"/>
              </w:rPr>
              <w:t>Senior Secured Loan — Delayed Draw Term Loan (First Lien)</w:t>
            </w:r>
          </w:p>
        </w:tc>
        <w:tc>
          <w:tcPr>
            <w:tcW w:w="0" w:type="dxa"/>
            <w:vAlign w:val="bottom"/>
          </w:tcPr>
          <w:p>
            <w:pPr>
              <w:spacing w:after="0"/>
              <w:rPr>
                <w:sz w:val="1"/>
                <w:szCs w:val="1"/>
                <w:color w:val="auto"/>
              </w:rPr>
            </w:pPr>
          </w:p>
        </w:tc>
      </w:tr>
      <w:tr>
        <w:trPr>
          <w:trHeight w:val="149"/>
        </w:trPr>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PA 19004</w:t>
            </w:r>
          </w:p>
        </w:tc>
        <w:tc>
          <w:tcPr>
            <w:tcW w:w="480" w:type="dxa"/>
            <w:vAlign w:val="bottom"/>
          </w:tcPr>
          <w:p>
            <w:pPr>
              <w:spacing w:after="0"/>
              <w:rPr>
                <w:sz w:val="12"/>
                <w:szCs w:val="12"/>
                <w:color w:val="auto"/>
              </w:rPr>
            </w:pPr>
          </w:p>
        </w:tc>
        <w:tc>
          <w:tcPr>
            <w:tcW w:w="4500" w:type="dxa"/>
            <w:vAlign w:val="bottom"/>
          </w:tcPr>
          <w:p>
            <w:pPr>
              <w:ind w:left="100"/>
              <w:spacing w:after="0" w:line="149" w:lineRule="exact"/>
              <w:rPr>
                <w:sz w:val="20"/>
                <w:szCs w:val="20"/>
                <w:color w:val="auto"/>
              </w:rPr>
            </w:pPr>
            <w:r>
              <w:rPr>
                <w:rFonts w:ascii="Arial" w:cs="Arial" w:eastAsia="Arial" w:hAnsi="Arial"/>
                <w:sz w:val="14"/>
                <w:szCs w:val="14"/>
                <w:color w:val="auto"/>
                <w:w w:val="96"/>
              </w:rPr>
              <w:t>7.0% Cash, 3 Month Libor (1.00%) + 6.00%; Libor Floor 1.00%, Due 6/22</w:t>
            </w:r>
          </w:p>
        </w:tc>
        <w:tc>
          <w:tcPr>
            <w:tcW w:w="0" w:type="dxa"/>
            <w:vAlign w:val="bottom"/>
          </w:tcPr>
          <w:p>
            <w:pPr>
              <w:spacing w:after="0"/>
              <w:rPr>
                <w:sz w:val="1"/>
                <w:szCs w:val="1"/>
                <w:color w:val="auto"/>
              </w:rPr>
            </w:pPr>
          </w:p>
        </w:tc>
      </w:tr>
      <w:tr>
        <w:trPr>
          <w:trHeight w:val="182"/>
        </w:trPr>
        <w:tc>
          <w:tcPr>
            <w:tcW w:w="194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-3772535</wp:posOffset>
            </wp:positionV>
            <wp:extent cx="7132320"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7132320" cy="574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5746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-1483360</wp:posOffset>
            </wp:positionV>
            <wp:extent cx="7132320" cy="38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385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spacing w:after="0"/>
              <w:rPr>
                <w:sz w:val="20"/>
                <w:szCs w:val="20"/>
                <w:color w:val="auto"/>
              </w:rPr>
            </w:pPr>
            <w:r>
              <w:rPr>
                <w:rFonts w:ascii="Arial" w:cs="Arial" w:eastAsia="Arial" w:hAnsi="Arial"/>
                <w:sz w:val="14"/>
                <w:szCs w:val="14"/>
                <w:color w:val="auto"/>
                <w:w w:val="91"/>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343,473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309,620</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329,717</w:t>
            </w: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716"/>
        </w:trPr>
        <w:tc>
          <w:tcPr>
            <w:tcW w:w="720" w:type="dxa"/>
            <w:vAlign w:val="bottom"/>
          </w:tcPr>
          <w:p>
            <w:pPr>
              <w:jc w:val="right"/>
              <w:spacing w:after="0"/>
              <w:rPr>
                <w:sz w:val="20"/>
                <w:szCs w:val="20"/>
                <w:color w:val="auto"/>
              </w:rPr>
            </w:pPr>
            <w:r>
              <w:rPr>
                <w:rFonts w:ascii="Arial" w:cs="Arial" w:eastAsia="Arial" w:hAnsi="Arial"/>
                <w:sz w:val="14"/>
                <w:szCs w:val="14"/>
                <w:color w:val="auto"/>
                <w:w w:val="91"/>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7,098,610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6,398,971</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6,909,077</w:t>
            </w:r>
          </w:p>
        </w:tc>
        <w:tc>
          <w:tcPr>
            <w:tcW w:w="4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864"/>
        </w:trPr>
        <w:tc>
          <w:tcPr>
            <w:tcW w:w="720" w:type="dxa"/>
            <w:vAlign w:val="bottom"/>
          </w:tcPr>
          <w:p>
            <w:pPr>
              <w:jc w:val="right"/>
              <w:spacing w:after="0"/>
              <w:rPr>
                <w:sz w:val="20"/>
                <w:szCs w:val="20"/>
                <w:color w:val="auto"/>
              </w:rPr>
            </w:pPr>
            <w:r>
              <w:rPr>
                <w:rFonts w:ascii="Arial" w:cs="Arial" w:eastAsia="Arial" w:hAnsi="Arial"/>
                <w:sz w:val="14"/>
                <w:szCs w:val="14"/>
                <w:color w:val="auto"/>
                <w:w w:val="91"/>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3,970,000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3,362,916</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3,846,136</w:t>
            </w:r>
          </w:p>
        </w:tc>
        <w:tc>
          <w:tcPr>
            <w:tcW w:w="4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013"/>
        </w:trPr>
        <w:tc>
          <w:tcPr>
            <w:tcW w:w="720" w:type="dxa"/>
            <w:vAlign w:val="bottom"/>
          </w:tcPr>
          <w:p>
            <w:pPr>
              <w:jc w:val="right"/>
              <w:spacing w:after="0"/>
              <w:rPr>
                <w:sz w:val="20"/>
                <w:szCs w:val="20"/>
                <w:color w:val="auto"/>
              </w:rPr>
            </w:pPr>
            <w:r>
              <w:rPr>
                <w:rFonts w:ascii="Arial" w:cs="Arial" w:eastAsia="Arial" w:hAnsi="Arial"/>
                <w:sz w:val="14"/>
                <w:szCs w:val="14"/>
                <w:color w:val="auto"/>
                <w:w w:val="91"/>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8,098,134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7,238,281</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8,098,134</w:t>
            </w:r>
          </w:p>
        </w:tc>
        <w:tc>
          <w:tcPr>
            <w:tcW w:w="4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013"/>
        </w:trPr>
        <w:tc>
          <w:tcPr>
            <w:tcW w:w="720" w:type="dxa"/>
            <w:vAlign w:val="bottom"/>
          </w:tcPr>
          <w:p>
            <w:pPr>
              <w:jc w:val="right"/>
              <w:spacing w:after="0"/>
              <w:rPr>
                <w:sz w:val="20"/>
                <w:szCs w:val="20"/>
                <w:color w:val="auto"/>
              </w:rPr>
            </w:pPr>
            <w:r>
              <w:rPr>
                <w:rFonts w:ascii="Arial" w:cs="Arial" w:eastAsia="Arial" w:hAnsi="Arial"/>
                <w:sz w:val="14"/>
                <w:szCs w:val="14"/>
                <w:color w:val="auto"/>
                <w:w w:val="91"/>
              </w:rPr>
              <w:t>10/28/2020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715"/>
        </w:trPr>
        <w:tc>
          <w:tcPr>
            <w:tcW w:w="720" w:type="dxa"/>
            <w:vAlign w:val="bottom"/>
          </w:tcPr>
          <w:p>
            <w:pPr>
              <w:jc w:val="right"/>
              <w:spacing w:after="0"/>
              <w:rPr>
                <w:sz w:val="20"/>
                <w:szCs w:val="20"/>
                <w:color w:val="auto"/>
              </w:rPr>
            </w:pPr>
            <w:r>
              <w:rPr>
                <w:rFonts w:ascii="Arial" w:cs="Arial" w:eastAsia="Arial" w:hAnsi="Arial"/>
                <w:sz w:val="14"/>
                <w:szCs w:val="14"/>
                <w:color w:val="auto"/>
                <w:w w:val="91"/>
              </w:rPr>
              <w:t>12/18/2019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6,000,000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5,646,424</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5,838,600</w:t>
            </w: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013"/>
        </w:trPr>
        <w:tc>
          <w:tcPr>
            <w:tcW w:w="720" w:type="dxa"/>
            <w:vAlign w:val="bottom"/>
          </w:tcPr>
          <w:p>
            <w:pPr>
              <w:jc w:val="right"/>
              <w:spacing w:after="0"/>
              <w:rPr>
                <w:sz w:val="20"/>
                <w:szCs w:val="20"/>
                <w:color w:val="auto"/>
              </w:rPr>
            </w:pPr>
            <w:r>
              <w:rPr>
                <w:rFonts w:ascii="Arial" w:cs="Arial" w:eastAsia="Arial" w:hAnsi="Arial"/>
                <w:sz w:val="14"/>
                <w:szCs w:val="14"/>
                <w:color w:val="auto"/>
                <w:w w:val="91"/>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6,584,476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5,909,461</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6,584,476</w:t>
            </w:r>
          </w:p>
        </w:tc>
        <w:tc>
          <w:tcPr>
            <w:tcW w:w="4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715"/>
        </w:trPr>
        <w:tc>
          <w:tcPr>
            <w:tcW w:w="720" w:type="dxa"/>
            <w:vAlign w:val="bottom"/>
          </w:tcPr>
          <w:p>
            <w:pPr>
              <w:jc w:val="right"/>
              <w:spacing w:after="0"/>
              <w:rPr>
                <w:sz w:val="20"/>
                <w:szCs w:val="20"/>
                <w:color w:val="auto"/>
              </w:rPr>
            </w:pPr>
            <w:r>
              <w:rPr>
                <w:rFonts w:ascii="Arial" w:cs="Arial" w:eastAsia="Arial" w:hAnsi="Arial"/>
                <w:sz w:val="14"/>
                <w:szCs w:val="14"/>
                <w:color w:val="auto"/>
                <w:w w:val="91"/>
              </w:rPr>
              <w:t>12/31/2020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2,930,103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2,934,888</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2,897,286</w:t>
            </w: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119" w:lineRule="exact"/>
        <w:rPr>
          <w:sz w:val="20"/>
          <w:szCs w:val="20"/>
          <w:color w:val="auto"/>
        </w:rPr>
      </w:pPr>
    </w:p>
    <w:p>
      <w:pPr>
        <w:sectPr>
          <w:pgSz w:w="11900" w:h="16838" w:orient="portrait"/>
          <w:cols w:equalWidth="0" w:num="2">
            <w:col w:w="6920" w:space="700"/>
            <w:col w:w="3620"/>
          </w:cols>
          <w:pgMar w:left="320" w:top="459"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459"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1020" w:type="dxa"/>
            <w:vAlign w:val="bottom"/>
          </w:tcPr>
          <w:p>
            <w:pPr>
              <w:spacing w:after="0"/>
              <w:rPr>
                <w:sz w:val="14"/>
                <w:szCs w:val="14"/>
                <w:color w:val="auto"/>
              </w:rPr>
            </w:pPr>
          </w:p>
        </w:tc>
        <w:tc>
          <w:tcPr>
            <w:tcW w:w="28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Investment</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60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Acquisition</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02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2</w:t>
            </w: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020" w:type="dxa"/>
            <w:vAlign w:val="bottom"/>
          </w:tcPr>
          <w:p>
            <w:pPr>
              <w:spacing w:after="0"/>
              <w:rPr>
                <w:sz w:val="14"/>
                <w:szCs w:val="14"/>
                <w:color w:val="auto"/>
              </w:rPr>
            </w:pPr>
          </w:p>
        </w:tc>
        <w:tc>
          <w:tcPr>
            <w:tcW w:w="28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vMerge w:val="continue"/>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2"/>
            <w:vMerge w:val="continue"/>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95"/>
        </w:trPr>
        <w:tc>
          <w:tcPr>
            <w:tcW w:w="114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MSM Acquisitions, Inc.</w:t>
            </w:r>
          </w:p>
        </w:tc>
        <w:tc>
          <w:tcPr>
            <w:tcW w:w="102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City Avenue Bala Cynwyd, PA 19004</w:t>
            </w:r>
          </w:p>
        </w:tc>
        <w:tc>
          <w:tcPr>
            <w:tcW w:w="10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 Cash, 3 Month Libor (1.00%) + 6.00%;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Services: Business</w:t>
            </w:r>
          </w:p>
        </w:tc>
        <w:tc>
          <w:tcPr>
            <w:tcW w:w="10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1.00%, Due 1/26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12/31/2020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7,023,529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6,943,102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6,944,866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97"/>
        </w:trPr>
        <w:tc>
          <w:tcPr>
            <w:tcW w:w="2600" w:type="dxa"/>
            <w:vAlign w:val="bottom"/>
            <w:gridSpan w:val="2"/>
          </w:tcPr>
          <w:p>
            <w:pPr>
              <w:spacing w:after="0"/>
              <w:rPr>
                <w:sz w:val="20"/>
                <w:szCs w:val="20"/>
                <w:color w:val="auto"/>
              </w:rPr>
            </w:pPr>
            <w:r>
              <w:rPr>
                <w:rFonts w:ascii="Arial" w:cs="Arial" w:eastAsia="Arial" w:hAnsi="Arial"/>
                <w:sz w:val="14"/>
                <w:szCs w:val="14"/>
                <w:color w:val="auto"/>
              </w:rPr>
              <w:t>Nasco Healthcare Inc.</w:t>
            </w:r>
          </w:p>
        </w:tc>
        <w:tc>
          <w:tcPr>
            <w:tcW w:w="1020" w:type="dxa"/>
            <w:vAlign w:val="bottom"/>
          </w:tcPr>
          <w:p>
            <w:pPr>
              <w:ind w:left="140"/>
              <w:spacing w:after="0"/>
              <w:rPr>
                <w:sz w:val="20"/>
                <w:szCs w:val="20"/>
                <w:color w:val="auto"/>
              </w:rPr>
            </w:pPr>
            <w:r>
              <w:rPr>
                <w:rFonts w:ascii="Arial" w:cs="Arial" w:eastAsia="Arial" w:hAnsi="Arial"/>
                <w:sz w:val="12"/>
                <w:szCs w:val="12"/>
                <w:color w:val="auto"/>
              </w:rPr>
              <w:t>(8)(13)(14)(21)</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600" w:type="dxa"/>
            <w:vAlign w:val="bottom"/>
            <w:gridSpan w:val="2"/>
          </w:tcPr>
          <w:p>
            <w:pPr>
              <w:spacing w:after="0" w:line="90" w:lineRule="exact"/>
              <w:rPr>
                <w:sz w:val="20"/>
                <w:szCs w:val="20"/>
                <w:color w:val="auto"/>
              </w:rPr>
            </w:pPr>
            <w:r>
              <w:rPr>
                <w:rFonts w:ascii="Arial" w:cs="Arial" w:eastAsia="Arial" w:hAnsi="Arial"/>
                <w:sz w:val="10"/>
                <w:szCs w:val="10"/>
                <w:color w:val="auto"/>
              </w:rPr>
              <w:t>16 Simulaids Drive Saugerties,</w:t>
            </w:r>
          </w:p>
        </w:tc>
        <w:tc>
          <w:tcPr>
            <w:tcW w:w="1020" w:type="dxa"/>
            <w:vAlign w:val="bottom"/>
          </w:tcPr>
          <w:p>
            <w:pPr>
              <w:spacing w:after="0"/>
              <w:rPr>
                <w:sz w:val="7"/>
                <w:szCs w:val="7"/>
                <w:color w:val="auto"/>
              </w:rPr>
            </w:pPr>
          </w:p>
        </w:tc>
        <w:tc>
          <w:tcPr>
            <w:tcW w:w="2800" w:type="dxa"/>
            <w:vAlign w:val="bottom"/>
            <w:gridSpan w:val="2"/>
            <w:vMerge w:val="restart"/>
          </w:tcPr>
          <w:p>
            <w:pPr>
              <w:spacing w:after="0" w:line="157" w:lineRule="exact"/>
              <w:rPr>
                <w:sz w:val="20"/>
                <w:szCs w:val="20"/>
                <w:color w:val="auto"/>
              </w:rPr>
            </w:pPr>
            <w:r>
              <w:rPr>
                <w:rFonts w:ascii="Arial" w:cs="Arial" w:eastAsia="Arial" w:hAnsi="Arial"/>
                <w:sz w:val="14"/>
                <w:szCs w:val="14"/>
                <w:color w:val="auto"/>
              </w:rPr>
              <w:t>6.5% Cash, 3 Month Libor (1.00%) + 5.50%;</w:t>
            </w: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NY 12477 USA</w:t>
            </w:r>
          </w:p>
        </w:tc>
        <w:tc>
          <w:tcPr>
            <w:tcW w:w="1020" w:type="dxa"/>
            <w:vAlign w:val="bottom"/>
          </w:tcPr>
          <w:p>
            <w:pPr>
              <w:spacing w:after="0"/>
              <w:rPr>
                <w:sz w:val="5"/>
                <w:szCs w:val="5"/>
                <w:color w:val="auto"/>
              </w:rPr>
            </w:pPr>
          </w:p>
        </w:tc>
        <w:tc>
          <w:tcPr>
            <w:tcW w:w="280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Libor Floor 1.00%, Due 6/23</w:t>
            </w: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00" w:type="dxa"/>
            <w:vAlign w:val="bottom"/>
            <w:gridSpan w:val="2"/>
            <w:vMerge w:val="restart"/>
          </w:tcPr>
          <w:p>
            <w:pPr>
              <w:ind w:left="300"/>
              <w:spacing w:after="0"/>
              <w:rPr>
                <w:sz w:val="20"/>
                <w:szCs w:val="20"/>
                <w:color w:val="auto"/>
              </w:rPr>
            </w:pPr>
            <w:r>
              <w:rPr>
                <w:rFonts w:ascii="Arial" w:cs="Arial" w:eastAsia="Arial" w:hAnsi="Arial"/>
                <w:sz w:val="14"/>
                <w:szCs w:val="14"/>
                <w:color w:val="auto"/>
              </w:rPr>
              <w:t>Consumer goods: Non-durable</w:t>
            </w:r>
          </w:p>
        </w:tc>
        <w:tc>
          <w:tcPr>
            <w:tcW w:w="1020" w:type="dxa"/>
            <w:vAlign w:val="bottom"/>
          </w:tcPr>
          <w:p>
            <w:pPr>
              <w:spacing w:after="0"/>
              <w:rPr>
                <w:sz w:val="8"/>
                <w:szCs w:val="8"/>
                <w:color w:val="auto"/>
              </w:rPr>
            </w:pPr>
          </w:p>
        </w:tc>
        <w:tc>
          <w:tcPr>
            <w:tcW w:w="2800" w:type="dxa"/>
            <w:vAlign w:val="bottom"/>
            <w:gridSpan w:val="2"/>
            <w:vMerge w:val="continue"/>
          </w:tcPr>
          <w:p>
            <w:pPr>
              <w:spacing w:after="0"/>
              <w:rPr>
                <w:sz w:val="8"/>
                <w:szCs w:val="8"/>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5/22/2020</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4,288,015</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3,754,315</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4,195,823</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94"/>
        </w:trPr>
        <w:tc>
          <w:tcPr>
            <w:tcW w:w="26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Navex Topco, Inc.</w:t>
            </w:r>
          </w:p>
        </w:tc>
        <w:tc>
          <w:tcPr>
            <w:tcW w:w="102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(8)(14)(18)(21)</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Initial Term Loan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14488 Old Stage Rd,Lenoir City,</w:t>
            </w:r>
          </w:p>
        </w:tc>
        <w:tc>
          <w:tcPr>
            <w:tcW w:w="10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TN 37772</w:t>
            </w:r>
          </w:p>
        </w:tc>
        <w:tc>
          <w:tcPr>
            <w:tcW w:w="10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7.1% Cash, 1 Month Libor (0.10%) + 7.00%,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Electronics</w:t>
            </w:r>
          </w:p>
        </w:tc>
        <w:tc>
          <w:tcPr>
            <w:tcW w:w="10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12/4/2018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7,700,000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7,264,405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7,533,180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Arial" w:cs="Arial" w:eastAsia="Arial" w:hAnsi="Arial"/>
                <w:sz w:val="14"/>
                <w:szCs w:val="14"/>
                <w:color w:val="auto"/>
              </w:rPr>
              <w:t>Naviga Inc.</w:t>
            </w:r>
          </w:p>
        </w:tc>
        <w:tc>
          <w:tcPr>
            <w:tcW w:w="1020" w:type="dxa"/>
            <w:vAlign w:val="bottom"/>
          </w:tcPr>
          <w:p>
            <w:pPr>
              <w:ind w:left="140"/>
              <w:spacing w:after="0"/>
              <w:rPr>
                <w:sz w:val="20"/>
                <w:szCs w:val="20"/>
                <w:color w:val="auto"/>
              </w:rPr>
            </w:pPr>
            <w:r>
              <w:rPr>
                <w:rFonts w:ascii="Arial" w:cs="Arial" w:eastAsia="Arial" w:hAnsi="Arial"/>
                <w:sz w:val="12"/>
                <w:szCs w:val="12"/>
                <w:color w:val="auto"/>
              </w:rPr>
              <w:t>(8)(13)(14)</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Delayed Draw Term</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w w:val="99"/>
              </w:rPr>
              <w:t>100 Kalmus Drive Costa Mesa, CA 92626</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Services: Business</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8.0% Cash, 3 Month Libor (1.00%) + 7.00%;</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Libor Floor 1.00%, Due 12/22</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459,558</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414,423</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449,310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Naviga Inc.</w:t>
            </w:r>
          </w:p>
        </w:tc>
        <w:tc>
          <w:tcPr>
            <w:tcW w:w="102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(8)(13)(14)(23)</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Revolver</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100 Kalmus Drive Costa Mesa, CA 92626</w:t>
            </w:r>
          </w:p>
        </w:tc>
        <w:tc>
          <w:tcPr>
            <w:tcW w:w="10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 Cash, 1 Month Libor (1.00%) + 7.00%;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Services: Business</w:t>
            </w:r>
          </w:p>
        </w:tc>
        <w:tc>
          <w:tcPr>
            <w:tcW w:w="10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1.00%, Due 12/22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383,812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316,498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368,528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Arial" w:cs="Arial" w:eastAsia="Arial" w:hAnsi="Arial"/>
                <w:sz w:val="14"/>
                <w:szCs w:val="14"/>
                <w:color w:val="auto"/>
              </w:rPr>
              <w:t>Naviga Inc.</w:t>
            </w:r>
          </w:p>
        </w:tc>
        <w:tc>
          <w:tcPr>
            <w:tcW w:w="1020" w:type="dxa"/>
            <w:vAlign w:val="bottom"/>
          </w:tcPr>
          <w:p>
            <w:pPr>
              <w:ind w:left="140"/>
              <w:spacing w:after="0"/>
              <w:rPr>
                <w:sz w:val="20"/>
                <w:szCs w:val="20"/>
                <w:color w:val="auto"/>
              </w:rPr>
            </w:pPr>
            <w:r>
              <w:rPr>
                <w:rFonts w:ascii="Arial" w:cs="Arial" w:eastAsia="Arial" w:hAnsi="Arial"/>
                <w:sz w:val="12"/>
                <w:szCs w:val="12"/>
                <w:color w:val="auto"/>
              </w:rPr>
              <w:t>(8)(13)(14)</w:t>
            </w:r>
          </w:p>
        </w:tc>
        <w:tc>
          <w:tcPr>
            <w:tcW w:w="2800" w:type="dxa"/>
            <w:vAlign w:val="bottom"/>
            <w:gridSpan w:val="2"/>
          </w:tcPr>
          <w:p>
            <w:pPr>
              <w:spacing w:after="0"/>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w w:val="99"/>
              </w:rPr>
              <w:t>100 Kalmus Drive Costa Mesa, CA 92626</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8.0% Cash, 3 Month Libor (1.00%) + 7.00%;</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0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Libor Floor 1.00%, Due 12/22</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5,025,116</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4,532,141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4,913,056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Naviga Inc.</w:t>
            </w:r>
          </w:p>
        </w:tc>
        <w:tc>
          <w:tcPr>
            <w:tcW w:w="102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(8)(13)(23)</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Delayed Draw Term</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100 Kalmus Drive Costa Mesa, CA 92626</w:t>
            </w:r>
          </w:p>
        </w:tc>
        <w:tc>
          <w:tcPr>
            <w:tcW w:w="10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Services: Business</w:t>
            </w:r>
          </w:p>
        </w:tc>
        <w:tc>
          <w:tcPr>
            <w:tcW w:w="10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 Cash, 3 Month Libor (1.00%) + 7.00%;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1.00%, Due 12/22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3/1/2021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759,455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751,696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742,519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Arial" w:cs="Arial" w:eastAsia="Arial" w:hAnsi="Arial"/>
                <w:sz w:val="14"/>
                <w:szCs w:val="14"/>
                <w:color w:val="auto"/>
              </w:rPr>
              <w:t>Naviga Inc.</w:t>
            </w:r>
          </w:p>
        </w:tc>
        <w:tc>
          <w:tcPr>
            <w:tcW w:w="1020" w:type="dxa"/>
            <w:vAlign w:val="bottom"/>
          </w:tcPr>
          <w:p>
            <w:pPr>
              <w:ind w:left="140"/>
              <w:spacing w:after="0"/>
              <w:rPr>
                <w:sz w:val="20"/>
                <w:szCs w:val="20"/>
                <w:color w:val="auto"/>
              </w:rPr>
            </w:pPr>
            <w:r>
              <w:rPr>
                <w:rFonts w:ascii="Arial" w:cs="Arial" w:eastAsia="Arial" w:hAnsi="Arial"/>
                <w:sz w:val="12"/>
                <w:szCs w:val="12"/>
                <w:color w:val="auto"/>
              </w:rPr>
              <w:t>(8)(13)</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w w:val="99"/>
              </w:rPr>
              <w:t>100 Kalmus Drive Costa Mesa, CA 92626</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8.0% Cash, 3 Month Libor (1.00%) + 7.00%;</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0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Libor Floor 1.00%, Due 12/22</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3/1/2021</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715,478</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700,857</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699,522</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Novetta Solutions, LLC</w:t>
            </w:r>
          </w:p>
        </w:tc>
        <w:tc>
          <w:tcPr>
            <w:tcW w:w="102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(8)(14)</w:t>
            </w:r>
          </w:p>
        </w:tc>
        <w:tc>
          <w:tcPr>
            <w:tcW w:w="28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6000 Meadows Road, Suite 200, Lake</w:t>
            </w:r>
          </w:p>
        </w:tc>
        <w:tc>
          <w:tcPr>
            <w:tcW w:w="1020" w:type="dxa"/>
            <w:vAlign w:val="bottom"/>
            <w:shd w:val="clear" w:color="auto" w:fill="CCEEFF"/>
          </w:tcPr>
          <w:p>
            <w:pPr>
              <w:spacing w:after="0"/>
              <w:rPr>
                <w:sz w:val="5"/>
                <w:szCs w:val="5"/>
                <w:color w:val="auto"/>
              </w:rPr>
            </w:pPr>
          </w:p>
        </w:tc>
        <w:tc>
          <w:tcPr>
            <w:tcW w:w="280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800" w:type="dxa"/>
            <w:vAlign w:val="bottom"/>
            <w:gridSpan w:val="2"/>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6.0% Cash, 1 Month Libor (1.00%) + 5.00%;</w:t>
            </w: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Oswego, OR 97035</w:t>
            </w:r>
          </w:p>
        </w:tc>
        <w:tc>
          <w:tcPr>
            <w:tcW w:w="1020" w:type="dxa"/>
            <w:vAlign w:val="bottom"/>
            <w:shd w:val="clear" w:color="auto" w:fill="CCEEFF"/>
          </w:tcPr>
          <w:p>
            <w:pPr>
              <w:spacing w:after="0"/>
              <w:rPr>
                <w:sz w:val="5"/>
                <w:szCs w:val="5"/>
                <w:color w:val="auto"/>
              </w:rPr>
            </w:pPr>
          </w:p>
        </w:tc>
        <w:tc>
          <w:tcPr>
            <w:tcW w:w="280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8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Libor Floor 1.00%, Due 10/22</w:t>
            </w: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High Tech Industries</w:t>
            </w:r>
          </w:p>
        </w:tc>
        <w:tc>
          <w:tcPr>
            <w:tcW w:w="1020" w:type="dxa"/>
            <w:vAlign w:val="bottom"/>
            <w:shd w:val="clear" w:color="auto" w:fill="CCEEFF"/>
          </w:tcPr>
          <w:p>
            <w:pPr>
              <w:spacing w:after="0"/>
              <w:rPr>
                <w:sz w:val="8"/>
                <w:szCs w:val="8"/>
                <w:color w:val="auto"/>
              </w:rPr>
            </w:pPr>
          </w:p>
        </w:tc>
        <w:tc>
          <w:tcPr>
            <w:tcW w:w="2800" w:type="dxa"/>
            <w:vAlign w:val="bottom"/>
            <w:gridSpan w:val="2"/>
            <w:vMerge w:val="continue"/>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1,933,499</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1,742,229</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1,935,916</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79"/>
        </w:trPr>
        <w:tc>
          <w:tcPr>
            <w:tcW w:w="2600" w:type="dxa"/>
            <w:vAlign w:val="bottom"/>
            <w:gridSpan w:val="2"/>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Arial" w:cs="Arial" w:eastAsia="Arial" w:hAnsi="Arial"/>
                <w:sz w:val="14"/>
                <w:szCs w:val="14"/>
                <w:color w:val="auto"/>
              </w:rPr>
              <w:t>Northeast Metal Works LLC</w:t>
            </w:r>
          </w:p>
        </w:tc>
        <w:tc>
          <w:tcPr>
            <w:tcW w:w="1020" w:type="dxa"/>
            <w:vAlign w:val="bottom"/>
          </w:tcPr>
          <w:p>
            <w:pPr>
              <w:ind w:left="140"/>
              <w:spacing w:after="0"/>
              <w:rPr>
                <w:sz w:val="20"/>
                <w:szCs w:val="20"/>
                <w:color w:val="auto"/>
              </w:rPr>
            </w:pPr>
            <w:r>
              <w:rPr>
                <w:rFonts w:ascii="Arial" w:cs="Arial" w:eastAsia="Arial" w:hAnsi="Arial"/>
                <w:sz w:val="12"/>
                <w:szCs w:val="12"/>
                <w:color w:val="auto"/>
              </w:rPr>
              <w:t>(8)(13)(18)</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410 John Downey Drive, New Britain, CT</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06051</w:t>
            </w:r>
          </w:p>
        </w:tc>
        <w:tc>
          <w:tcPr>
            <w:tcW w:w="1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8.0% Cash, 2.0% PIK, Due 12/21</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0" w:type="dxa"/>
            <w:vAlign w:val="bottom"/>
            <w:gridSpan w:val="2"/>
          </w:tcPr>
          <w:p>
            <w:pPr>
              <w:ind w:left="300"/>
              <w:spacing w:after="0"/>
              <w:rPr>
                <w:sz w:val="20"/>
                <w:szCs w:val="20"/>
                <w:color w:val="auto"/>
              </w:rPr>
            </w:pPr>
            <w:r>
              <w:rPr>
                <w:rFonts w:ascii="Arial" w:cs="Arial" w:eastAsia="Arial" w:hAnsi="Arial"/>
                <w:sz w:val="14"/>
                <w:szCs w:val="14"/>
                <w:color w:val="auto"/>
              </w:rPr>
              <w:t>Metals &amp; Mining</w:t>
            </w:r>
          </w:p>
        </w:tc>
        <w:tc>
          <w:tcPr>
            <w:tcW w:w="10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13,931,318</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11,810,914</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12,259,560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Orbit Purchaser LLC</w:t>
            </w:r>
          </w:p>
        </w:tc>
        <w:tc>
          <w:tcPr>
            <w:tcW w:w="102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Senior Secured Loan — Incremental First</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7900 International Dr., Suite 800</w:t>
            </w:r>
          </w:p>
        </w:tc>
        <w:tc>
          <w:tcPr>
            <w:tcW w:w="1020" w:type="dxa"/>
            <w:vAlign w:val="bottom"/>
            <w:shd w:val="clear" w:color="auto" w:fill="CCEEFF"/>
          </w:tcPr>
          <w:p>
            <w:pPr>
              <w:spacing w:after="0"/>
              <w:rPr>
                <w:sz w:val="5"/>
                <w:szCs w:val="5"/>
                <w:color w:val="auto"/>
              </w:rPr>
            </w:pPr>
          </w:p>
        </w:tc>
        <w:tc>
          <w:tcPr>
            <w:tcW w:w="280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800" w:type="dxa"/>
            <w:vAlign w:val="bottom"/>
            <w:gridSpan w:val="2"/>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Lien Term Loan</w:t>
            </w: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Bloomington, MN 55425</w:t>
            </w:r>
          </w:p>
        </w:tc>
        <w:tc>
          <w:tcPr>
            <w:tcW w:w="1020" w:type="dxa"/>
            <w:vAlign w:val="bottom"/>
            <w:shd w:val="clear" w:color="auto" w:fill="CCEEFF"/>
          </w:tcPr>
          <w:p>
            <w:pPr>
              <w:spacing w:after="0"/>
              <w:rPr>
                <w:sz w:val="5"/>
                <w:szCs w:val="5"/>
                <w:color w:val="auto"/>
              </w:rPr>
            </w:pPr>
          </w:p>
        </w:tc>
        <w:tc>
          <w:tcPr>
            <w:tcW w:w="280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800" w:type="dxa"/>
            <w:vAlign w:val="bottom"/>
            <w:gridSpan w:val="2"/>
            <w:vMerge w:val="restart"/>
            <w:shd w:val="clear" w:color="auto" w:fill="CCEEFF"/>
          </w:tcPr>
          <w:p>
            <w:pPr>
              <w:spacing w:after="0" w:line="149" w:lineRule="exact"/>
              <w:rPr>
                <w:sz w:val="20"/>
                <w:szCs w:val="20"/>
                <w:color w:val="auto"/>
              </w:rPr>
            </w:pPr>
            <w:r>
              <w:rPr>
                <w:rFonts w:ascii="Arial" w:cs="Arial" w:eastAsia="Arial" w:hAnsi="Arial"/>
                <w:sz w:val="14"/>
                <w:szCs w:val="14"/>
                <w:color w:val="auto"/>
              </w:rPr>
              <w:t>5.5% Cash, 3 Month Libor (1.00%) + 4.50%;</w:t>
            </w: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shd w:val="clear" w:color="auto" w:fill="CCEEFF"/>
          </w:tcPr>
          <w:p>
            <w:pPr>
              <w:ind w:left="300"/>
              <w:spacing w:after="0" w:line="149" w:lineRule="exact"/>
              <w:rPr>
                <w:sz w:val="20"/>
                <w:szCs w:val="20"/>
                <w:color w:val="auto"/>
              </w:rPr>
            </w:pPr>
            <w:r>
              <w:rPr>
                <w:rFonts w:ascii="Arial" w:cs="Arial" w:eastAsia="Arial" w:hAnsi="Arial"/>
                <w:sz w:val="14"/>
                <w:szCs w:val="14"/>
                <w:color w:val="auto"/>
              </w:rPr>
              <w:t>Banking, Finance, Insurance &amp; Real</w:t>
            </w:r>
          </w:p>
        </w:tc>
        <w:tc>
          <w:tcPr>
            <w:tcW w:w="1020" w:type="dxa"/>
            <w:vAlign w:val="bottom"/>
            <w:shd w:val="clear" w:color="auto" w:fill="CCEEFF"/>
          </w:tcPr>
          <w:p>
            <w:pPr>
              <w:spacing w:after="0"/>
              <w:rPr>
                <w:sz w:val="5"/>
                <w:szCs w:val="5"/>
                <w:color w:val="auto"/>
              </w:rPr>
            </w:pPr>
          </w:p>
        </w:tc>
        <w:tc>
          <w:tcPr>
            <w:tcW w:w="2800" w:type="dxa"/>
            <w:vAlign w:val="bottom"/>
            <w:gridSpan w:val="2"/>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8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Libor Floor 1.00%, Due 10/24</w:t>
            </w: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0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Estate</w:t>
            </w:r>
          </w:p>
        </w:tc>
        <w:tc>
          <w:tcPr>
            <w:tcW w:w="1020" w:type="dxa"/>
            <w:vAlign w:val="bottom"/>
            <w:shd w:val="clear" w:color="auto" w:fill="CCEEFF"/>
          </w:tcPr>
          <w:p>
            <w:pPr>
              <w:spacing w:after="0"/>
              <w:rPr>
                <w:sz w:val="8"/>
                <w:szCs w:val="8"/>
                <w:color w:val="auto"/>
              </w:rPr>
            </w:pPr>
          </w:p>
        </w:tc>
        <w:tc>
          <w:tcPr>
            <w:tcW w:w="2800" w:type="dxa"/>
            <w:vAlign w:val="bottom"/>
            <w:gridSpan w:val="2"/>
            <w:vMerge w:val="continue"/>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1,532,033</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1,359,032</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1,532,033</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80"/>
        </w:trPr>
        <w:tc>
          <w:tcPr>
            <w:tcW w:w="2600" w:type="dxa"/>
            <w:vAlign w:val="bottom"/>
            <w:gridSpan w:val="2"/>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Arial" w:cs="Arial" w:eastAsia="Arial" w:hAnsi="Arial"/>
                <w:sz w:val="14"/>
                <w:szCs w:val="14"/>
                <w:color w:val="auto"/>
              </w:rPr>
              <w:t>Orbit Purchaser LLC</w:t>
            </w:r>
          </w:p>
        </w:tc>
        <w:tc>
          <w:tcPr>
            <w:tcW w:w="1020" w:type="dxa"/>
            <w:vAlign w:val="bottom"/>
          </w:tcPr>
          <w:p>
            <w:pPr>
              <w:ind w:left="140"/>
              <w:spacing w:after="0"/>
              <w:rPr>
                <w:sz w:val="20"/>
                <w:szCs w:val="20"/>
                <w:color w:val="auto"/>
              </w:rPr>
            </w:pPr>
            <w:r>
              <w:rPr>
                <w:rFonts w:ascii="Arial" w:cs="Arial" w:eastAsia="Arial" w:hAnsi="Arial"/>
                <w:sz w:val="12"/>
                <w:szCs w:val="12"/>
                <w:color w:val="auto"/>
              </w:rPr>
              <w:t>(8)(13)(14)</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7900 International Dr., Suite 800</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Bloomington, MN 55425</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5.5% Cash, 3 Month Libor (1.00%) + 4.50%;</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Banking, Finance, Insurance &amp; Real</w:t>
            </w:r>
          </w:p>
        </w:tc>
        <w:tc>
          <w:tcPr>
            <w:tcW w:w="10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Libor Floor 1.00%, Due 10/24</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0" w:type="dxa"/>
            <w:vAlign w:val="bottom"/>
            <w:gridSpan w:val="2"/>
          </w:tcPr>
          <w:p>
            <w:pPr>
              <w:ind w:left="440"/>
              <w:spacing w:after="0"/>
              <w:rPr>
                <w:sz w:val="20"/>
                <w:szCs w:val="20"/>
                <w:color w:val="auto"/>
              </w:rPr>
            </w:pPr>
            <w:r>
              <w:rPr>
                <w:rFonts w:ascii="Arial" w:cs="Arial" w:eastAsia="Arial" w:hAnsi="Arial"/>
                <w:sz w:val="14"/>
                <w:szCs w:val="14"/>
                <w:color w:val="auto"/>
              </w:rPr>
              <w:t>Estate</w:t>
            </w:r>
          </w:p>
        </w:tc>
        <w:tc>
          <w:tcPr>
            <w:tcW w:w="10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2,535,121</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2,244,309</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2,535,121</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920" w:type="dxa"/>
            <w:vAlign w:val="bottom"/>
          </w:tcPr>
          <w:p>
            <w:pPr>
              <w:spacing w:after="0"/>
              <w:rPr>
                <w:sz w:val="14"/>
                <w:szCs w:val="14"/>
                <w:color w:val="auto"/>
              </w:rPr>
            </w:pPr>
          </w:p>
        </w:tc>
        <w:tc>
          <w:tcPr>
            <w:tcW w:w="28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7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2"/>
            <w:vMerge w:val="continue"/>
          </w:tcPr>
          <w:p>
            <w:pPr>
              <w:spacing w:after="0"/>
              <w:rPr>
                <w:sz w:val="12"/>
                <w:szCs w:val="12"/>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2</w:t>
            </w: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920" w:type="dxa"/>
            <w:vAlign w:val="bottom"/>
          </w:tcPr>
          <w:p>
            <w:pPr>
              <w:spacing w:after="0"/>
              <w:rPr>
                <w:sz w:val="14"/>
                <w:szCs w:val="14"/>
                <w:color w:val="auto"/>
              </w:rPr>
            </w:pPr>
          </w:p>
        </w:tc>
        <w:tc>
          <w:tcPr>
            <w:tcW w:w="28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vMerge w:val="continue"/>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100" w:type="dxa"/>
            <w:vAlign w:val="bottom"/>
            <w:gridSpan w:val="2"/>
            <w:vMerge w:val="continue"/>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95"/>
        </w:trPr>
        <w:tc>
          <w:tcPr>
            <w:tcW w:w="1140" w:type="dxa"/>
            <w:vAlign w:val="bottom"/>
            <w:tcBorders>
              <w:top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Orbit Purchaser LLC</w:t>
            </w:r>
          </w:p>
        </w:tc>
        <w:tc>
          <w:tcPr>
            <w:tcW w:w="920" w:type="dxa"/>
            <w:vAlign w:val="bottom"/>
            <w:shd w:val="clear" w:color="auto" w:fill="CCEEFF"/>
          </w:tcPr>
          <w:p>
            <w:pPr>
              <w:ind w:left="4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Delayed Draw Term</w:t>
            </w: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7900 International Dr., Suite 800</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Bloomington, MN 55425</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 Cash, 3 Month Libor (1.00%) + 4.50%;</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Banking, Finance, Insurance &amp; Real</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Floor 1.00%, Due 10/24</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Estate</w:t>
            </w:r>
          </w:p>
        </w:tc>
        <w:tc>
          <w:tcPr>
            <w:tcW w:w="9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10/28/2020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741,306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657,596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741,306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38"/>
        </w:trPr>
        <w:tc>
          <w:tcPr>
            <w:tcW w:w="2700" w:type="dxa"/>
            <w:vAlign w:val="bottom"/>
            <w:gridSpan w:val="2"/>
          </w:tcPr>
          <w:p>
            <w:pPr>
              <w:spacing w:after="0"/>
              <w:rPr>
                <w:sz w:val="20"/>
                <w:szCs w:val="20"/>
                <w:color w:val="auto"/>
              </w:rPr>
            </w:pPr>
            <w:r>
              <w:rPr>
                <w:rFonts w:ascii="Arial" w:cs="Arial" w:eastAsia="Arial" w:hAnsi="Arial"/>
                <w:sz w:val="14"/>
                <w:szCs w:val="14"/>
                <w:color w:val="auto"/>
              </w:rPr>
              <w:t>One Stop Mailing LLC</w:t>
            </w:r>
          </w:p>
        </w:tc>
        <w:tc>
          <w:tcPr>
            <w:tcW w:w="920" w:type="dxa"/>
            <w:vAlign w:val="bottom"/>
          </w:tcPr>
          <w:p>
            <w:pPr>
              <w:ind w:left="40"/>
              <w:spacing w:after="0"/>
              <w:rPr>
                <w:sz w:val="20"/>
                <w:szCs w:val="20"/>
                <w:color w:val="auto"/>
              </w:rPr>
            </w:pPr>
            <w:r>
              <w:rPr>
                <w:rFonts w:ascii="Arial" w:cs="Arial" w:eastAsia="Arial" w:hAnsi="Arial"/>
                <w:sz w:val="12"/>
                <w:szCs w:val="12"/>
                <w:color w:val="auto"/>
              </w:rPr>
              <w:t>(8)(14)</w:t>
            </w:r>
          </w:p>
        </w:tc>
        <w:tc>
          <w:tcPr>
            <w:tcW w:w="2800" w:type="dxa"/>
            <w:vAlign w:val="bottom"/>
            <w:gridSpan w:val="2"/>
          </w:tcPr>
          <w:p>
            <w:pPr>
              <w:spacing w:after="0"/>
              <w:rPr>
                <w:sz w:val="20"/>
                <w:szCs w:val="20"/>
                <w:color w:val="auto"/>
              </w:rPr>
            </w:pPr>
            <w:r>
              <w:rPr>
                <w:rFonts w:ascii="Arial" w:cs="Arial" w:eastAsia="Arial" w:hAnsi="Arial"/>
                <w:sz w:val="14"/>
                <w:szCs w:val="14"/>
                <w:color w:val="auto"/>
                <w:w w:val="98"/>
              </w:rPr>
              <w:t>Senior Secured Loan — First Lien Term Loan</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601 Regency Drive, Glendale Heights, IL</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7.3% Cash, 1 Month Libor (1.00%) + 6.25%;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60139</w:t>
            </w: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Libor Floor 1.00%, Due 4/27</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300"/>
              <w:spacing w:after="0"/>
              <w:rPr>
                <w:sz w:val="20"/>
                <w:szCs w:val="20"/>
                <w:color w:val="auto"/>
              </w:rPr>
            </w:pPr>
            <w:r>
              <w:rPr>
                <w:rFonts w:ascii="Arial" w:cs="Arial" w:eastAsia="Arial" w:hAnsi="Arial"/>
                <w:sz w:val="14"/>
                <w:szCs w:val="14"/>
                <w:color w:val="auto"/>
              </w:rPr>
              <w:t>Transportation: Consumer</w:t>
            </w:r>
          </w:p>
        </w:tc>
        <w:tc>
          <w:tcPr>
            <w:tcW w:w="9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5/7/2021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8,000,000</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7,843,313</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7,840,000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Phoenix Guarantor Inc.</w:t>
            </w:r>
          </w:p>
        </w:tc>
        <w:tc>
          <w:tcPr>
            <w:tcW w:w="920" w:type="dxa"/>
            <w:vAlign w:val="bottom"/>
            <w:shd w:val="clear" w:color="auto" w:fill="CCEEFF"/>
          </w:tcPr>
          <w:p>
            <w:pPr>
              <w:ind w:left="4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w:t>
            </w: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7921 Jones Branch Drive McLean,</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Lien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VA 22102</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9.3% Cash, 1 Month Libor (1.00%) + 8.25%;</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Healthcare &amp; Pharmaceuticals</w:t>
            </w:r>
          </w:p>
        </w:tc>
        <w:tc>
          <w:tcPr>
            <w:tcW w:w="9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1.00%, Due 3/27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12/18/2019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1,200,000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1,108,250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1,200,000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38"/>
        </w:trPr>
        <w:tc>
          <w:tcPr>
            <w:tcW w:w="2700" w:type="dxa"/>
            <w:vAlign w:val="bottom"/>
            <w:gridSpan w:val="2"/>
          </w:tcPr>
          <w:p>
            <w:pPr>
              <w:spacing w:after="0"/>
              <w:rPr>
                <w:sz w:val="20"/>
                <w:szCs w:val="20"/>
                <w:color w:val="auto"/>
              </w:rPr>
            </w:pPr>
            <w:r>
              <w:rPr>
                <w:rFonts w:ascii="Arial" w:cs="Arial" w:eastAsia="Arial" w:hAnsi="Arial"/>
                <w:sz w:val="14"/>
                <w:szCs w:val="14"/>
                <w:color w:val="auto"/>
              </w:rPr>
              <w:t>Pinstripe Holdings, LLC</w:t>
            </w:r>
          </w:p>
        </w:tc>
        <w:tc>
          <w:tcPr>
            <w:tcW w:w="920" w:type="dxa"/>
            <w:vAlign w:val="bottom"/>
          </w:tcPr>
          <w:p>
            <w:pPr>
              <w:ind w:left="40"/>
              <w:spacing w:after="0"/>
              <w:rPr>
                <w:sz w:val="20"/>
                <w:szCs w:val="20"/>
                <w:color w:val="auto"/>
              </w:rPr>
            </w:pPr>
            <w:r>
              <w:rPr>
                <w:rFonts w:ascii="Arial" w:cs="Arial" w:eastAsia="Arial" w:hAnsi="Arial"/>
                <w:sz w:val="12"/>
                <w:szCs w:val="12"/>
                <w:color w:val="auto"/>
              </w:rPr>
              <w:t>(8)(13)(14)</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333 Thornall Street, 7th Floor Edison, NJ</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7.0% Cash, 1 Month Libor (1.00%) + 6.00%;</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08837</w:t>
            </w: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Libor Floor 1.00%, Due 1/25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9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1/17/2019</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4,887,444</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4,829,337</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4,826,840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Priority Holdings, LLC</w:t>
            </w:r>
          </w:p>
        </w:tc>
        <w:tc>
          <w:tcPr>
            <w:tcW w:w="920" w:type="dxa"/>
            <w:vAlign w:val="bottom"/>
            <w:shd w:val="clear" w:color="auto" w:fill="CCEEFF"/>
          </w:tcPr>
          <w:p>
            <w:pPr>
              <w:ind w:left="4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Senior Secured Loan — First Lien Term Loan</w:t>
            </w: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2001 Westside Parkway, Suite 155 Alpharetta,</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7.8% Cash, 6 Month Libor (1.00%) + 6.75%;</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GA 30004</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Floor 1.00%, Due 4/27</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High Tech Industries</w:t>
            </w:r>
          </w:p>
        </w:tc>
        <w:tc>
          <w:tcPr>
            <w:tcW w:w="9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4/21/2021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3,728,814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3,655,243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3,654,237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8"/>
        </w:trPr>
        <w:tc>
          <w:tcPr>
            <w:tcW w:w="2700" w:type="dxa"/>
            <w:vAlign w:val="bottom"/>
            <w:gridSpan w:val="2"/>
          </w:tcPr>
          <w:p>
            <w:pPr>
              <w:spacing w:after="0"/>
              <w:rPr>
                <w:sz w:val="20"/>
                <w:szCs w:val="20"/>
                <w:color w:val="auto"/>
              </w:rPr>
            </w:pPr>
            <w:r>
              <w:rPr>
                <w:rFonts w:ascii="Arial" w:cs="Arial" w:eastAsia="Arial" w:hAnsi="Arial"/>
                <w:sz w:val="14"/>
                <w:szCs w:val="14"/>
                <w:color w:val="auto"/>
              </w:rPr>
              <w:t>Priority Holdings, LLC</w:t>
            </w:r>
          </w:p>
        </w:tc>
        <w:tc>
          <w:tcPr>
            <w:tcW w:w="920" w:type="dxa"/>
            <w:vAlign w:val="bottom"/>
          </w:tcPr>
          <w:p>
            <w:pPr>
              <w:ind w:left="40"/>
              <w:spacing w:after="0"/>
              <w:rPr>
                <w:sz w:val="20"/>
                <w:szCs w:val="20"/>
                <w:color w:val="auto"/>
              </w:rPr>
            </w:pPr>
            <w:r>
              <w:rPr>
                <w:rFonts w:ascii="Arial" w:cs="Arial" w:eastAsia="Arial" w:hAnsi="Arial"/>
                <w:sz w:val="12"/>
                <w:szCs w:val="12"/>
                <w:color w:val="auto"/>
              </w:rPr>
              <w:t>(8)(13)(14)(23)</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Delayed Draw Term</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w w:val="92"/>
              </w:rPr>
              <w:t>2001 Westside Parkway, Suite 155 Alpharetta,</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GA 30004</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2.9% Cash, Due 4/27</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9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4/21/2021</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ProAir Holdings Corporation</w:t>
            </w:r>
          </w:p>
        </w:tc>
        <w:tc>
          <w:tcPr>
            <w:tcW w:w="920" w:type="dxa"/>
            <w:vAlign w:val="bottom"/>
            <w:shd w:val="clear" w:color="auto" w:fill="CCEEFF"/>
          </w:tcPr>
          <w:p>
            <w:pPr>
              <w:ind w:left="40"/>
              <w:spacing w:after="0" w:line="130" w:lineRule="exact"/>
              <w:rPr>
                <w:sz w:val="20"/>
                <w:szCs w:val="20"/>
                <w:color w:val="auto"/>
              </w:rPr>
            </w:pPr>
            <w:r>
              <w:rPr>
                <w:rFonts w:ascii="Arial" w:cs="Arial" w:eastAsia="Arial" w:hAnsi="Arial"/>
                <w:sz w:val="12"/>
                <w:szCs w:val="12"/>
                <w:color w:val="auto"/>
              </w:rPr>
              <w:t>(8)(5)(13)</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w:t>
            </w: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3260 Eagle Park Dr., NE, #100, Grand</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Lien)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Rapids, MI 49525</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13.5% Cash, 2.0% PIK, Due 12/22</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Capital Equipment</w:t>
            </w:r>
          </w:p>
        </w:tc>
        <w:tc>
          <w:tcPr>
            <w:tcW w:w="9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6/9/2021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7,776,701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3,560,102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3,402,307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700" w:type="dxa"/>
            <w:vAlign w:val="bottom"/>
            <w:gridSpan w:val="2"/>
          </w:tcPr>
          <w:p>
            <w:pPr>
              <w:spacing w:after="0" w:line="130" w:lineRule="exact"/>
              <w:rPr>
                <w:sz w:val="20"/>
                <w:szCs w:val="20"/>
                <w:color w:val="auto"/>
              </w:rPr>
            </w:pPr>
            <w:r>
              <w:rPr>
                <w:rFonts w:ascii="Arial" w:cs="Arial" w:eastAsia="Arial" w:hAnsi="Arial"/>
                <w:sz w:val="14"/>
                <w:szCs w:val="14"/>
                <w:color w:val="auto"/>
              </w:rPr>
              <w:t>PromptCare Companies,</w:t>
            </w:r>
          </w:p>
        </w:tc>
        <w:tc>
          <w:tcPr>
            <w:tcW w:w="920" w:type="dxa"/>
            <w:vAlign w:val="bottom"/>
          </w:tcPr>
          <w:p>
            <w:pPr>
              <w:ind w:left="4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Senior Secured Loan — First Delayed Draw</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w w:val="95"/>
              </w:rPr>
              <w:t>The 333 Thornall Street, 7th Floor Edison, NJ</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08837</w:t>
            </w: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5.8% Cash, 1 Month Libor (1.00%) + 4.75%;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9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Libor Floor 1.00%, Due 12/25</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2/20/2020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537,273</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533,148</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537,273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700" w:type="dxa"/>
            <w:vAlign w:val="bottom"/>
            <w:gridSpan w:val="2"/>
            <w:shd w:val="clear" w:color="auto" w:fill="CCEEFF"/>
          </w:tcPr>
          <w:p>
            <w:pPr>
              <w:spacing w:after="0" w:line="124" w:lineRule="exact"/>
              <w:rPr>
                <w:sz w:val="20"/>
                <w:szCs w:val="20"/>
                <w:color w:val="auto"/>
              </w:rPr>
            </w:pPr>
            <w:r>
              <w:rPr>
                <w:rFonts w:ascii="Arial" w:cs="Arial" w:eastAsia="Arial" w:hAnsi="Arial"/>
                <w:sz w:val="14"/>
                <w:szCs w:val="14"/>
                <w:color w:val="auto"/>
              </w:rPr>
              <w:t>PromptCare Companies,</w:t>
            </w:r>
          </w:p>
        </w:tc>
        <w:tc>
          <w:tcPr>
            <w:tcW w:w="920" w:type="dxa"/>
            <w:vAlign w:val="bottom"/>
            <w:shd w:val="clear" w:color="auto" w:fill="CCEEFF"/>
          </w:tcPr>
          <w:p>
            <w:pPr>
              <w:ind w:left="40"/>
              <w:spacing w:after="0" w:line="124" w:lineRule="exact"/>
              <w:rPr>
                <w:sz w:val="20"/>
                <w:szCs w:val="20"/>
                <w:color w:val="auto"/>
              </w:rPr>
            </w:pPr>
            <w:r>
              <w:rPr>
                <w:rFonts w:ascii="Arial" w:cs="Arial" w:eastAsia="Arial" w:hAnsi="Arial"/>
                <w:sz w:val="12"/>
                <w:szCs w:val="12"/>
                <w:color w:val="auto"/>
              </w:rPr>
              <w:t>(8)(13)(14)(21)</w:t>
            </w:r>
          </w:p>
        </w:tc>
        <w:tc>
          <w:tcPr>
            <w:tcW w:w="2800" w:type="dxa"/>
            <w:vAlign w:val="bottom"/>
            <w:gridSpan w:val="2"/>
            <w:shd w:val="clear" w:color="auto" w:fill="CCEEFF"/>
          </w:tcPr>
          <w:p>
            <w:pPr>
              <w:spacing w:after="0" w:line="124" w:lineRule="exact"/>
              <w:rPr>
                <w:sz w:val="20"/>
                <w:szCs w:val="20"/>
                <w:color w:val="auto"/>
              </w:rPr>
            </w:pPr>
            <w:r>
              <w:rPr>
                <w:rFonts w:ascii="Arial" w:cs="Arial" w:eastAsia="Arial" w:hAnsi="Arial"/>
                <w:sz w:val="14"/>
                <w:szCs w:val="14"/>
                <w:color w:val="auto"/>
              </w:rPr>
              <w:t>Senior Secured Loan — Second Delayed</w:t>
            </w: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700" w:type="dxa"/>
            <w:vAlign w:val="bottom"/>
            <w:gridSpan w:val="2"/>
            <w:shd w:val="clear" w:color="auto" w:fill="CCEEFF"/>
          </w:tcPr>
          <w:p>
            <w:pPr>
              <w:spacing w:after="0" w:line="154" w:lineRule="exact"/>
              <w:rPr>
                <w:sz w:val="20"/>
                <w:szCs w:val="20"/>
                <w:color w:val="auto"/>
              </w:rPr>
            </w:pPr>
            <w:r>
              <w:rPr>
                <w:rFonts w:ascii="Arial" w:cs="Arial" w:eastAsia="Arial" w:hAnsi="Arial"/>
                <w:sz w:val="14"/>
                <w:szCs w:val="14"/>
                <w:color w:val="auto"/>
                <w:w w:val="95"/>
              </w:rPr>
              <w:t>The 333 Thornall Street, 7th Floor Edison, NJ</w:t>
            </w:r>
          </w:p>
        </w:tc>
        <w:tc>
          <w:tcPr>
            <w:tcW w:w="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(23)</w:t>
            </w:r>
          </w:p>
        </w:tc>
        <w:tc>
          <w:tcPr>
            <w:tcW w:w="2800" w:type="dxa"/>
            <w:vAlign w:val="bottom"/>
            <w:gridSpan w:val="2"/>
            <w:shd w:val="clear" w:color="auto" w:fill="CCEEFF"/>
          </w:tcPr>
          <w:p>
            <w:pPr>
              <w:spacing w:after="0" w:line="154" w:lineRule="exact"/>
              <w:rPr>
                <w:sz w:val="20"/>
                <w:szCs w:val="20"/>
                <w:color w:val="auto"/>
              </w:rPr>
            </w:pPr>
            <w:r>
              <w:rPr>
                <w:rFonts w:ascii="Arial" w:cs="Arial" w:eastAsia="Arial" w:hAnsi="Arial"/>
                <w:sz w:val="14"/>
                <w:szCs w:val="14"/>
                <w:color w:val="auto"/>
              </w:rPr>
              <w:t>Draw Term Loan</w:t>
            </w: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08837</w:t>
            </w:r>
          </w:p>
        </w:tc>
        <w:tc>
          <w:tcPr>
            <w:tcW w:w="1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 Cash, 1 Month Libor (1.00%) + 4.75%;</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Healthcare &amp; Pharmaceuticals</w:t>
            </w:r>
          </w:p>
        </w:tc>
        <w:tc>
          <w:tcPr>
            <w:tcW w:w="9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1.00%, Due 12/25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2/20/2020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443,978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441,886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443,978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38"/>
        </w:trPr>
        <w:tc>
          <w:tcPr>
            <w:tcW w:w="2700" w:type="dxa"/>
            <w:vAlign w:val="bottom"/>
            <w:gridSpan w:val="2"/>
          </w:tcPr>
          <w:p>
            <w:pPr>
              <w:spacing w:after="0"/>
              <w:rPr>
                <w:sz w:val="20"/>
                <w:szCs w:val="20"/>
                <w:color w:val="auto"/>
              </w:rPr>
            </w:pPr>
            <w:r>
              <w:rPr>
                <w:rFonts w:ascii="Arial" w:cs="Arial" w:eastAsia="Arial" w:hAnsi="Arial"/>
                <w:sz w:val="14"/>
                <w:szCs w:val="14"/>
                <w:color w:val="auto"/>
              </w:rPr>
              <w:t>PromptCare Companies,</w:t>
            </w:r>
          </w:p>
        </w:tc>
        <w:tc>
          <w:tcPr>
            <w:tcW w:w="920" w:type="dxa"/>
            <w:vAlign w:val="bottom"/>
          </w:tcPr>
          <w:p>
            <w:pPr>
              <w:ind w:left="40"/>
              <w:spacing w:after="0"/>
              <w:rPr>
                <w:sz w:val="20"/>
                <w:szCs w:val="20"/>
                <w:color w:val="auto"/>
              </w:rPr>
            </w:pPr>
            <w:r>
              <w:rPr>
                <w:rFonts w:ascii="Arial" w:cs="Arial" w:eastAsia="Arial" w:hAnsi="Arial"/>
                <w:sz w:val="12"/>
                <w:szCs w:val="12"/>
                <w:color w:val="auto"/>
              </w:rPr>
              <w:t>(8)(13)(14)(21)</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w w:val="95"/>
              </w:rPr>
              <w:t>The 333 Thornall Street, 7th Floor Edison, NJ</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5.8% Cash, 1 Month Libor (1.00%) + 4.75%;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08837</w:t>
            </w: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Libor Floor 1.00%, Due 12/25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9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2/20/2020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3,850,455</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3,820,893</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3,850,455</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PSC Industrial Holdings Corp.</w:t>
            </w:r>
          </w:p>
        </w:tc>
        <w:tc>
          <w:tcPr>
            <w:tcW w:w="920" w:type="dxa"/>
            <w:vAlign w:val="bottom"/>
            <w:shd w:val="clear" w:color="auto" w:fill="CCEEFF"/>
          </w:tcPr>
          <w:p>
            <w:pPr>
              <w:ind w:left="4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Initial Term Loan</w:t>
            </w: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200 S Executive Drive, Suite 400, Brookfield,</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WI 53005</w:t>
            </w:r>
          </w:p>
        </w:tc>
        <w:tc>
          <w:tcPr>
            <w:tcW w:w="9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9.5% Cash, 1 Month Libor (1.00%) + 8.50%;</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Environmental Industries</w:t>
            </w:r>
          </w:p>
        </w:tc>
        <w:tc>
          <w:tcPr>
            <w:tcW w:w="9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1.00%, Due 10/25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10/5/2017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2,966,750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2,852,400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8"/>
        </w:trPr>
        <w:tc>
          <w:tcPr>
            <w:tcW w:w="2700" w:type="dxa"/>
            <w:vAlign w:val="bottom"/>
            <w:gridSpan w:val="2"/>
          </w:tcPr>
          <w:p>
            <w:pPr>
              <w:spacing w:after="0"/>
              <w:rPr>
                <w:sz w:val="20"/>
                <w:szCs w:val="20"/>
                <w:color w:val="auto"/>
              </w:rPr>
            </w:pPr>
            <w:r>
              <w:rPr>
                <w:rFonts w:ascii="Arial" w:cs="Arial" w:eastAsia="Arial" w:hAnsi="Arial"/>
                <w:sz w:val="14"/>
                <w:szCs w:val="14"/>
                <w:color w:val="auto"/>
              </w:rPr>
              <w:t>PVHC Holding Corp</w:t>
            </w:r>
          </w:p>
        </w:tc>
        <w:tc>
          <w:tcPr>
            <w:tcW w:w="920" w:type="dxa"/>
            <w:vAlign w:val="bottom"/>
          </w:tcPr>
          <w:p>
            <w:pPr>
              <w:ind w:left="40"/>
              <w:spacing w:after="0"/>
              <w:rPr>
                <w:sz w:val="20"/>
                <w:szCs w:val="20"/>
                <w:color w:val="auto"/>
              </w:rPr>
            </w:pPr>
            <w:r>
              <w:rPr>
                <w:rFonts w:ascii="Arial" w:cs="Arial" w:eastAsia="Arial" w:hAnsi="Arial"/>
                <w:sz w:val="12"/>
                <w:szCs w:val="12"/>
                <w:color w:val="auto"/>
              </w:rPr>
              <w:t>(8)(13)(14)</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41 Spring Street New Providence,</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5.8% Cash, 3 Month Libor (1.00%) + 4.75%;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NJ 07974</w:t>
            </w:r>
          </w:p>
        </w:tc>
        <w:tc>
          <w:tcPr>
            <w:tcW w:w="92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Libor Floor 1.00%, Due 8/24</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300"/>
              <w:spacing w:after="0"/>
              <w:rPr>
                <w:sz w:val="20"/>
                <w:szCs w:val="20"/>
                <w:color w:val="auto"/>
              </w:rPr>
            </w:pPr>
            <w:r>
              <w:rPr>
                <w:rFonts w:ascii="Arial" w:cs="Arial" w:eastAsia="Arial" w:hAnsi="Arial"/>
                <w:sz w:val="14"/>
                <w:szCs w:val="14"/>
                <w:color w:val="auto"/>
              </w:rPr>
              <w:t>Containers, Packaging and Glass</w:t>
            </w:r>
          </w:p>
        </w:tc>
        <w:tc>
          <w:tcPr>
            <w:tcW w:w="9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8/10/2018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2,800,800</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2,793,546</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2,584,298</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960" w:type="dxa"/>
            <w:vAlign w:val="bottom"/>
          </w:tcPr>
          <w:p>
            <w:pPr>
              <w:spacing w:after="0"/>
              <w:rPr>
                <w:sz w:val="14"/>
                <w:szCs w:val="14"/>
                <w:color w:val="auto"/>
              </w:rPr>
            </w:pPr>
          </w:p>
        </w:tc>
        <w:tc>
          <w:tcPr>
            <w:tcW w:w="280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Investment</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Amortized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6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auto"/>
                <w:w w:val="94"/>
              </w:rPr>
              <w:t>Acquisition</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04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2</w:t>
            </w:r>
          </w:p>
        </w:tc>
        <w:tc>
          <w:tcPr>
            <w:tcW w:w="7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960" w:type="dxa"/>
            <w:vAlign w:val="bottom"/>
          </w:tcPr>
          <w:p>
            <w:pPr>
              <w:spacing w:after="0"/>
              <w:rPr>
                <w:sz w:val="14"/>
                <w:szCs w:val="14"/>
                <w:color w:val="auto"/>
              </w:rPr>
            </w:pPr>
          </w:p>
        </w:tc>
        <w:tc>
          <w:tcPr>
            <w:tcW w:w="28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gridSpan w:val="2"/>
            <w:vMerge w:val="continue"/>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vMerge w:val="continue"/>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95"/>
        </w:trPr>
        <w:tc>
          <w:tcPr>
            <w:tcW w:w="1140" w:type="dxa"/>
            <w:vAlign w:val="bottom"/>
            <w:tcBorders>
              <w:top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 Holding Company</w:t>
            </w:r>
          </w:p>
        </w:tc>
        <w:tc>
          <w:tcPr>
            <w:tcW w:w="96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(fka Lex Precision Corp) 41 Spring Street</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6.0% Cash, 3 Month Libor (1.00%) + 5.00%;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New Providence,</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Floor 1.00%, Due 12/23</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NJ 07974</w:t>
            </w:r>
          </w:p>
        </w:tc>
        <w:tc>
          <w:tcPr>
            <w:tcW w:w="9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Chemicals, Plastics &amp; Rubber</w:t>
            </w:r>
          </w:p>
        </w:tc>
        <w:tc>
          <w:tcPr>
            <w:tcW w:w="9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2,366,959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1,983,516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2,314,413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Arial" w:cs="Arial" w:eastAsia="Arial" w:hAnsi="Arial"/>
                <w:sz w:val="14"/>
                <w:szCs w:val="14"/>
                <w:color w:val="auto"/>
              </w:rPr>
              <w:t>Qualtek USA, LLC</w:t>
            </w:r>
          </w:p>
        </w:tc>
        <w:tc>
          <w:tcPr>
            <w:tcW w:w="960" w:type="dxa"/>
            <w:vAlign w:val="bottom"/>
          </w:tcPr>
          <w:p>
            <w:pPr>
              <w:ind w:left="80"/>
              <w:spacing w:after="0"/>
              <w:rPr>
                <w:sz w:val="20"/>
                <w:szCs w:val="20"/>
                <w:color w:val="auto"/>
              </w:rPr>
            </w:pPr>
            <w:r>
              <w:rPr>
                <w:rFonts w:ascii="Arial" w:cs="Arial" w:eastAsia="Arial" w:hAnsi="Arial"/>
                <w:sz w:val="12"/>
                <w:szCs w:val="12"/>
                <w:color w:val="auto"/>
              </w:rPr>
              <w:t>(8)(14)</w:t>
            </w:r>
          </w:p>
        </w:tc>
        <w:tc>
          <w:tcPr>
            <w:tcW w:w="2800" w:type="dxa"/>
            <w:vAlign w:val="bottom"/>
            <w:gridSpan w:val="2"/>
          </w:tcPr>
          <w:p>
            <w:pPr>
              <w:spacing w:after="0"/>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41 Spring Street New Providence,</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7.3% Cash, 3 Month Libor (1.00%) + 6.25%;</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NJ 07974</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Libor Floor 1.00%, Due 7/25</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6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5,585,386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4,572,328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5,552,796</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Redstone Holdco 2 LP</w:t>
            </w:r>
          </w:p>
        </w:tc>
        <w:tc>
          <w:tcPr>
            <w:tcW w:w="96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176 Middlesex Turnpike, Bedford,</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Lien)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MA 01730</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 Cash, 3 Month Libor (0.75%) + 7.75%;</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High Tech Industries</w:t>
            </w:r>
          </w:p>
        </w:tc>
        <w:tc>
          <w:tcPr>
            <w:tcW w:w="96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Libor Floor 0.75%, Due 4/29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4/16/2021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3,813,333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3,747,933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3,759,298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Arial" w:cs="Arial" w:eastAsia="Arial" w:hAnsi="Arial"/>
                <w:sz w:val="14"/>
                <w:szCs w:val="14"/>
                <w:color w:val="auto"/>
              </w:rPr>
              <w:t>Redstone Holdco 2 LP</w:t>
            </w:r>
          </w:p>
        </w:tc>
        <w:tc>
          <w:tcPr>
            <w:tcW w:w="960" w:type="dxa"/>
            <w:vAlign w:val="bottom"/>
          </w:tcPr>
          <w:p>
            <w:pPr>
              <w:ind w:left="80"/>
              <w:spacing w:after="0"/>
              <w:rPr>
                <w:sz w:val="20"/>
                <w:szCs w:val="20"/>
                <w:color w:val="auto"/>
              </w:rPr>
            </w:pPr>
            <w:r>
              <w:rPr>
                <w:rFonts w:ascii="Arial" w:cs="Arial" w:eastAsia="Arial" w:hAnsi="Arial"/>
                <w:sz w:val="12"/>
                <w:szCs w:val="12"/>
                <w:color w:val="auto"/>
              </w:rPr>
              <w:t>(8)(23)</w:t>
            </w:r>
          </w:p>
        </w:tc>
        <w:tc>
          <w:tcPr>
            <w:tcW w:w="2800" w:type="dxa"/>
            <w:vAlign w:val="bottom"/>
            <w:gridSpan w:val="2"/>
          </w:tcPr>
          <w:p>
            <w:pPr>
              <w:spacing w:after="0"/>
              <w:rPr>
                <w:sz w:val="20"/>
                <w:szCs w:val="20"/>
                <w:color w:val="auto"/>
              </w:rPr>
            </w:pPr>
            <w:r>
              <w:rPr>
                <w:rFonts w:ascii="Arial" w:cs="Arial" w:eastAsia="Arial" w:hAnsi="Arial"/>
                <w:sz w:val="14"/>
                <w:szCs w:val="14"/>
                <w:color w:val="auto"/>
              </w:rPr>
              <w:t>Junior Secured Loan — Second Delayed</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176 Middlesex Turnpike, Bedford,</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Draw Term Loan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 01730</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1.0% Cash, Due 4/29</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60" w:type="dxa"/>
            <w:vAlign w:val="bottom"/>
            <w:gridSpan w:val="2"/>
          </w:tcPr>
          <w:p>
            <w:pPr>
              <w:ind w:left="300"/>
              <w:spacing w:after="0"/>
              <w:rPr>
                <w:sz w:val="20"/>
                <w:szCs w:val="20"/>
                <w:color w:val="auto"/>
              </w:rPr>
            </w:pPr>
            <w:r>
              <w:rPr>
                <w:rFonts w:ascii="Arial" w:cs="Arial" w:eastAsia="Arial" w:hAnsi="Arial"/>
                <w:sz w:val="14"/>
                <w:szCs w:val="14"/>
                <w:color w:val="auto"/>
              </w:rPr>
              <w:t>High Tech Industries</w:t>
            </w:r>
          </w:p>
        </w:tc>
        <w:tc>
          <w:tcPr>
            <w:tcW w:w="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4/16/2021</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(38,267)</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(30,985)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Radiology Partners, Inc</w:t>
            </w:r>
          </w:p>
        </w:tc>
        <w:tc>
          <w:tcPr>
            <w:tcW w:w="96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(8)(14)(21)</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B Loan (First</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5711 Old Buncombe Road, Greenville, SC</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Lien)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29609</w:t>
            </w:r>
          </w:p>
        </w:tc>
        <w:tc>
          <w:tcPr>
            <w:tcW w:w="1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 Cash, 1 Month Libor (0.08%) + 4.25%,</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Healthcare &amp; Pharmaceuticals</w:t>
            </w:r>
          </w:p>
        </w:tc>
        <w:tc>
          <w:tcPr>
            <w:tcW w:w="96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3/24/2020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7,000,000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5,957,986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7,006,825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Arial" w:cs="Arial" w:eastAsia="Arial" w:hAnsi="Arial"/>
                <w:sz w:val="14"/>
                <w:szCs w:val="14"/>
                <w:color w:val="auto"/>
              </w:rPr>
              <w:t>Radius Aerospace, Inc.</w:t>
            </w:r>
          </w:p>
        </w:tc>
        <w:tc>
          <w:tcPr>
            <w:tcW w:w="960" w:type="dxa"/>
            <w:vAlign w:val="bottom"/>
          </w:tcPr>
          <w:p>
            <w:pPr>
              <w:ind w:left="80"/>
              <w:spacing w:after="0"/>
              <w:rPr>
                <w:sz w:val="20"/>
                <w:szCs w:val="20"/>
                <w:color w:val="auto"/>
              </w:rPr>
            </w:pPr>
            <w:r>
              <w:rPr>
                <w:rFonts w:ascii="Arial" w:cs="Arial" w:eastAsia="Arial" w:hAnsi="Arial"/>
                <w:sz w:val="12"/>
                <w:szCs w:val="12"/>
                <w:color w:val="auto"/>
              </w:rPr>
              <w:t>(8)(13)(14)</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32125 Solon Road, Suite 100 Solon, OH</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6.8% Cash, 3 Month Libor (1.00%) + 5.75%;</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44139</w:t>
            </w: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Libor Floor 1.00%, Due 3/25</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60" w:type="dxa"/>
            <w:vAlign w:val="bottom"/>
            <w:gridSpan w:val="2"/>
          </w:tcPr>
          <w:p>
            <w:pPr>
              <w:ind w:left="300"/>
              <w:spacing w:after="0"/>
              <w:rPr>
                <w:sz w:val="20"/>
                <w:szCs w:val="20"/>
                <w:color w:val="auto"/>
              </w:rPr>
            </w:pPr>
            <w:r>
              <w:rPr>
                <w:rFonts w:ascii="Arial" w:cs="Arial" w:eastAsia="Arial" w:hAnsi="Arial"/>
                <w:sz w:val="14"/>
                <w:szCs w:val="14"/>
                <w:color w:val="auto"/>
              </w:rPr>
              <w:t>Aerospace and Defense</w:t>
            </w:r>
          </w:p>
        </w:tc>
        <w:tc>
          <w:tcPr>
            <w:tcW w:w="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6/27/2019</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6,576,000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6,511,731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6,197,880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Ravn Air Group, Inc.</w:t>
            </w:r>
          </w:p>
        </w:tc>
        <w:tc>
          <w:tcPr>
            <w:tcW w:w="96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(5)(8)(13)</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Initial Term Loan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600 First Avenue, Suite 600 King of Prussia,</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6.0% Cash, 1 Month Libor (1.00%) + 5.00%;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PA 19406</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Floor 1.00%, Due 7/21</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Aerospace and Defense</w:t>
            </w:r>
          </w:p>
        </w:tc>
        <w:tc>
          <w:tcPr>
            <w:tcW w:w="9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7/29/2015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1,015,351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247,543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225,306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Arial" w:cs="Arial" w:eastAsia="Arial" w:hAnsi="Arial"/>
                <w:sz w:val="14"/>
                <w:szCs w:val="14"/>
                <w:color w:val="auto"/>
              </w:rPr>
              <w:t>Ritedose Holdings I, Inc</w:t>
            </w:r>
          </w:p>
        </w:tc>
        <w:tc>
          <w:tcPr>
            <w:tcW w:w="960" w:type="dxa"/>
            <w:vAlign w:val="bottom"/>
          </w:tcPr>
          <w:p>
            <w:pPr>
              <w:ind w:left="80"/>
              <w:spacing w:after="0"/>
              <w:rPr>
                <w:sz w:val="20"/>
                <w:szCs w:val="20"/>
                <w:color w:val="auto"/>
              </w:rPr>
            </w:pPr>
            <w:r>
              <w:rPr>
                <w:rFonts w:ascii="Arial" w:cs="Arial" w:eastAsia="Arial" w:hAnsi="Arial"/>
                <w:sz w:val="12"/>
                <w:szCs w:val="12"/>
                <w:color w:val="auto"/>
              </w:rPr>
              <w:t>(8)(13)(14)</w:t>
            </w:r>
          </w:p>
        </w:tc>
        <w:tc>
          <w:tcPr>
            <w:tcW w:w="2800" w:type="dxa"/>
            <w:vAlign w:val="bottom"/>
            <w:gridSpan w:val="2"/>
          </w:tcPr>
          <w:p>
            <w:pPr>
              <w:spacing w:after="0"/>
              <w:rPr>
                <w:sz w:val="20"/>
                <w:szCs w:val="20"/>
                <w:color w:val="auto"/>
              </w:rPr>
            </w:pPr>
            <w:r>
              <w:rPr>
                <w:rFonts w:ascii="Arial" w:cs="Arial" w:eastAsia="Arial" w:hAnsi="Arial"/>
                <w:sz w:val="14"/>
                <w:szCs w:val="14"/>
                <w:color w:val="auto"/>
              </w:rPr>
              <w:t>Senior Secured Loan — Revolver</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w w:val="99"/>
              </w:rPr>
              <w:t>717 N. Harwood St., Suite 2300 Dallas, TX</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0.5% Cash, Due 9/23</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75201</w:t>
            </w:r>
          </w:p>
        </w:tc>
        <w:tc>
          <w:tcPr>
            <w:tcW w:w="1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6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Ritedose Holdings I, Inc</w:t>
            </w:r>
          </w:p>
        </w:tc>
        <w:tc>
          <w:tcPr>
            <w:tcW w:w="96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(8)(13)(14)</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Senior Secured Loan — First Lien Term Loan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717 N. Harwood St., Suite 2300 Dallas, TX</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Cash, 3 Month Libor (1.00%) + 6.50%;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75201</w:t>
            </w:r>
          </w:p>
        </w:tc>
        <w:tc>
          <w:tcPr>
            <w:tcW w:w="1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Floor 1.00%, Due 9/23</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Healthcare &amp; Pharmaceuticals</w:t>
            </w:r>
          </w:p>
        </w:tc>
        <w:tc>
          <w:tcPr>
            <w:tcW w:w="9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10/28/2020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7,140,845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6,397,663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7,140,845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0"/>
        </w:trPr>
        <w:tc>
          <w:tcPr>
            <w:tcW w:w="2660" w:type="dxa"/>
            <w:vAlign w:val="bottom"/>
            <w:gridSpan w:val="2"/>
          </w:tcPr>
          <w:p>
            <w:pPr>
              <w:spacing w:after="0" w:line="130" w:lineRule="exact"/>
              <w:rPr>
                <w:sz w:val="20"/>
                <w:szCs w:val="20"/>
                <w:color w:val="auto"/>
              </w:rPr>
            </w:pPr>
            <w:r>
              <w:rPr>
                <w:rFonts w:ascii="Arial" w:cs="Arial" w:eastAsia="Arial" w:hAnsi="Arial"/>
                <w:sz w:val="14"/>
                <w:szCs w:val="14"/>
                <w:color w:val="auto"/>
              </w:rPr>
              <w:t>Robertshaw US Holding Corp.</w:t>
            </w:r>
          </w:p>
        </w:tc>
        <w:tc>
          <w:tcPr>
            <w:tcW w:w="960" w:type="dxa"/>
            <w:vAlign w:val="bottom"/>
          </w:tcPr>
          <w:p>
            <w:pPr>
              <w:ind w:left="80"/>
              <w:spacing w:after="0" w:line="130" w:lineRule="exact"/>
              <w:rPr>
                <w:sz w:val="20"/>
                <w:szCs w:val="20"/>
                <w:color w:val="auto"/>
              </w:rPr>
            </w:pPr>
            <w:r>
              <w:rPr>
                <w:rFonts w:ascii="Arial" w:cs="Arial" w:eastAsia="Arial" w:hAnsi="Arial"/>
                <w:sz w:val="12"/>
                <w:szCs w:val="12"/>
                <w:color w:val="auto"/>
              </w:rPr>
              <w:t>(8)</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Junior Secured Loan — Initial Term Loan</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w w:val="99"/>
              </w:rPr>
              <w:t>5425 Wisconsin Avenue, Suite 200, Chevy</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Chase, MD 20815</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9.0% Cash, 1 Month Libor (1.00%) + 8.00%;</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60" w:type="dxa"/>
            <w:vAlign w:val="bottom"/>
            <w:gridSpan w:val="2"/>
          </w:tcPr>
          <w:p>
            <w:pPr>
              <w:ind w:left="300"/>
              <w:spacing w:after="0"/>
              <w:rPr>
                <w:sz w:val="20"/>
                <w:szCs w:val="20"/>
                <w:color w:val="auto"/>
              </w:rPr>
            </w:pPr>
            <w:r>
              <w:rPr>
                <w:rFonts w:ascii="Arial" w:cs="Arial" w:eastAsia="Arial" w:hAnsi="Arial"/>
                <w:sz w:val="14"/>
                <w:szCs w:val="14"/>
                <w:color w:val="auto"/>
              </w:rPr>
              <w:t>Capital Equipment</w:t>
            </w:r>
          </w:p>
        </w:tc>
        <w:tc>
          <w:tcPr>
            <w:tcW w:w="96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Libor Floor 1.00%, Due 2/26</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2/15/2018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3,000,000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2,982,481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2,612,505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96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(8)(13)</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4700 Old International Airport Road,</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Lien)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Anchorage, AK 99502</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 Cash, Due 3/21</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Healthcare &amp; Pharmaceuticals</w:t>
            </w:r>
          </w:p>
        </w:tc>
        <w:tc>
          <w:tcPr>
            <w:tcW w:w="9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3/26/2014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8,201,777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8,197,595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7,894,210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Arial" w:cs="Arial" w:eastAsia="Arial" w:hAnsi="Arial"/>
                <w:sz w:val="14"/>
                <w:szCs w:val="14"/>
                <w:color w:val="auto"/>
              </w:rPr>
              <w:t>Safe Fleet Holdings LLC</w:t>
            </w:r>
          </w:p>
        </w:tc>
        <w:tc>
          <w:tcPr>
            <w:tcW w:w="960" w:type="dxa"/>
            <w:vAlign w:val="bottom"/>
          </w:tcPr>
          <w:p>
            <w:pPr>
              <w:ind w:left="80"/>
              <w:spacing w:after="0"/>
              <w:rPr>
                <w:sz w:val="20"/>
                <w:szCs w:val="20"/>
                <w:color w:val="auto"/>
              </w:rPr>
            </w:pPr>
            <w:r>
              <w:rPr>
                <w:rFonts w:ascii="Arial" w:cs="Arial" w:eastAsia="Arial" w:hAnsi="Arial"/>
                <w:sz w:val="12"/>
                <w:szCs w:val="12"/>
                <w:color w:val="auto"/>
              </w:rPr>
              <w:t>(8)(14)</w:t>
            </w:r>
          </w:p>
        </w:tc>
        <w:tc>
          <w:tcPr>
            <w:tcW w:w="280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One Technology Circle Columbia,</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SC 29203</w:t>
            </w:r>
          </w:p>
        </w:tc>
        <w:tc>
          <w:tcPr>
            <w:tcW w:w="960" w:type="dxa"/>
            <w:vAlign w:val="bottom"/>
          </w:tcPr>
          <w:p>
            <w:pPr>
              <w:spacing w:after="0"/>
              <w:rPr>
                <w:sz w:val="12"/>
                <w:szCs w:val="12"/>
                <w:color w:val="auto"/>
              </w:rPr>
            </w:pP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7.8% Cash, 6 Month Libor (1.00%) + 6.75%;</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60" w:type="dxa"/>
            <w:vAlign w:val="bottom"/>
            <w:gridSpan w:val="2"/>
          </w:tcPr>
          <w:p>
            <w:pPr>
              <w:ind w:left="300"/>
              <w:spacing w:after="0"/>
              <w:rPr>
                <w:sz w:val="20"/>
                <w:szCs w:val="20"/>
                <w:color w:val="auto"/>
              </w:rPr>
            </w:pPr>
            <w:r>
              <w:rPr>
                <w:rFonts w:ascii="Arial" w:cs="Arial" w:eastAsia="Arial" w:hAnsi="Arial"/>
                <w:sz w:val="14"/>
                <w:szCs w:val="14"/>
                <w:color w:val="auto"/>
              </w:rPr>
              <w:t>Automotive</w:t>
            </w:r>
          </w:p>
        </w:tc>
        <w:tc>
          <w:tcPr>
            <w:tcW w:w="96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Libor Floor 1.00%, Due 2/26</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12/18/2019</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700,000</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631,458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686,350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San Vicente Capital LLC</w:t>
            </w:r>
          </w:p>
        </w:tc>
        <w:tc>
          <w:tcPr>
            <w:tcW w:w="960" w:type="dxa"/>
            <w:vAlign w:val="bottom"/>
            <w:shd w:val="clear" w:color="auto" w:fill="CCEEFF"/>
          </w:tcPr>
          <w:p>
            <w:pPr>
              <w:ind w:left="80"/>
              <w:spacing w:after="0" w:line="130" w:lineRule="exact"/>
              <w:rPr>
                <w:sz w:val="20"/>
                <w:szCs w:val="20"/>
                <w:color w:val="auto"/>
              </w:rPr>
            </w:pPr>
            <w:r>
              <w:rPr>
                <w:rFonts w:ascii="Arial" w:cs="Arial" w:eastAsia="Arial" w:hAnsi="Arial"/>
                <w:sz w:val="12"/>
                <w:szCs w:val="12"/>
                <w:color w:val="auto"/>
              </w:rPr>
              <w:t>(8)(13)(14)(21)</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Technology Circle Columbia,</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9.5% Cash, 3 Month Libor (1.50%) + 8.00%;</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SC 29203</w:t>
            </w:r>
          </w:p>
        </w:tc>
        <w:tc>
          <w:tcPr>
            <w:tcW w:w="96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Libor Floor 1.50%, Due 6/25</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Telecommunications</w:t>
            </w:r>
          </w:p>
        </w:tc>
        <w:tc>
          <w:tcPr>
            <w:tcW w:w="9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6/10/2020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2,970,000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2,934,866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2,970,000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Principal Business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20"/>
                <w:szCs w:val="20"/>
                <w:color w:val="auto"/>
              </w:rPr>
            </w:pPr>
            <w:r>
              <w:rPr>
                <w:rFonts w:ascii="Arial" w:cs="Arial" w:eastAsia="Arial" w:hAnsi="Arial"/>
                <w:sz w:val="14"/>
                <w:szCs w:val="14"/>
                <w:color w:val="auto"/>
              </w:rPr>
              <w:t>Shipston Group, U.S., Inc.</w:t>
            </w:r>
          </w:p>
        </w:tc>
        <w:tc>
          <w:tcPr>
            <w:tcW w:w="640" w:type="dxa"/>
            <w:vAlign w:val="bottom"/>
          </w:tcPr>
          <w:p>
            <w:pPr>
              <w:ind w:left="100"/>
              <w:spacing w:after="0"/>
              <w:rPr>
                <w:sz w:val="20"/>
                <w:szCs w:val="20"/>
                <w:color w:val="auto"/>
              </w:rPr>
            </w:pPr>
            <w:r>
              <w:rPr>
                <w:rFonts w:ascii="Arial" w:cs="Arial" w:eastAsia="Arial" w:hAnsi="Arial"/>
                <w:sz w:val="12"/>
                <w:szCs w:val="12"/>
                <w:color w:val="auto"/>
                <w:w w:val="90"/>
              </w:rPr>
              <w:t>(8)(13)(14)</w:t>
            </w:r>
          </w:p>
        </w:tc>
      </w:tr>
      <w:tr>
        <w:trPr>
          <w:trHeight w:val="154"/>
        </w:trPr>
        <w:tc>
          <w:tcPr>
            <w:tcW w:w="2100" w:type="dxa"/>
            <w:vAlign w:val="bottom"/>
          </w:tcPr>
          <w:p>
            <w:pPr>
              <w:spacing w:after="0" w:line="154" w:lineRule="exact"/>
              <w:rPr>
                <w:sz w:val="20"/>
                <w:szCs w:val="20"/>
                <w:color w:val="auto"/>
              </w:rPr>
            </w:pPr>
            <w:r>
              <w:rPr>
                <w:rFonts w:ascii="Arial" w:cs="Arial" w:eastAsia="Arial" w:hAnsi="Arial"/>
                <w:sz w:val="14"/>
                <w:szCs w:val="14"/>
                <w:color w:val="auto"/>
              </w:rPr>
              <w:t>1222 Hamilton Parkway Itasca,</w:t>
            </w:r>
          </w:p>
        </w:tc>
        <w:tc>
          <w:tcPr>
            <w:tcW w:w="640" w:type="dxa"/>
            <w:vAlign w:val="bottom"/>
          </w:tcPr>
          <w:p>
            <w:pPr>
              <w:jc w:val="right"/>
              <w:ind w:right="139"/>
              <w:spacing w:after="0"/>
              <w:rPr>
                <w:sz w:val="20"/>
                <w:szCs w:val="20"/>
                <w:color w:val="auto"/>
              </w:rPr>
            </w:pPr>
            <w:r>
              <w:rPr>
                <w:rFonts w:ascii="Arial" w:cs="Arial" w:eastAsia="Arial" w:hAnsi="Arial"/>
                <w:sz w:val="12"/>
                <w:szCs w:val="12"/>
                <w:color w:val="auto"/>
              </w:rPr>
              <w:t>(20)</w:t>
            </w:r>
          </w:p>
        </w:tc>
      </w:tr>
      <w:tr>
        <w:trPr>
          <w:trHeight w:val="148"/>
        </w:trPr>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IL 60143</w:t>
            </w:r>
          </w:p>
        </w:tc>
        <w:tc>
          <w:tcPr>
            <w:tcW w:w="640" w:type="dxa"/>
            <w:vAlign w:val="bottom"/>
          </w:tcPr>
          <w:p>
            <w:pPr>
              <w:spacing w:after="0"/>
              <w:rPr>
                <w:sz w:val="12"/>
                <w:szCs w:val="12"/>
                <w:color w:val="auto"/>
              </w:rPr>
            </w:pPr>
          </w:p>
        </w:tc>
      </w:tr>
      <w:tr>
        <w:trPr>
          <w:trHeight w:val="182"/>
        </w:trPr>
        <w:tc>
          <w:tcPr>
            <w:tcW w:w="2100" w:type="dxa"/>
            <w:vAlign w:val="bottom"/>
          </w:tcPr>
          <w:p>
            <w:pPr>
              <w:ind w:left="300"/>
              <w:spacing w:after="0"/>
              <w:rPr>
                <w:sz w:val="20"/>
                <w:szCs w:val="20"/>
                <w:color w:val="auto"/>
              </w:rPr>
            </w:pPr>
            <w:r>
              <w:rPr>
                <w:rFonts w:ascii="Arial" w:cs="Arial" w:eastAsia="Arial" w:hAnsi="Arial"/>
                <w:sz w:val="14"/>
                <w:szCs w:val="14"/>
                <w:color w:val="auto"/>
              </w:rPr>
              <w:t>Automotive</w:t>
            </w:r>
          </w:p>
        </w:tc>
        <w:tc>
          <w:tcPr>
            <w:tcW w:w="640" w:type="dxa"/>
            <w:vAlign w:val="bottom"/>
          </w:tcPr>
          <w:p>
            <w:pPr>
              <w:spacing w:after="0"/>
              <w:rPr>
                <w:sz w:val="15"/>
                <w:szCs w:val="15"/>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4"/>
                <w:szCs w:val="14"/>
                <w:color w:val="auto"/>
              </w:rPr>
              <w:t>Smartronix, Inc,</w:t>
            </w:r>
          </w:p>
        </w:tc>
        <w:tc>
          <w:tcPr>
            <w:tcW w:w="640" w:type="dxa"/>
            <w:vAlign w:val="bottom"/>
          </w:tcPr>
          <w:p>
            <w:pPr>
              <w:ind w:left="100"/>
              <w:spacing w:after="0"/>
              <w:rPr>
                <w:sz w:val="20"/>
                <w:szCs w:val="20"/>
                <w:color w:val="auto"/>
              </w:rPr>
            </w:pPr>
            <w:r>
              <w:rPr>
                <w:rFonts w:ascii="Arial" w:cs="Arial" w:eastAsia="Arial" w:hAnsi="Arial"/>
                <w:sz w:val="12"/>
                <w:szCs w:val="12"/>
                <w:color w:val="auto"/>
                <w:w w:val="90"/>
              </w:rPr>
              <w:t>(8)(13)(14)</w:t>
            </w:r>
          </w:p>
        </w:tc>
      </w:tr>
      <w:tr>
        <w:trPr>
          <w:trHeight w:val="154"/>
        </w:trPr>
        <w:tc>
          <w:tcPr>
            <w:tcW w:w="2100" w:type="dxa"/>
            <w:vAlign w:val="bottom"/>
          </w:tcPr>
          <w:p>
            <w:pPr>
              <w:spacing w:after="0" w:line="154" w:lineRule="exact"/>
              <w:rPr>
                <w:sz w:val="20"/>
                <w:szCs w:val="20"/>
                <w:color w:val="auto"/>
              </w:rPr>
            </w:pPr>
            <w:r>
              <w:rPr>
                <w:rFonts w:ascii="Arial" w:cs="Arial" w:eastAsia="Arial" w:hAnsi="Arial"/>
                <w:sz w:val="14"/>
                <w:szCs w:val="14"/>
                <w:color w:val="auto"/>
              </w:rPr>
              <w:t>21973 Commerce Parkway,</w:t>
            </w:r>
          </w:p>
        </w:tc>
        <w:tc>
          <w:tcPr>
            <w:tcW w:w="640" w:type="dxa"/>
            <w:vAlign w:val="bottom"/>
          </w:tcPr>
          <w:p>
            <w:pPr>
              <w:jc w:val="right"/>
              <w:ind w:right="139"/>
              <w:spacing w:after="0"/>
              <w:rPr>
                <w:sz w:val="20"/>
                <w:szCs w:val="20"/>
                <w:color w:val="auto"/>
              </w:rPr>
            </w:pPr>
            <w:r>
              <w:rPr>
                <w:rFonts w:ascii="Arial" w:cs="Arial" w:eastAsia="Arial" w:hAnsi="Arial"/>
                <w:sz w:val="12"/>
                <w:szCs w:val="12"/>
                <w:color w:val="auto"/>
              </w:rPr>
              <w:t>(21)</w:t>
            </w:r>
          </w:p>
        </w:tc>
      </w:tr>
      <w:tr>
        <w:trPr>
          <w:trHeight w:val="149"/>
        </w:trPr>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Strongsville, OH 44149</w:t>
            </w:r>
          </w:p>
        </w:tc>
        <w:tc>
          <w:tcPr>
            <w:tcW w:w="640" w:type="dxa"/>
            <w:vAlign w:val="bottom"/>
          </w:tcPr>
          <w:p>
            <w:pPr>
              <w:spacing w:after="0"/>
              <w:rPr>
                <w:sz w:val="12"/>
                <w:szCs w:val="12"/>
                <w:color w:val="auto"/>
              </w:rPr>
            </w:pPr>
          </w:p>
        </w:tc>
      </w:tr>
      <w:tr>
        <w:trPr>
          <w:trHeight w:val="182"/>
        </w:trPr>
        <w:tc>
          <w:tcPr>
            <w:tcW w:w="210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640" w:type="dxa"/>
            <w:vAlign w:val="bottom"/>
          </w:tcPr>
          <w:p>
            <w:pPr>
              <w:spacing w:after="0"/>
              <w:rPr>
                <w:sz w:val="15"/>
                <w:szCs w:val="15"/>
                <w:color w:val="auto"/>
              </w:rPr>
            </w:pPr>
          </w:p>
        </w:tc>
      </w:tr>
      <w:tr>
        <w:trPr>
          <w:trHeight w:val="236"/>
        </w:trPr>
        <w:tc>
          <w:tcPr>
            <w:tcW w:w="2100" w:type="dxa"/>
            <w:vAlign w:val="bottom"/>
          </w:tcPr>
          <w:p>
            <w:pPr>
              <w:spacing w:after="0"/>
              <w:rPr>
                <w:sz w:val="20"/>
                <w:szCs w:val="20"/>
                <w:color w:val="auto"/>
              </w:rPr>
            </w:pPr>
            <w:r>
              <w:rPr>
                <w:rFonts w:ascii="Arial" w:cs="Arial" w:eastAsia="Arial" w:hAnsi="Arial"/>
                <w:sz w:val="14"/>
                <w:szCs w:val="14"/>
                <w:color w:val="auto"/>
                <w:w w:val="99"/>
              </w:rPr>
              <w:t>Software Luxembourg Acquisition</w:t>
            </w:r>
          </w:p>
        </w:tc>
        <w:tc>
          <w:tcPr>
            <w:tcW w:w="640" w:type="dxa"/>
            <w:vAlign w:val="bottom"/>
          </w:tcPr>
          <w:p>
            <w:pPr>
              <w:ind w:left="100"/>
              <w:spacing w:after="0"/>
              <w:rPr>
                <w:sz w:val="20"/>
                <w:szCs w:val="20"/>
                <w:color w:val="auto"/>
              </w:rPr>
            </w:pPr>
            <w:r>
              <w:rPr>
                <w:rFonts w:ascii="Arial" w:cs="Arial" w:eastAsia="Arial" w:hAnsi="Arial"/>
                <w:sz w:val="12"/>
                <w:szCs w:val="12"/>
                <w:color w:val="auto"/>
              </w:rPr>
              <w:t>(13)</w:t>
            </w:r>
          </w:p>
        </w:tc>
      </w:tr>
      <w:tr>
        <w:trPr>
          <w:trHeight w:val="79"/>
        </w:trPr>
        <w:tc>
          <w:tcPr>
            <w:tcW w:w="2100" w:type="dxa"/>
            <w:vAlign w:val="bottom"/>
          </w:tcPr>
          <w:p>
            <w:pPr>
              <w:ind w:left="160"/>
              <w:spacing w:after="0" w:line="80" w:lineRule="exact"/>
              <w:rPr>
                <w:sz w:val="20"/>
                <w:szCs w:val="20"/>
                <w:color w:val="auto"/>
              </w:rPr>
            </w:pPr>
            <w:r>
              <w:rPr>
                <w:rFonts w:ascii="Arial" w:cs="Arial" w:eastAsia="Arial" w:hAnsi="Arial"/>
                <w:sz w:val="9"/>
                <w:szCs w:val="9"/>
                <w:color w:val="auto"/>
              </w:rPr>
              <w:t>S.a r.l.</w:t>
            </w:r>
          </w:p>
        </w:tc>
        <w:tc>
          <w:tcPr>
            <w:tcW w:w="6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299"/>
        <w:spacing w:after="0"/>
        <w:rPr>
          <w:sz w:val="20"/>
          <w:szCs w:val="20"/>
          <w:color w:val="auto"/>
        </w:rPr>
      </w:pPr>
      <w:r>
        <w:rPr>
          <w:rFonts w:ascii="Arial" w:cs="Arial" w:eastAsia="Arial" w:hAnsi="Arial"/>
          <w:sz w:val="14"/>
          <w:szCs w:val="14"/>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-713105</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left="-299"/>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73660</wp:posOffset>
            </wp:positionV>
            <wp:extent cx="7132320" cy="386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5080</wp:posOffset>
            </wp:positionV>
            <wp:extent cx="27514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First Lien Term Loan</w:t>
      </w:r>
    </w:p>
    <w:p>
      <w:pPr>
        <w:spacing w:after="0"/>
        <w:rPr>
          <w:sz w:val="20"/>
          <w:szCs w:val="20"/>
          <w:color w:val="auto"/>
        </w:rPr>
      </w:pPr>
      <w:r>
        <w:rPr>
          <w:rFonts w:ascii="Arial" w:cs="Arial" w:eastAsia="Arial" w:hAnsi="Arial"/>
          <w:sz w:val="13"/>
          <w:szCs w:val="13"/>
          <w:color w:val="auto"/>
        </w:rPr>
        <w:t>7.0% Cash, 2.0% PIK, 1 Month Libor (1.25%) + 5.75%; Libor Floor</w:t>
      </w:r>
    </w:p>
    <w:p>
      <w:pPr>
        <w:spacing w:after="0"/>
        <w:rPr>
          <w:sz w:val="20"/>
          <w:szCs w:val="20"/>
          <w:color w:val="auto"/>
        </w:rPr>
      </w:pPr>
      <w:r>
        <w:rPr>
          <w:rFonts w:ascii="Arial" w:cs="Arial" w:eastAsia="Arial" w:hAnsi="Arial"/>
          <w:sz w:val="14"/>
          <w:szCs w:val="14"/>
          <w:color w:val="auto"/>
        </w:rPr>
        <w:t>1.25%, Due 9/23</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w:t>
      </w:r>
    </w:p>
    <w:p>
      <w:pPr>
        <w:spacing w:after="0" w:line="237" w:lineRule="auto"/>
        <w:rPr>
          <w:sz w:val="20"/>
          <w:szCs w:val="20"/>
          <w:color w:val="auto"/>
        </w:rPr>
      </w:pPr>
      <w:r>
        <w:rPr>
          <w:rFonts w:ascii="Arial" w:cs="Arial" w:eastAsia="Arial" w:hAnsi="Arial"/>
          <w:sz w:val="14"/>
          <w:szCs w:val="14"/>
          <w:color w:val="auto"/>
        </w:rPr>
        <w:t>7.5% Cash, 3 Month Libor (1.50%) + 6.00%; Libor Floor 1.50%, Due 12/25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119380</wp:posOffset>
            </wp:positionV>
            <wp:extent cx="7132320" cy="4800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Amortized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12"/>
                <w:szCs w:val="12"/>
                <w:b w:val="1"/>
                <w:bCs w:val="1"/>
                <w:color w:val="auto"/>
                <w:w w:val="95"/>
              </w:rPr>
              <w:t>2</w:t>
            </w:r>
          </w:p>
        </w:tc>
        <w:tc>
          <w:tcPr>
            <w:tcW w:w="120" w:type="dxa"/>
            <w:vAlign w:val="bottom"/>
            <w:vMerge w:val="restart"/>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0"/>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6,306,754</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5,369,402</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6,117,551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16"/>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5/1/2020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8,499,730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8,307,396</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8,435,982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303" w:lineRule="exact"/>
        <w:rPr>
          <w:sz w:val="20"/>
          <w:szCs w:val="20"/>
          <w:color w:val="auto"/>
        </w:rPr>
      </w:pPr>
    </w:p>
    <w:p>
      <w:pPr>
        <w:sectPr>
          <w:pgSz w:w="11900" w:h="16838" w:orient="portrait"/>
          <w:cols w:equalWidth="0" w:num="3">
            <w:col w:w="2740" w:space="280"/>
            <w:col w:w="4040" w:space="380"/>
            <w:col w:w="3760"/>
          </w:cols>
          <w:pgMar w:left="320" w:top="459" w:right="37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Arial" w:cs="Arial" w:eastAsia="Arial" w:hAnsi="Arial"/>
                <w:sz w:val="14"/>
                <w:szCs w:val="14"/>
                <w:color w:val="auto"/>
              </w:rPr>
              <w:t>300 Innovative Way, Suite 201,</w:t>
            </w:r>
          </w:p>
        </w:tc>
        <w:tc>
          <w:tcPr>
            <w:tcW w:w="600" w:type="dxa"/>
            <w:vAlign w:val="bottom"/>
          </w:tcPr>
          <w:p>
            <w:pPr>
              <w:spacing w:after="0"/>
              <w:rPr>
                <w:sz w:val="14"/>
                <w:szCs w:val="14"/>
                <w:color w:val="auto"/>
              </w:rPr>
            </w:pPr>
          </w:p>
        </w:tc>
      </w:tr>
      <w:tr>
        <w:trPr>
          <w:trHeight w:val="148"/>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Nashua, NH 03062</w:t>
            </w:r>
          </w:p>
        </w:tc>
        <w:tc>
          <w:tcPr>
            <w:tcW w:w="600" w:type="dxa"/>
            <w:vAlign w:val="bottom"/>
          </w:tcPr>
          <w:p>
            <w:pPr>
              <w:spacing w:after="0"/>
              <w:rPr>
                <w:sz w:val="12"/>
                <w:szCs w:val="12"/>
                <w:color w:val="auto"/>
              </w:rPr>
            </w:pPr>
          </w:p>
        </w:tc>
      </w:tr>
      <w:tr>
        <w:trPr>
          <w:trHeight w:val="182"/>
        </w:trPr>
        <w:tc>
          <w:tcPr>
            <w:tcW w:w="214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600" w:type="dxa"/>
            <w:vAlign w:val="bottom"/>
          </w:tcPr>
          <w:p>
            <w:pPr>
              <w:spacing w:after="0"/>
              <w:rPr>
                <w:sz w:val="15"/>
                <w:szCs w:val="15"/>
                <w:color w:val="auto"/>
              </w:rPr>
            </w:pPr>
          </w:p>
        </w:tc>
      </w:tr>
      <w:tr>
        <w:trPr>
          <w:trHeight w:val="236"/>
        </w:trPr>
        <w:tc>
          <w:tcPr>
            <w:tcW w:w="2140" w:type="dxa"/>
            <w:vAlign w:val="bottom"/>
          </w:tcPr>
          <w:p>
            <w:pPr>
              <w:spacing w:after="0"/>
              <w:rPr>
                <w:sz w:val="20"/>
                <w:szCs w:val="20"/>
                <w:color w:val="auto"/>
              </w:rPr>
            </w:pPr>
            <w:r>
              <w:rPr>
                <w:rFonts w:ascii="Arial" w:cs="Arial" w:eastAsia="Arial" w:hAnsi="Arial"/>
                <w:sz w:val="14"/>
                <w:szCs w:val="14"/>
                <w:color w:val="auto"/>
              </w:rPr>
              <w:t>South Street Securities Holdings,</w:t>
            </w:r>
          </w:p>
        </w:tc>
        <w:tc>
          <w:tcPr>
            <w:tcW w:w="600" w:type="dxa"/>
            <w:vAlign w:val="bottom"/>
          </w:tcPr>
          <w:p>
            <w:pPr>
              <w:ind w:left="60"/>
              <w:spacing w:after="0"/>
              <w:rPr>
                <w:sz w:val="20"/>
                <w:szCs w:val="20"/>
                <w:color w:val="auto"/>
              </w:rPr>
            </w:pPr>
            <w:r>
              <w:rPr>
                <w:rFonts w:ascii="Arial" w:cs="Arial" w:eastAsia="Arial" w:hAnsi="Arial"/>
                <w:sz w:val="12"/>
                <w:szCs w:val="12"/>
                <w:color w:val="auto"/>
                <w:w w:val="90"/>
              </w:rPr>
              <w:t>(8)(13)(14)</w:t>
            </w:r>
          </w:p>
        </w:tc>
      </w:tr>
      <w:tr>
        <w:trPr>
          <w:trHeight w:val="148"/>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Inc</w:t>
            </w:r>
          </w:p>
        </w:tc>
        <w:tc>
          <w:tcPr>
            <w:tcW w:w="600" w:type="dxa"/>
            <w:vAlign w:val="bottom"/>
          </w:tcPr>
          <w:p>
            <w:pPr>
              <w:spacing w:after="0"/>
              <w:rPr>
                <w:sz w:val="12"/>
                <w:szCs w:val="12"/>
                <w:color w:val="auto"/>
              </w:rPr>
            </w:pPr>
          </w:p>
        </w:tc>
      </w:tr>
      <w:tr>
        <w:trPr>
          <w:trHeight w:val="148"/>
        </w:trPr>
        <w:tc>
          <w:tcPr>
            <w:tcW w:w="2140" w:type="dxa"/>
            <w:vAlign w:val="bottom"/>
          </w:tcPr>
          <w:p>
            <w:pPr>
              <w:spacing w:after="0" w:line="149" w:lineRule="exact"/>
              <w:rPr>
                <w:sz w:val="20"/>
                <w:szCs w:val="20"/>
                <w:color w:val="auto"/>
              </w:rPr>
            </w:pPr>
            <w:r>
              <w:rPr>
                <w:rFonts w:ascii="Arial" w:cs="Arial" w:eastAsia="Arial" w:hAnsi="Arial"/>
                <w:sz w:val="14"/>
                <w:szCs w:val="14"/>
                <w:color w:val="auto"/>
                <w:w w:val="95"/>
              </w:rPr>
              <w:t>6800 East 163rd Street, Belton, MO</w:t>
            </w:r>
          </w:p>
        </w:tc>
        <w:tc>
          <w:tcPr>
            <w:tcW w:w="600" w:type="dxa"/>
            <w:vAlign w:val="bottom"/>
          </w:tcPr>
          <w:p>
            <w:pPr>
              <w:spacing w:after="0"/>
              <w:rPr>
                <w:sz w:val="12"/>
                <w:szCs w:val="12"/>
                <w:color w:val="auto"/>
              </w:rPr>
            </w:pPr>
          </w:p>
        </w:tc>
      </w:tr>
      <w:tr>
        <w:trPr>
          <w:trHeight w:val="148"/>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64012</w:t>
            </w:r>
          </w:p>
        </w:tc>
        <w:tc>
          <w:tcPr>
            <w:tcW w:w="600" w:type="dxa"/>
            <w:vAlign w:val="bottom"/>
          </w:tcPr>
          <w:p>
            <w:pPr>
              <w:spacing w:after="0"/>
              <w:rPr>
                <w:sz w:val="12"/>
                <w:szCs w:val="12"/>
                <w:color w:val="auto"/>
              </w:rPr>
            </w:pPr>
          </w:p>
        </w:tc>
      </w:tr>
      <w:tr>
        <w:trPr>
          <w:trHeight w:val="148"/>
        </w:trPr>
        <w:tc>
          <w:tcPr>
            <w:tcW w:w="2140" w:type="dxa"/>
            <w:vAlign w:val="bottom"/>
          </w:tcPr>
          <w:p>
            <w:pPr>
              <w:ind w:left="300"/>
              <w:spacing w:after="0" w:line="149" w:lineRule="exact"/>
              <w:rPr>
                <w:sz w:val="20"/>
                <w:szCs w:val="20"/>
                <w:color w:val="auto"/>
              </w:rPr>
            </w:pPr>
            <w:r>
              <w:rPr>
                <w:rFonts w:ascii="Arial" w:cs="Arial" w:eastAsia="Arial" w:hAnsi="Arial"/>
                <w:sz w:val="14"/>
                <w:szCs w:val="14"/>
                <w:color w:val="auto"/>
                <w:w w:val="95"/>
              </w:rPr>
              <w:t>Banking, Finance, Insurance &amp;</w:t>
            </w:r>
          </w:p>
        </w:tc>
        <w:tc>
          <w:tcPr>
            <w:tcW w:w="600" w:type="dxa"/>
            <w:vAlign w:val="bottom"/>
          </w:tcPr>
          <w:p>
            <w:pPr>
              <w:spacing w:after="0"/>
              <w:rPr>
                <w:sz w:val="12"/>
                <w:szCs w:val="12"/>
                <w:color w:val="auto"/>
              </w:rPr>
            </w:pPr>
          </w:p>
        </w:tc>
      </w:tr>
      <w:tr>
        <w:trPr>
          <w:trHeight w:val="182"/>
        </w:trPr>
        <w:tc>
          <w:tcPr>
            <w:tcW w:w="2140" w:type="dxa"/>
            <w:vAlign w:val="bottom"/>
          </w:tcPr>
          <w:p>
            <w:pPr>
              <w:ind w:left="440"/>
              <w:spacing w:after="0"/>
              <w:rPr>
                <w:sz w:val="20"/>
                <w:szCs w:val="20"/>
                <w:color w:val="auto"/>
              </w:rPr>
            </w:pPr>
            <w:r>
              <w:rPr>
                <w:rFonts w:ascii="Arial" w:cs="Arial" w:eastAsia="Arial" w:hAnsi="Arial"/>
                <w:sz w:val="14"/>
                <w:szCs w:val="14"/>
                <w:color w:val="auto"/>
              </w:rPr>
              <w:t>Real Estate</w:t>
            </w:r>
          </w:p>
        </w:tc>
        <w:tc>
          <w:tcPr>
            <w:tcW w:w="600" w:type="dxa"/>
            <w:vAlign w:val="bottom"/>
          </w:tcPr>
          <w:p>
            <w:pPr>
              <w:spacing w:after="0"/>
              <w:rPr>
                <w:sz w:val="15"/>
                <w:szCs w:val="15"/>
                <w:color w:val="auto"/>
              </w:rPr>
            </w:pPr>
          </w:p>
        </w:tc>
      </w:tr>
      <w:tr>
        <w:trPr>
          <w:trHeight w:val="236"/>
        </w:trPr>
        <w:tc>
          <w:tcPr>
            <w:tcW w:w="2140" w:type="dxa"/>
            <w:vAlign w:val="bottom"/>
          </w:tcPr>
          <w:p>
            <w:pPr>
              <w:spacing w:after="0"/>
              <w:rPr>
                <w:sz w:val="20"/>
                <w:szCs w:val="20"/>
                <w:color w:val="auto"/>
              </w:rPr>
            </w:pPr>
            <w:r>
              <w:rPr>
                <w:rFonts w:ascii="Arial" w:cs="Arial" w:eastAsia="Arial" w:hAnsi="Arial"/>
                <w:sz w:val="14"/>
                <w:szCs w:val="14"/>
                <w:color w:val="auto"/>
              </w:rPr>
              <w:t>South Street Securities Holdings,</w:t>
            </w:r>
          </w:p>
        </w:tc>
        <w:tc>
          <w:tcPr>
            <w:tcW w:w="600" w:type="dxa"/>
            <w:vAlign w:val="bottom"/>
          </w:tcPr>
          <w:p>
            <w:pPr>
              <w:ind w:left="60"/>
              <w:spacing w:after="0"/>
              <w:rPr>
                <w:sz w:val="20"/>
                <w:szCs w:val="20"/>
                <w:color w:val="auto"/>
              </w:rPr>
            </w:pPr>
            <w:r>
              <w:rPr>
                <w:rFonts w:ascii="Arial" w:cs="Arial" w:eastAsia="Arial" w:hAnsi="Arial"/>
                <w:sz w:val="12"/>
                <w:szCs w:val="12"/>
                <w:color w:val="auto"/>
              </w:rPr>
              <w:t>(8)(13)</w:t>
            </w:r>
          </w:p>
        </w:tc>
      </w:tr>
      <w:tr>
        <w:trPr>
          <w:trHeight w:val="149"/>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LLC</w:t>
            </w:r>
          </w:p>
        </w:tc>
        <w:tc>
          <w:tcPr>
            <w:tcW w:w="600" w:type="dxa"/>
            <w:vAlign w:val="bottom"/>
          </w:tcPr>
          <w:p>
            <w:pPr>
              <w:spacing w:after="0"/>
              <w:rPr>
                <w:sz w:val="12"/>
                <w:szCs w:val="12"/>
                <w:color w:val="auto"/>
              </w:rPr>
            </w:pPr>
          </w:p>
        </w:tc>
      </w:tr>
      <w:tr>
        <w:trPr>
          <w:trHeight w:val="148"/>
        </w:trPr>
        <w:tc>
          <w:tcPr>
            <w:tcW w:w="2140" w:type="dxa"/>
            <w:vAlign w:val="bottom"/>
          </w:tcPr>
          <w:p>
            <w:pPr>
              <w:spacing w:after="0" w:line="149" w:lineRule="exact"/>
              <w:rPr>
                <w:sz w:val="20"/>
                <w:szCs w:val="20"/>
                <w:color w:val="auto"/>
              </w:rPr>
            </w:pPr>
            <w:r>
              <w:rPr>
                <w:rFonts w:ascii="Arial" w:cs="Arial" w:eastAsia="Arial" w:hAnsi="Arial"/>
                <w:sz w:val="14"/>
                <w:szCs w:val="14"/>
                <w:color w:val="auto"/>
                <w:w w:val="97"/>
              </w:rPr>
              <w:t>825 Third Avenue, 35th Floor, New</w:t>
            </w:r>
          </w:p>
        </w:tc>
        <w:tc>
          <w:tcPr>
            <w:tcW w:w="600" w:type="dxa"/>
            <w:vAlign w:val="bottom"/>
          </w:tcPr>
          <w:p>
            <w:pPr>
              <w:spacing w:after="0"/>
              <w:rPr>
                <w:sz w:val="12"/>
                <w:szCs w:val="12"/>
                <w:color w:val="auto"/>
              </w:rPr>
            </w:pPr>
          </w:p>
        </w:tc>
      </w:tr>
      <w:tr>
        <w:trPr>
          <w:trHeight w:val="148"/>
        </w:trPr>
        <w:tc>
          <w:tcPr>
            <w:tcW w:w="2140" w:type="dxa"/>
            <w:vAlign w:val="bottom"/>
          </w:tcPr>
          <w:p>
            <w:pPr>
              <w:ind w:left="160"/>
              <w:spacing w:after="0" w:line="149" w:lineRule="exact"/>
              <w:rPr>
                <w:sz w:val="20"/>
                <w:szCs w:val="20"/>
                <w:color w:val="auto"/>
              </w:rPr>
            </w:pPr>
            <w:r>
              <w:rPr>
                <w:rFonts w:ascii="Arial" w:cs="Arial" w:eastAsia="Arial" w:hAnsi="Arial"/>
                <w:sz w:val="14"/>
                <w:szCs w:val="14"/>
                <w:color w:val="auto"/>
              </w:rPr>
              <w:t>York NY 10022</w:t>
            </w:r>
          </w:p>
        </w:tc>
        <w:tc>
          <w:tcPr>
            <w:tcW w:w="600" w:type="dxa"/>
            <w:vAlign w:val="bottom"/>
          </w:tcPr>
          <w:p>
            <w:pPr>
              <w:spacing w:after="0"/>
              <w:rPr>
                <w:sz w:val="12"/>
                <w:szCs w:val="12"/>
                <w:color w:val="auto"/>
              </w:rPr>
            </w:pPr>
          </w:p>
        </w:tc>
      </w:tr>
      <w:tr>
        <w:trPr>
          <w:trHeight w:val="160"/>
        </w:trPr>
        <w:tc>
          <w:tcPr>
            <w:tcW w:w="2140" w:type="dxa"/>
            <w:vAlign w:val="bottom"/>
          </w:tcPr>
          <w:p>
            <w:pPr>
              <w:ind w:left="300"/>
              <w:spacing w:after="0"/>
              <w:rPr>
                <w:sz w:val="20"/>
                <w:szCs w:val="20"/>
                <w:color w:val="auto"/>
              </w:rPr>
            </w:pPr>
            <w:r>
              <w:rPr>
                <w:rFonts w:ascii="Arial" w:cs="Arial" w:eastAsia="Arial" w:hAnsi="Arial"/>
                <w:sz w:val="14"/>
                <w:szCs w:val="14"/>
                <w:color w:val="auto"/>
                <w:w w:val="95"/>
              </w:rPr>
              <w:t>Banking, Finance, Insurance &amp;</w:t>
            </w:r>
          </w:p>
        </w:tc>
        <w:tc>
          <w:tcPr>
            <w:tcW w:w="6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4"/>
          <w:szCs w:val="14"/>
          <w:color w:val="auto"/>
        </w:rPr>
        <w:t>Senior Secured Loan — Second Out Term Loan</w:t>
      </w:r>
    </w:p>
    <w:p>
      <w:pPr>
        <w:spacing w:after="0"/>
        <w:rPr>
          <w:sz w:val="20"/>
          <w:szCs w:val="20"/>
          <w:color w:val="auto"/>
        </w:rPr>
      </w:pPr>
      <w:r>
        <w:rPr>
          <w:rFonts w:ascii="Arial" w:cs="Arial" w:eastAsia="Arial" w:hAnsi="Arial"/>
          <w:sz w:val="14"/>
          <w:szCs w:val="14"/>
          <w:color w:val="auto"/>
        </w:rPr>
        <w:t>8.5% Cash, 3 Month Libor (1.00%) + 7.50%; Libor Floor 1.00%, Due 1/00</w:t>
      </w:r>
    </w:p>
    <w:p>
      <w:pPr>
        <w:spacing w:after="0" w:line="70" w:lineRule="exact"/>
        <w:rPr>
          <w:sz w:val="20"/>
          <w:szCs w:val="20"/>
          <w:color w:val="auto"/>
        </w:rPr>
      </w:pPr>
    </w:p>
    <w:p>
      <w:pPr>
        <w:jc w:val="both"/>
        <w:ind w:left="4560"/>
        <w:spacing w:after="0"/>
        <w:tabs>
          <w:tab w:leader="none" w:pos="5300" w:val="left"/>
          <w:tab w:leader="none" w:pos="6100" w:val="left"/>
          <w:tab w:leader="none" w:pos="6940" w:val="left"/>
          <w:tab w:leader="none" w:pos="7860" w:val="left"/>
        </w:tabs>
        <w:rPr>
          <w:sz w:val="20"/>
          <w:szCs w:val="20"/>
          <w:color w:val="auto"/>
        </w:rPr>
      </w:pPr>
      <w:r>
        <w:rPr>
          <w:rFonts w:ascii="Arial" w:cs="Arial" w:eastAsia="Arial" w:hAnsi="Arial"/>
          <w:sz w:val="14"/>
          <w:szCs w:val="14"/>
          <w:color w:val="auto"/>
        </w:rPr>
        <w:t>1/30/2015</w:t>
        <w:tab/>
        <w:t>1,800,000</w:t>
        <w:tab/>
        <w:t>1,622,542</w:t>
      </w:r>
      <w:r>
        <w:rPr>
          <w:sz w:val="20"/>
          <w:szCs w:val="20"/>
          <w:color w:val="auto"/>
        </w:rPr>
        <w:tab/>
      </w:r>
      <w:r>
        <w:rPr>
          <w:rFonts w:ascii="Arial" w:cs="Arial" w:eastAsia="Arial" w:hAnsi="Arial"/>
          <w:sz w:val="14"/>
          <w:szCs w:val="14"/>
          <w:color w:val="auto"/>
        </w:rPr>
        <w:t>1,620,000</w:t>
      </w:r>
      <w:r>
        <w:rPr>
          <w:sz w:val="20"/>
          <w:szCs w:val="20"/>
          <w:color w:val="auto"/>
        </w:rPr>
        <w:tab/>
      </w:r>
      <w:r>
        <w:rPr>
          <w:rFonts w:ascii="Arial" w:cs="Arial" w:eastAsia="Arial" w:hAnsi="Arial"/>
          <w:sz w:val="13"/>
          <w:szCs w:val="13"/>
          <w:color w:val="auto"/>
        </w:rPr>
        <w:t>0.6%</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w:t>
      </w:r>
    </w:p>
    <w:p>
      <w:pPr>
        <w:spacing w:after="0"/>
        <w:rPr>
          <w:sz w:val="20"/>
          <w:szCs w:val="20"/>
          <w:color w:val="auto"/>
        </w:rPr>
      </w:pPr>
      <w:r>
        <w:rPr>
          <w:rFonts w:ascii="Arial" w:cs="Arial" w:eastAsia="Arial" w:hAnsi="Arial"/>
          <w:sz w:val="14"/>
          <w:szCs w:val="14"/>
          <w:color w:val="auto"/>
        </w:rPr>
        <w:t>9.0% Cash, 3 Month Libor (1.00%) + 8.00%; Libor Floor 1.00%, Due 3/26</w:t>
      </w:r>
    </w:p>
    <w:p>
      <w:pPr>
        <w:spacing w:after="0" w:line="138" w:lineRule="exact"/>
        <w:rPr>
          <w:sz w:val="20"/>
          <w:szCs w:val="20"/>
          <w:color w:val="auto"/>
        </w:rPr>
      </w:pPr>
    </w:p>
    <w:p>
      <w:pPr>
        <w:jc w:val="both"/>
        <w:ind w:left="4560"/>
        <w:spacing w:after="0"/>
        <w:tabs>
          <w:tab w:leader="none" w:pos="5300" w:val="left"/>
          <w:tab w:leader="none" w:pos="6100" w:val="left"/>
          <w:tab w:leader="none" w:pos="6940" w:val="left"/>
          <w:tab w:leader="none" w:pos="7860" w:val="left"/>
        </w:tabs>
        <w:rPr>
          <w:sz w:val="20"/>
          <w:szCs w:val="20"/>
          <w:color w:val="auto"/>
        </w:rPr>
      </w:pPr>
      <w:r>
        <w:rPr>
          <w:rFonts w:ascii="Arial" w:cs="Arial" w:eastAsia="Arial" w:hAnsi="Arial"/>
          <w:sz w:val="14"/>
          <w:szCs w:val="14"/>
          <w:color w:val="auto"/>
        </w:rPr>
        <w:t>3/24/2021</w:t>
        <w:tab/>
        <w:t>7,000,000</w:t>
        <w:tab/>
        <w:t>6,834,488</w:t>
      </w:r>
      <w:r>
        <w:rPr>
          <w:sz w:val="20"/>
          <w:szCs w:val="20"/>
          <w:color w:val="auto"/>
        </w:rPr>
        <w:tab/>
      </w:r>
      <w:r>
        <w:rPr>
          <w:rFonts w:ascii="Arial" w:cs="Arial" w:eastAsia="Arial" w:hAnsi="Arial"/>
          <w:sz w:val="14"/>
          <w:szCs w:val="14"/>
          <w:color w:val="auto"/>
        </w:rPr>
        <w:t>6,855,100</w:t>
      </w:r>
      <w:r>
        <w:rPr>
          <w:sz w:val="20"/>
          <w:szCs w:val="20"/>
          <w:color w:val="auto"/>
        </w:rPr>
        <w:tab/>
      </w: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72390</wp:posOffset>
            </wp:positionV>
            <wp:extent cx="7132320" cy="574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Promissory Note</w:t>
      </w:r>
    </w:p>
    <w:p>
      <w:pPr>
        <w:spacing w:after="0"/>
        <w:rPr>
          <w:sz w:val="20"/>
          <w:szCs w:val="20"/>
          <w:color w:val="auto"/>
        </w:rPr>
      </w:pPr>
      <w:r>
        <w:rPr>
          <w:rFonts w:ascii="Arial" w:cs="Arial" w:eastAsia="Arial" w:hAnsi="Arial"/>
          <w:sz w:val="14"/>
          <w:szCs w:val="14"/>
          <w:color w:val="auto"/>
        </w:rPr>
        <w:t>Due 7/21</w:t>
      </w:r>
    </w:p>
    <w:p>
      <w:pPr>
        <w:spacing w:after="0" w:line="137" w:lineRule="exact"/>
        <w:rPr>
          <w:sz w:val="20"/>
          <w:szCs w:val="20"/>
          <w:color w:val="auto"/>
        </w:rPr>
      </w:pPr>
    </w:p>
    <w:p>
      <w:pPr>
        <w:sectPr>
          <w:pgSz w:w="11900" w:h="16838" w:orient="portrait"/>
          <w:cols w:equalWidth="0" w:num="2">
            <w:col w:w="2740" w:space="280"/>
            <w:col w:w="8180"/>
          </w:cols>
          <w:pgMar w:left="320" w:top="459" w:right="37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160" w:type="dxa"/>
            <w:vAlign w:val="bottom"/>
          </w:tcPr>
          <w:p>
            <w:pPr>
              <w:ind w:left="440"/>
              <w:spacing w:after="0"/>
              <w:rPr>
                <w:sz w:val="20"/>
                <w:szCs w:val="20"/>
                <w:color w:val="auto"/>
              </w:rPr>
            </w:pPr>
            <w:r>
              <w:rPr>
                <w:rFonts w:ascii="Arial" w:cs="Arial" w:eastAsia="Arial" w:hAnsi="Arial"/>
                <w:sz w:val="14"/>
                <w:szCs w:val="14"/>
                <w:color w:val="auto"/>
              </w:rPr>
              <w:t>Real Estate</w:t>
            </w:r>
          </w:p>
        </w:tc>
        <w:tc>
          <w:tcPr>
            <w:tcW w:w="580" w:type="dxa"/>
            <w:vAlign w:val="bottom"/>
          </w:tcPr>
          <w:p>
            <w:pPr>
              <w:spacing w:after="0"/>
              <w:rPr>
                <w:sz w:val="15"/>
                <w:szCs w:val="15"/>
                <w:color w:val="auto"/>
              </w:rPr>
            </w:pPr>
          </w:p>
        </w:tc>
      </w:tr>
      <w:tr>
        <w:trPr>
          <w:trHeight w:val="219"/>
        </w:trPr>
        <w:tc>
          <w:tcPr>
            <w:tcW w:w="2160" w:type="dxa"/>
            <w:vAlign w:val="bottom"/>
          </w:tcPr>
          <w:p>
            <w:pPr>
              <w:spacing w:after="0"/>
              <w:rPr>
                <w:sz w:val="20"/>
                <w:szCs w:val="20"/>
                <w:color w:val="auto"/>
              </w:rPr>
            </w:pPr>
            <w:r>
              <w:rPr>
                <w:rFonts w:ascii="Arial" w:cs="Arial" w:eastAsia="Arial" w:hAnsi="Arial"/>
                <w:sz w:val="14"/>
                <w:szCs w:val="14"/>
                <w:color w:val="auto"/>
              </w:rPr>
              <w:t>Sundance Holdings Group, LLC</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(8)(13)(14)</w:t>
            </w:r>
          </w:p>
        </w:tc>
      </w:tr>
      <w:tr>
        <w:trPr>
          <w:trHeight w:val="154"/>
        </w:trPr>
        <w:tc>
          <w:tcPr>
            <w:tcW w:w="2160" w:type="dxa"/>
            <w:vAlign w:val="bottom"/>
          </w:tcPr>
          <w:p>
            <w:pPr>
              <w:spacing w:after="0" w:line="154" w:lineRule="exact"/>
              <w:rPr>
                <w:sz w:val="20"/>
                <w:szCs w:val="20"/>
                <w:color w:val="auto"/>
              </w:rPr>
            </w:pPr>
            <w:r>
              <w:rPr>
                <w:rFonts w:ascii="Arial" w:cs="Arial" w:eastAsia="Arial" w:hAnsi="Arial"/>
                <w:sz w:val="14"/>
                <w:szCs w:val="14"/>
                <w:color w:val="auto"/>
                <w:w w:val="97"/>
              </w:rPr>
              <w:t>11726 San Vicente Blvd., Suite 300</w:t>
            </w:r>
          </w:p>
        </w:tc>
        <w:tc>
          <w:tcPr>
            <w:tcW w:w="580" w:type="dxa"/>
            <w:vAlign w:val="bottom"/>
          </w:tcPr>
          <w:p>
            <w:pPr>
              <w:jc w:val="right"/>
              <w:ind w:right="139"/>
              <w:spacing w:after="0"/>
              <w:rPr>
                <w:sz w:val="20"/>
                <w:szCs w:val="20"/>
                <w:color w:val="auto"/>
              </w:rPr>
            </w:pPr>
            <w:r>
              <w:rPr>
                <w:rFonts w:ascii="Arial" w:cs="Arial" w:eastAsia="Arial" w:hAnsi="Arial"/>
                <w:sz w:val="12"/>
                <w:szCs w:val="12"/>
                <w:color w:val="auto"/>
              </w:rPr>
              <w:t>(20)</w:t>
            </w:r>
          </w:p>
        </w:tc>
      </w:tr>
      <w:tr>
        <w:trPr>
          <w:trHeight w:val="148"/>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Los Angeles, CA 90049</w:t>
            </w:r>
          </w:p>
        </w:tc>
        <w:tc>
          <w:tcPr>
            <w:tcW w:w="580" w:type="dxa"/>
            <w:vAlign w:val="bottom"/>
          </w:tcPr>
          <w:p>
            <w:pPr>
              <w:spacing w:after="0"/>
              <w:rPr>
                <w:sz w:val="12"/>
                <w:szCs w:val="12"/>
                <w:color w:val="auto"/>
              </w:rPr>
            </w:pPr>
          </w:p>
        </w:tc>
      </w:tr>
      <w:tr>
        <w:trPr>
          <w:trHeight w:val="182"/>
        </w:trPr>
        <w:tc>
          <w:tcPr>
            <w:tcW w:w="2160" w:type="dxa"/>
            <w:vAlign w:val="bottom"/>
          </w:tcPr>
          <w:p>
            <w:pPr>
              <w:ind w:left="300"/>
              <w:spacing w:after="0"/>
              <w:rPr>
                <w:sz w:val="20"/>
                <w:szCs w:val="20"/>
                <w:color w:val="auto"/>
              </w:rPr>
            </w:pPr>
            <w:r>
              <w:rPr>
                <w:rFonts w:ascii="Arial" w:cs="Arial" w:eastAsia="Arial" w:hAnsi="Arial"/>
                <w:sz w:val="14"/>
                <w:szCs w:val="14"/>
                <w:color w:val="auto"/>
              </w:rPr>
              <w:t>Retail</w:t>
            </w:r>
          </w:p>
        </w:tc>
        <w:tc>
          <w:tcPr>
            <w:tcW w:w="580" w:type="dxa"/>
            <w:vAlign w:val="bottom"/>
          </w:tcPr>
          <w:p>
            <w:pPr>
              <w:spacing w:after="0"/>
              <w:rPr>
                <w:sz w:val="15"/>
                <w:szCs w:val="15"/>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4"/>
                <w:szCs w:val="14"/>
                <w:color w:val="auto"/>
              </w:rPr>
              <w:t>Surge Busy Bee Holdings LLC</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(8)(13)(24)</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w w:val="94"/>
              </w:rPr>
              <w:t>100 Crescent CT Suite 7061, Dallas,</w:t>
            </w:r>
          </w:p>
        </w:tc>
        <w:tc>
          <w:tcPr>
            <w:tcW w:w="580" w:type="dxa"/>
            <w:vAlign w:val="bottom"/>
          </w:tcPr>
          <w:p>
            <w:pPr>
              <w:spacing w:after="0"/>
              <w:rPr>
                <w:sz w:val="12"/>
                <w:szCs w:val="12"/>
                <w:color w:val="auto"/>
              </w:rPr>
            </w:pPr>
          </w:p>
        </w:tc>
      </w:tr>
      <w:tr>
        <w:trPr>
          <w:trHeight w:val="148"/>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Texas 75201</w:t>
            </w:r>
          </w:p>
        </w:tc>
        <w:tc>
          <w:tcPr>
            <w:tcW w:w="580" w:type="dxa"/>
            <w:vAlign w:val="bottom"/>
          </w:tcPr>
          <w:p>
            <w:pPr>
              <w:spacing w:after="0"/>
              <w:rPr>
                <w:sz w:val="12"/>
                <w:szCs w:val="12"/>
                <w:color w:val="auto"/>
              </w:rPr>
            </w:pPr>
          </w:p>
        </w:tc>
      </w:tr>
      <w:tr>
        <w:trPr>
          <w:trHeight w:val="182"/>
        </w:trPr>
        <w:tc>
          <w:tcPr>
            <w:tcW w:w="216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580" w:type="dxa"/>
            <w:vAlign w:val="bottom"/>
          </w:tcPr>
          <w:p>
            <w:pPr>
              <w:spacing w:after="0"/>
              <w:rPr>
                <w:sz w:val="15"/>
                <w:szCs w:val="15"/>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4"/>
                <w:szCs w:val="14"/>
                <w:color w:val="auto"/>
              </w:rPr>
              <w:t>Surge Busy Bee Holdings LLC</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(8)(13)(24)</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w w:val="94"/>
              </w:rPr>
              <w:t>100 Crescent CT Suite 7061, Dallas,</w:t>
            </w:r>
          </w:p>
        </w:tc>
        <w:tc>
          <w:tcPr>
            <w:tcW w:w="580" w:type="dxa"/>
            <w:vAlign w:val="bottom"/>
          </w:tcPr>
          <w:p>
            <w:pPr>
              <w:spacing w:after="0"/>
              <w:rPr>
                <w:sz w:val="12"/>
                <w:szCs w:val="12"/>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Texas 75201</w:t>
            </w:r>
          </w:p>
        </w:tc>
        <w:tc>
          <w:tcPr>
            <w:tcW w:w="580" w:type="dxa"/>
            <w:vAlign w:val="bottom"/>
          </w:tcPr>
          <w:p>
            <w:pPr>
              <w:spacing w:after="0"/>
              <w:rPr>
                <w:sz w:val="12"/>
                <w:szCs w:val="12"/>
                <w:color w:val="auto"/>
              </w:rPr>
            </w:pPr>
          </w:p>
        </w:tc>
      </w:tr>
      <w:tr>
        <w:trPr>
          <w:trHeight w:val="182"/>
        </w:trPr>
        <w:tc>
          <w:tcPr>
            <w:tcW w:w="216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580" w:type="dxa"/>
            <w:vAlign w:val="bottom"/>
          </w:tcPr>
          <w:p>
            <w:pPr>
              <w:spacing w:after="0"/>
              <w:rPr>
                <w:sz w:val="15"/>
                <w:szCs w:val="15"/>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4"/>
                <w:szCs w:val="14"/>
                <w:color w:val="auto"/>
              </w:rPr>
              <w:t>Surge Busy Bee Holdings LLC</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(8)(13)(23)</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w w:val="94"/>
              </w:rPr>
              <w:t>100 Crescent CT Suite 7061, Dallas,</w:t>
            </w:r>
          </w:p>
        </w:tc>
        <w:tc>
          <w:tcPr>
            <w:tcW w:w="580" w:type="dxa"/>
            <w:vAlign w:val="bottom"/>
          </w:tcPr>
          <w:p>
            <w:pPr>
              <w:spacing w:after="0"/>
              <w:rPr>
                <w:sz w:val="12"/>
                <w:szCs w:val="12"/>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Texas 75201</w:t>
            </w:r>
          </w:p>
        </w:tc>
        <w:tc>
          <w:tcPr>
            <w:tcW w:w="580" w:type="dxa"/>
            <w:vAlign w:val="bottom"/>
          </w:tcPr>
          <w:p>
            <w:pPr>
              <w:spacing w:after="0"/>
              <w:rPr>
                <w:sz w:val="12"/>
                <w:szCs w:val="12"/>
                <w:color w:val="auto"/>
              </w:rPr>
            </w:pPr>
          </w:p>
        </w:tc>
      </w:tr>
      <w:tr>
        <w:trPr>
          <w:trHeight w:val="182"/>
        </w:trPr>
        <w:tc>
          <w:tcPr>
            <w:tcW w:w="216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580" w:type="dxa"/>
            <w:vAlign w:val="bottom"/>
          </w:tcPr>
          <w:p>
            <w:pPr>
              <w:spacing w:after="0"/>
              <w:rPr>
                <w:sz w:val="15"/>
                <w:szCs w:val="15"/>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4"/>
                <w:szCs w:val="14"/>
                <w:color w:val="auto"/>
              </w:rPr>
              <w:t>Surge Hippodrome Holdings LLC</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(8)(13)(18)</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1919 McKinney Avenue, Suite</w:t>
            </w:r>
          </w:p>
        </w:tc>
        <w:tc>
          <w:tcPr>
            <w:tcW w:w="580" w:type="dxa"/>
            <w:vAlign w:val="bottom"/>
          </w:tcPr>
          <w:p>
            <w:pPr>
              <w:spacing w:after="0"/>
              <w:rPr>
                <w:sz w:val="12"/>
                <w:szCs w:val="12"/>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2001, Dallas, Texas 75201</w:t>
            </w:r>
          </w:p>
        </w:tc>
        <w:tc>
          <w:tcPr>
            <w:tcW w:w="580" w:type="dxa"/>
            <w:vAlign w:val="bottom"/>
          </w:tcPr>
          <w:p>
            <w:pPr>
              <w:spacing w:after="0"/>
              <w:rPr>
                <w:sz w:val="12"/>
                <w:szCs w:val="12"/>
                <w:color w:val="auto"/>
              </w:rPr>
            </w:pPr>
          </w:p>
        </w:tc>
      </w:tr>
      <w:tr>
        <w:trPr>
          <w:trHeight w:val="162"/>
        </w:trPr>
        <w:tc>
          <w:tcPr>
            <w:tcW w:w="216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580" w:type="dxa"/>
            <w:vAlign w:val="bottom"/>
          </w:tcPr>
          <w:p>
            <w:pPr>
              <w:spacing w:after="0"/>
              <w:rPr>
                <w:sz w:val="14"/>
                <w:szCs w:val="14"/>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Syncsort Incorporated</w:t>
            </w:r>
          </w:p>
        </w:tc>
        <w:tc>
          <w:tcPr>
            <w:tcW w:w="580" w:type="dxa"/>
            <w:vAlign w:val="bottom"/>
          </w:tcPr>
          <w:p>
            <w:pPr>
              <w:jc w:val="right"/>
              <w:ind w:right="139"/>
              <w:spacing w:after="0"/>
              <w:rPr>
                <w:sz w:val="20"/>
                <w:szCs w:val="20"/>
                <w:color w:val="auto"/>
              </w:rPr>
            </w:pPr>
            <w:r>
              <w:rPr>
                <w:rFonts w:ascii="Arial" w:cs="Arial" w:eastAsia="Arial" w:hAnsi="Arial"/>
                <w:sz w:val="12"/>
                <w:szCs w:val="12"/>
                <w:color w:val="auto"/>
                <w:w w:val="99"/>
              </w:rPr>
              <w:t>(8)(14)</w:t>
            </w: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w w:val="97"/>
              </w:rPr>
              <w:t>1 American Center, 3100 West End</w:t>
            </w:r>
          </w:p>
        </w:tc>
        <w:tc>
          <w:tcPr>
            <w:tcW w:w="580" w:type="dxa"/>
            <w:vAlign w:val="bottom"/>
          </w:tcPr>
          <w:p>
            <w:pPr>
              <w:spacing w:after="0"/>
              <w:rPr>
                <w:sz w:val="12"/>
                <w:szCs w:val="12"/>
                <w:color w:val="auto"/>
              </w:rPr>
            </w:pPr>
          </w:p>
        </w:tc>
      </w:tr>
      <w:tr>
        <w:trPr>
          <w:trHeight w:val="149"/>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Avenue, Suite 150 Nashville,</w:t>
            </w:r>
          </w:p>
        </w:tc>
        <w:tc>
          <w:tcPr>
            <w:tcW w:w="580" w:type="dxa"/>
            <w:vAlign w:val="bottom"/>
          </w:tcPr>
          <w:p>
            <w:pPr>
              <w:spacing w:after="0"/>
              <w:rPr>
                <w:sz w:val="12"/>
                <w:szCs w:val="12"/>
                <w:color w:val="auto"/>
              </w:rPr>
            </w:pPr>
          </w:p>
        </w:tc>
      </w:tr>
      <w:tr>
        <w:trPr>
          <w:trHeight w:val="148"/>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TN 37203</w:t>
            </w:r>
          </w:p>
        </w:tc>
        <w:tc>
          <w:tcPr>
            <w:tcW w:w="580" w:type="dxa"/>
            <w:vAlign w:val="bottom"/>
          </w:tcPr>
          <w:p>
            <w:pPr>
              <w:spacing w:after="0"/>
              <w:rPr>
                <w:sz w:val="12"/>
                <w:szCs w:val="12"/>
                <w:color w:val="auto"/>
              </w:rPr>
            </w:pPr>
          </w:p>
        </w:tc>
      </w:tr>
      <w:tr>
        <w:trPr>
          <w:trHeight w:val="182"/>
        </w:trPr>
        <w:tc>
          <w:tcPr>
            <w:tcW w:w="216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580" w:type="dxa"/>
            <w:vAlign w:val="bottom"/>
          </w:tcPr>
          <w:p>
            <w:pPr>
              <w:spacing w:after="0"/>
              <w:rPr>
                <w:sz w:val="15"/>
                <w:szCs w:val="15"/>
                <w:color w:val="auto"/>
              </w:rPr>
            </w:pPr>
          </w:p>
        </w:tc>
      </w:tr>
      <w:tr>
        <w:trPr>
          <w:trHeight w:val="236"/>
        </w:trPr>
        <w:tc>
          <w:tcPr>
            <w:tcW w:w="2160" w:type="dxa"/>
            <w:vAlign w:val="bottom"/>
          </w:tcPr>
          <w:p>
            <w:pPr>
              <w:spacing w:after="0"/>
              <w:rPr>
                <w:sz w:val="20"/>
                <w:szCs w:val="20"/>
                <w:color w:val="auto"/>
              </w:rPr>
            </w:pPr>
            <w:r>
              <w:rPr>
                <w:rFonts w:ascii="Arial" w:cs="Arial" w:eastAsia="Arial" w:hAnsi="Arial"/>
                <w:sz w:val="14"/>
                <w:szCs w:val="14"/>
                <w:color w:val="auto"/>
              </w:rPr>
              <w:t>Tailwind Randys, LLC</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(8)(13)(14)</w:t>
            </w: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23540 Cottonwood Pkwy,</w:t>
            </w:r>
          </w:p>
        </w:tc>
        <w:tc>
          <w:tcPr>
            <w:tcW w:w="580" w:type="dxa"/>
            <w:vAlign w:val="bottom"/>
          </w:tcPr>
          <w:p>
            <w:pPr>
              <w:spacing w:after="0"/>
              <w:rPr>
                <w:sz w:val="12"/>
                <w:szCs w:val="12"/>
                <w:color w:val="auto"/>
              </w:rPr>
            </w:pPr>
          </w:p>
        </w:tc>
      </w:tr>
      <w:tr>
        <w:trPr>
          <w:trHeight w:val="148"/>
        </w:trPr>
        <w:tc>
          <w:tcPr>
            <w:tcW w:w="2160" w:type="dxa"/>
            <w:vAlign w:val="bottom"/>
          </w:tcPr>
          <w:p>
            <w:pPr>
              <w:ind w:left="160"/>
              <w:spacing w:after="0" w:line="149" w:lineRule="exact"/>
              <w:rPr>
                <w:sz w:val="20"/>
                <w:szCs w:val="20"/>
                <w:color w:val="auto"/>
              </w:rPr>
            </w:pPr>
            <w:r>
              <w:rPr>
                <w:rFonts w:ascii="Arial" w:cs="Arial" w:eastAsia="Arial" w:hAnsi="Arial"/>
                <w:sz w:val="14"/>
                <w:szCs w:val="14"/>
                <w:color w:val="auto"/>
              </w:rPr>
              <w:t>California, MD 20619</w:t>
            </w:r>
          </w:p>
        </w:tc>
        <w:tc>
          <w:tcPr>
            <w:tcW w:w="580" w:type="dxa"/>
            <w:vAlign w:val="bottom"/>
          </w:tcPr>
          <w:p>
            <w:pPr>
              <w:spacing w:after="0"/>
              <w:rPr>
                <w:sz w:val="12"/>
                <w:szCs w:val="12"/>
                <w:color w:val="auto"/>
              </w:rPr>
            </w:pPr>
          </w:p>
        </w:tc>
      </w:tr>
      <w:tr>
        <w:trPr>
          <w:trHeight w:val="182"/>
        </w:trPr>
        <w:tc>
          <w:tcPr>
            <w:tcW w:w="2160" w:type="dxa"/>
            <w:vAlign w:val="bottom"/>
          </w:tcPr>
          <w:p>
            <w:pPr>
              <w:ind w:left="300"/>
              <w:spacing w:after="0"/>
              <w:rPr>
                <w:sz w:val="20"/>
                <w:szCs w:val="20"/>
                <w:color w:val="auto"/>
              </w:rPr>
            </w:pPr>
            <w:r>
              <w:rPr>
                <w:rFonts w:ascii="Arial" w:cs="Arial" w:eastAsia="Arial" w:hAnsi="Arial"/>
                <w:sz w:val="14"/>
                <w:szCs w:val="14"/>
                <w:color w:val="auto"/>
              </w:rPr>
              <w:t>Automotive</w:t>
            </w:r>
          </w:p>
        </w:tc>
        <w:tc>
          <w:tcPr>
            <w:tcW w:w="5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First Lien Term Loan</w:t>
      </w:r>
    </w:p>
    <w:p>
      <w:pPr>
        <w:spacing w:after="0"/>
        <w:rPr>
          <w:sz w:val="20"/>
          <w:szCs w:val="20"/>
          <w:color w:val="auto"/>
        </w:rPr>
      </w:pPr>
      <w:r>
        <w:rPr>
          <w:rFonts w:ascii="Arial" w:cs="Arial" w:eastAsia="Arial" w:hAnsi="Arial"/>
          <w:sz w:val="13"/>
          <w:szCs w:val="13"/>
          <w:color w:val="auto"/>
        </w:rPr>
        <w:t>7.0% Cash, 3 Month Libor (1.00%) + 6.00%; Libor Floor 1.00%, Due 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175260</wp:posOffset>
            </wp:positionV>
            <wp:extent cx="7132320" cy="386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First Lien Term Loan A</w:t>
      </w:r>
    </w:p>
    <w:p>
      <w:pPr>
        <w:spacing w:after="0"/>
        <w:rPr>
          <w:sz w:val="20"/>
          <w:szCs w:val="20"/>
          <w:color w:val="auto"/>
        </w:rPr>
      </w:pPr>
      <w:r>
        <w:rPr>
          <w:rFonts w:ascii="Arial" w:cs="Arial" w:eastAsia="Arial" w:hAnsi="Arial"/>
          <w:sz w:val="14"/>
          <w:szCs w:val="14"/>
          <w:color w:val="auto"/>
        </w:rPr>
        <w:t>10.1% Cash, 1 Month Libor (0.10%) + 10.00% , Due 11/22</w:t>
      </w:r>
    </w:p>
    <w:p>
      <w:pPr>
        <w:spacing w:after="0" w:line="394" w:lineRule="exact"/>
        <w:rPr>
          <w:sz w:val="20"/>
          <w:szCs w:val="20"/>
          <w:color w:val="auto"/>
        </w:rPr>
      </w:pPr>
    </w:p>
    <w:p>
      <w:pPr>
        <w:ind w:right="1540"/>
        <w:spacing w:after="0" w:line="253" w:lineRule="auto"/>
        <w:rPr>
          <w:sz w:val="20"/>
          <w:szCs w:val="20"/>
          <w:color w:val="auto"/>
        </w:rPr>
      </w:pPr>
      <w:r>
        <w:rPr>
          <w:rFonts w:ascii="Arial" w:cs="Arial" w:eastAsia="Arial" w:hAnsi="Arial"/>
          <w:sz w:val="14"/>
          <w:szCs w:val="14"/>
          <w:color w:val="auto"/>
        </w:rPr>
        <w:t>Senior Secured Loan — First Lien Term Loan B 12.0% Cash, 2.0% PIK, Due 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156210</wp:posOffset>
            </wp:positionV>
            <wp:extent cx="7132320" cy="386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Revolver</w:t>
      </w:r>
    </w:p>
    <w:p>
      <w:pPr>
        <w:spacing w:after="0"/>
        <w:rPr>
          <w:sz w:val="20"/>
          <w:szCs w:val="20"/>
          <w:color w:val="auto"/>
        </w:rPr>
      </w:pPr>
      <w:r>
        <w:rPr>
          <w:rFonts w:ascii="Arial" w:cs="Arial" w:eastAsia="Arial" w:hAnsi="Arial"/>
          <w:sz w:val="14"/>
          <w:szCs w:val="14"/>
          <w:color w:val="auto"/>
        </w:rPr>
        <w:t>0.8% Cash, Due 11/21</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Last Out Term Loan</w:t>
      </w:r>
    </w:p>
    <w:p>
      <w:pPr>
        <w:ind w:right="140"/>
        <w:spacing w:after="0" w:line="237" w:lineRule="auto"/>
        <w:rPr>
          <w:sz w:val="20"/>
          <w:szCs w:val="20"/>
          <w:color w:val="auto"/>
        </w:rPr>
      </w:pPr>
      <w:r>
        <w:rPr>
          <w:rFonts w:ascii="Arial" w:cs="Arial" w:eastAsia="Arial" w:hAnsi="Arial"/>
          <w:sz w:val="14"/>
          <w:szCs w:val="14"/>
          <w:color w:val="auto"/>
        </w:rPr>
        <w:t>13.5% Cash, 3 Month Libor (2.00%) + 11.50%; Libor Floor 2.00%, Due 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50800</wp:posOffset>
            </wp:positionV>
            <wp:extent cx="7132320" cy="4800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First Lien Term Loan</w:t>
      </w:r>
    </w:p>
    <w:p>
      <w:pPr>
        <w:spacing w:after="0"/>
        <w:rPr>
          <w:sz w:val="20"/>
          <w:szCs w:val="20"/>
          <w:color w:val="auto"/>
        </w:rPr>
      </w:pPr>
      <w:r>
        <w:rPr>
          <w:rFonts w:ascii="Arial" w:cs="Arial" w:eastAsia="Arial" w:hAnsi="Arial"/>
          <w:sz w:val="13"/>
          <w:szCs w:val="13"/>
          <w:color w:val="auto"/>
        </w:rPr>
        <w:t>5.0% Cash, 1 Month Libor (0.75%) + 4.25%; Libor Floor 0.75%, Due 3/28</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w:t>
      </w:r>
    </w:p>
    <w:p>
      <w:pPr>
        <w:spacing w:after="0"/>
        <w:rPr>
          <w:sz w:val="20"/>
          <w:szCs w:val="20"/>
          <w:color w:val="auto"/>
        </w:rPr>
      </w:pPr>
      <w:r>
        <w:rPr>
          <w:rFonts w:ascii="Arial" w:cs="Arial" w:eastAsia="Arial" w:hAnsi="Arial"/>
          <w:sz w:val="13"/>
          <w:szCs w:val="13"/>
          <w:color w:val="auto"/>
        </w:rPr>
        <w:t>6.0% Cash, 3 Month Libor (1.00%) + 5.00%; Libor Floor 1.00%, Due 5/25</w:t>
      </w:r>
    </w:p>
    <w:p>
      <w:pPr>
        <w:spacing w:after="0" w:line="3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6/30/2021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2,500,000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2,495,000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2,495,000</w:t>
            </w:r>
          </w:p>
        </w:tc>
        <w:tc>
          <w:tcPr>
            <w:tcW w:w="4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716"/>
        </w:trPr>
        <w:tc>
          <w:tcPr>
            <w:tcW w:w="760" w:type="dxa"/>
            <w:vAlign w:val="bottom"/>
          </w:tcPr>
          <w:p>
            <w:pPr>
              <w:jc w:val="right"/>
              <w:ind w:right="28"/>
              <w:spacing w:after="0"/>
              <w:rPr>
                <w:sz w:val="20"/>
                <w:szCs w:val="20"/>
                <w:color w:val="auto"/>
              </w:rPr>
            </w:pPr>
            <w:r>
              <w:rPr>
                <w:rFonts w:ascii="Arial" w:cs="Arial" w:eastAsia="Arial" w:hAnsi="Arial"/>
                <w:sz w:val="14"/>
                <w:szCs w:val="14"/>
                <w:color w:val="auto"/>
                <w:w w:val="91"/>
              </w:rPr>
              <w:t>10/28/2020</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6,792,219</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5,895,874</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6,743,994</w:t>
            </w: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716"/>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6/9/2021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3,518,750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3,212,112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3,423,744</w:t>
            </w: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715"/>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6/9/2021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3,540,127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3,126,087</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3,327,719</w:t>
            </w: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715"/>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6/9/2021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715"/>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6/9/2021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5,460,000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4,821,183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5,148,780</w:t>
            </w: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756"/>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3/19/2021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2,440,763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2,428,836</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2,441,983</w:t>
            </w:r>
          </w:p>
        </w:tc>
        <w:tc>
          <w:tcPr>
            <w:tcW w:w="4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715"/>
        </w:trPr>
        <w:tc>
          <w:tcPr>
            <w:tcW w:w="760" w:type="dxa"/>
            <w:vAlign w:val="bottom"/>
          </w:tcPr>
          <w:p>
            <w:pPr>
              <w:jc w:val="right"/>
              <w:ind w:right="28"/>
              <w:spacing w:after="0"/>
              <w:rPr>
                <w:sz w:val="20"/>
                <w:szCs w:val="20"/>
                <w:color w:val="auto"/>
              </w:rPr>
            </w:pPr>
            <w:r>
              <w:rPr>
                <w:rFonts w:ascii="Arial" w:cs="Arial" w:eastAsia="Arial" w:hAnsi="Arial"/>
                <w:sz w:val="14"/>
                <w:szCs w:val="14"/>
                <w:color w:val="auto"/>
              </w:rPr>
              <w:t>6/27/2019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4,900,000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4,843,462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4,918,620</w:t>
            </w: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r>
    </w:tbl>
    <w:p>
      <w:pPr>
        <w:sectPr>
          <w:pgSz w:w="11900" w:h="16838" w:orient="portrait"/>
          <w:cols w:equalWidth="0" w:num="3">
            <w:col w:w="2740" w:space="280"/>
            <w:col w:w="4320" w:space="160"/>
            <w:col w:w="3700"/>
          </w:cols>
          <w:pgMar w:left="320" w:top="459" w:right="37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right="780"/>
        <w:spacing w:after="0" w:line="297" w:lineRule="auto"/>
        <w:rPr>
          <w:sz w:val="20"/>
          <w:szCs w:val="20"/>
          <w:color w:val="auto"/>
        </w:rPr>
      </w:pPr>
      <w:r>
        <w:rPr>
          <w:rFonts w:ascii="Arial" w:cs="Arial" w:eastAsia="Arial" w:hAnsi="Arial"/>
          <w:sz w:val="13"/>
          <w:szCs w:val="13"/>
          <w:b w:val="1"/>
          <w:bCs w:val="1"/>
          <w:color w:val="auto"/>
        </w:rPr>
        <w:t xml:space="preserve">Portfolio Company / </w:t>
      </w:r>
      <w:r>
        <w:rPr>
          <w:rFonts w:ascii="Arial" w:cs="Arial" w:eastAsia="Arial" w:hAnsi="Arial"/>
          <w:sz w:val="13"/>
          <w:szCs w:val="13"/>
          <w:b w:val="1"/>
          <w:bCs w:val="1"/>
          <w:u w:val="single" w:color="auto"/>
          <w:color w:val="auto"/>
        </w:rPr>
        <w:t>Principal Business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Tank Partners Equipment</w:t>
            </w:r>
          </w:p>
        </w:tc>
        <w:tc>
          <w:tcPr>
            <w:tcW w:w="38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54"/>
        </w:trPr>
        <w:tc>
          <w:tcPr>
            <w:tcW w:w="1660" w:type="dxa"/>
            <w:vAlign w:val="bottom"/>
          </w:tcPr>
          <w:p>
            <w:pPr>
              <w:ind w:left="160"/>
              <w:spacing w:after="0" w:line="154" w:lineRule="exact"/>
              <w:rPr>
                <w:sz w:val="20"/>
                <w:szCs w:val="20"/>
                <w:color w:val="auto"/>
              </w:rPr>
            </w:pPr>
            <w:r>
              <w:rPr>
                <w:rFonts w:ascii="Arial" w:cs="Arial" w:eastAsia="Arial" w:hAnsi="Arial"/>
                <w:sz w:val="14"/>
                <w:szCs w:val="14"/>
                <w:color w:val="auto"/>
              </w:rPr>
              <w:t>Holdings LLC</w:t>
            </w:r>
          </w:p>
        </w:tc>
        <w:tc>
          <w:tcPr>
            <w:tcW w:w="3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8"/>
        </w:trPr>
        <w:tc>
          <w:tcPr>
            <w:tcW w:w="1660" w:type="dxa"/>
            <w:vAlign w:val="bottom"/>
          </w:tcPr>
          <w:p>
            <w:pPr>
              <w:spacing w:after="0" w:line="149" w:lineRule="exact"/>
              <w:rPr>
                <w:sz w:val="20"/>
                <w:szCs w:val="20"/>
                <w:color w:val="auto"/>
              </w:rPr>
            </w:pPr>
            <w:r>
              <w:rPr>
                <w:rFonts w:ascii="Arial" w:cs="Arial" w:eastAsia="Arial" w:hAnsi="Arial"/>
                <w:sz w:val="14"/>
                <w:szCs w:val="14"/>
                <w:color w:val="auto"/>
                <w:w w:val="94"/>
              </w:rPr>
              <w:t>3865 W 2400 S West Valley</w:t>
            </w:r>
          </w:p>
        </w:tc>
        <w:tc>
          <w:tcPr>
            <w:tcW w:w="380" w:type="dxa"/>
            <w:vAlign w:val="bottom"/>
          </w:tcPr>
          <w:p>
            <w:pPr>
              <w:spacing w:after="0"/>
              <w:rPr>
                <w:sz w:val="12"/>
                <w:szCs w:val="12"/>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City, UT 84120-7212</w:t>
            </w:r>
          </w:p>
        </w:tc>
        <w:tc>
          <w:tcPr>
            <w:tcW w:w="380" w:type="dxa"/>
            <w:vAlign w:val="bottom"/>
          </w:tcPr>
          <w:p>
            <w:pPr>
              <w:spacing w:after="0"/>
              <w:rPr>
                <w:sz w:val="12"/>
                <w:szCs w:val="12"/>
                <w:color w:val="auto"/>
              </w:rPr>
            </w:pPr>
          </w:p>
        </w:tc>
      </w:tr>
      <w:tr>
        <w:trPr>
          <w:trHeight w:val="182"/>
        </w:trPr>
        <w:tc>
          <w:tcPr>
            <w:tcW w:w="1660" w:type="dxa"/>
            <w:vAlign w:val="bottom"/>
          </w:tcPr>
          <w:p>
            <w:pPr>
              <w:ind w:left="300"/>
              <w:spacing w:after="0"/>
              <w:rPr>
                <w:sz w:val="20"/>
                <w:szCs w:val="20"/>
                <w:color w:val="auto"/>
              </w:rPr>
            </w:pPr>
            <w:r>
              <w:rPr>
                <w:rFonts w:ascii="Arial" w:cs="Arial" w:eastAsia="Arial" w:hAnsi="Arial"/>
                <w:sz w:val="14"/>
                <w:szCs w:val="14"/>
                <w:color w:val="auto"/>
              </w:rPr>
              <w:t>Energy: Oil &amp; Gas</w:t>
            </w:r>
          </w:p>
        </w:tc>
        <w:tc>
          <w:tcPr>
            <w:tcW w:w="380" w:type="dxa"/>
            <w:vAlign w:val="bottom"/>
          </w:tcPr>
          <w:p>
            <w:pPr>
              <w:spacing w:after="0"/>
              <w:rPr>
                <w:sz w:val="15"/>
                <w:szCs w:val="15"/>
                <w:color w:val="auto"/>
              </w:rPr>
            </w:pPr>
          </w:p>
        </w:tc>
      </w:tr>
      <w:tr>
        <w:trPr>
          <w:trHeight w:val="231"/>
        </w:trPr>
        <w:tc>
          <w:tcPr>
            <w:tcW w:w="1660" w:type="dxa"/>
            <w:vAlign w:val="bottom"/>
          </w:tcPr>
          <w:p>
            <w:pPr>
              <w:spacing w:after="0"/>
              <w:rPr>
                <w:sz w:val="20"/>
                <w:szCs w:val="20"/>
                <w:color w:val="auto"/>
              </w:rPr>
            </w:pPr>
            <w:r>
              <w:rPr>
                <w:rFonts w:ascii="Arial" w:cs="Arial" w:eastAsia="Arial" w:hAnsi="Arial"/>
                <w:sz w:val="14"/>
                <w:szCs w:val="14"/>
                <w:color w:val="auto"/>
              </w:rPr>
              <w:t>TA/Weg Holdings, LLC</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(8)(13)</w:t>
            </w:r>
          </w:p>
        </w:tc>
      </w:tr>
      <w:tr>
        <w:trPr>
          <w:trHeight w:val="154"/>
        </w:trPr>
        <w:tc>
          <w:tcPr>
            <w:tcW w:w="1660" w:type="dxa"/>
            <w:vAlign w:val="bottom"/>
          </w:tcPr>
          <w:p>
            <w:pPr>
              <w:spacing w:after="0" w:line="154" w:lineRule="exact"/>
              <w:rPr>
                <w:sz w:val="20"/>
                <w:szCs w:val="20"/>
                <w:color w:val="auto"/>
              </w:rPr>
            </w:pPr>
            <w:r>
              <w:rPr>
                <w:rFonts w:ascii="Arial" w:cs="Arial" w:eastAsia="Arial" w:hAnsi="Arial"/>
                <w:sz w:val="14"/>
                <w:szCs w:val="14"/>
                <w:color w:val="auto"/>
                <w:w w:val="98"/>
              </w:rPr>
              <w:t>505 N. Highway 169, Suite</w:t>
            </w:r>
          </w:p>
        </w:tc>
        <w:tc>
          <w:tcPr>
            <w:tcW w:w="38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900, Plymouth, MN</w:t>
            </w:r>
          </w:p>
        </w:tc>
        <w:tc>
          <w:tcPr>
            <w:tcW w:w="380" w:type="dxa"/>
            <w:vAlign w:val="bottom"/>
          </w:tcPr>
          <w:p>
            <w:pPr>
              <w:spacing w:after="0"/>
              <w:rPr>
                <w:sz w:val="12"/>
                <w:szCs w:val="12"/>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55441</w:t>
            </w:r>
          </w:p>
        </w:tc>
        <w:tc>
          <w:tcPr>
            <w:tcW w:w="380" w:type="dxa"/>
            <w:vAlign w:val="bottom"/>
          </w:tcPr>
          <w:p>
            <w:pPr>
              <w:spacing w:after="0"/>
              <w:rPr>
                <w:sz w:val="12"/>
                <w:szCs w:val="12"/>
                <w:color w:val="auto"/>
              </w:rPr>
            </w:pPr>
          </w:p>
        </w:tc>
      </w:tr>
      <w:tr>
        <w:trPr>
          <w:trHeight w:val="148"/>
        </w:trPr>
        <w:tc>
          <w:tcPr>
            <w:tcW w:w="1660" w:type="dxa"/>
            <w:vAlign w:val="bottom"/>
          </w:tcPr>
          <w:p>
            <w:pPr>
              <w:ind w:left="300"/>
              <w:spacing w:after="0" w:line="149" w:lineRule="exact"/>
              <w:rPr>
                <w:sz w:val="20"/>
                <w:szCs w:val="20"/>
                <w:color w:val="auto"/>
              </w:rPr>
            </w:pPr>
            <w:r>
              <w:rPr>
                <w:rFonts w:ascii="Arial" w:cs="Arial" w:eastAsia="Arial" w:hAnsi="Arial"/>
                <w:sz w:val="14"/>
                <w:szCs w:val="14"/>
                <w:color w:val="auto"/>
              </w:rPr>
              <w:t>Banking, Finance,</w:t>
            </w:r>
          </w:p>
        </w:tc>
        <w:tc>
          <w:tcPr>
            <w:tcW w:w="380" w:type="dxa"/>
            <w:vAlign w:val="bottom"/>
          </w:tcPr>
          <w:p>
            <w:pPr>
              <w:spacing w:after="0"/>
              <w:rPr>
                <w:sz w:val="12"/>
                <w:szCs w:val="12"/>
                <w:color w:val="auto"/>
              </w:rPr>
            </w:pPr>
          </w:p>
        </w:tc>
      </w:tr>
      <w:tr>
        <w:trPr>
          <w:trHeight w:val="148"/>
        </w:trPr>
        <w:tc>
          <w:tcPr>
            <w:tcW w:w="1660" w:type="dxa"/>
            <w:vAlign w:val="bottom"/>
          </w:tcPr>
          <w:p>
            <w:pPr>
              <w:ind w:left="440"/>
              <w:spacing w:after="0" w:line="149" w:lineRule="exact"/>
              <w:rPr>
                <w:sz w:val="20"/>
                <w:szCs w:val="20"/>
                <w:color w:val="auto"/>
              </w:rPr>
            </w:pPr>
            <w:r>
              <w:rPr>
                <w:rFonts w:ascii="Arial" w:cs="Arial" w:eastAsia="Arial" w:hAnsi="Arial"/>
                <w:sz w:val="14"/>
                <w:szCs w:val="14"/>
                <w:color w:val="auto"/>
              </w:rPr>
              <w:t>Insurance &amp; Real</w:t>
            </w:r>
          </w:p>
        </w:tc>
        <w:tc>
          <w:tcPr>
            <w:tcW w:w="380" w:type="dxa"/>
            <w:vAlign w:val="bottom"/>
          </w:tcPr>
          <w:p>
            <w:pPr>
              <w:spacing w:after="0"/>
              <w:rPr>
                <w:sz w:val="12"/>
                <w:szCs w:val="12"/>
                <w:color w:val="auto"/>
              </w:rPr>
            </w:pPr>
          </w:p>
        </w:tc>
      </w:tr>
      <w:tr>
        <w:trPr>
          <w:trHeight w:val="182"/>
        </w:trPr>
        <w:tc>
          <w:tcPr>
            <w:tcW w:w="1660" w:type="dxa"/>
            <w:vAlign w:val="bottom"/>
          </w:tcPr>
          <w:p>
            <w:pPr>
              <w:ind w:left="440"/>
              <w:spacing w:after="0"/>
              <w:rPr>
                <w:sz w:val="20"/>
                <w:szCs w:val="20"/>
                <w:color w:val="auto"/>
              </w:rPr>
            </w:pPr>
            <w:r>
              <w:rPr>
                <w:rFonts w:ascii="Arial" w:cs="Arial" w:eastAsia="Arial" w:hAnsi="Arial"/>
                <w:sz w:val="14"/>
                <w:szCs w:val="14"/>
                <w:color w:val="auto"/>
              </w:rPr>
              <w:t>Estate</w:t>
            </w:r>
          </w:p>
        </w:tc>
        <w:tc>
          <w:tcPr>
            <w:tcW w:w="380" w:type="dxa"/>
            <w:vAlign w:val="bottom"/>
          </w:tcPr>
          <w:p>
            <w:pPr>
              <w:spacing w:after="0"/>
              <w:rPr>
                <w:sz w:val="15"/>
                <w:szCs w:val="15"/>
                <w:color w:val="auto"/>
              </w:rPr>
            </w:pPr>
          </w:p>
        </w:tc>
      </w:tr>
      <w:tr>
        <w:trPr>
          <w:trHeight w:val="231"/>
        </w:trPr>
        <w:tc>
          <w:tcPr>
            <w:tcW w:w="1660" w:type="dxa"/>
            <w:vAlign w:val="bottom"/>
          </w:tcPr>
          <w:p>
            <w:pPr>
              <w:spacing w:after="0"/>
              <w:rPr>
                <w:sz w:val="20"/>
                <w:szCs w:val="20"/>
                <w:color w:val="auto"/>
              </w:rPr>
            </w:pPr>
            <w:r>
              <w:rPr>
                <w:rFonts w:ascii="Arial" w:cs="Arial" w:eastAsia="Arial" w:hAnsi="Arial"/>
                <w:sz w:val="14"/>
                <w:szCs w:val="14"/>
                <w:color w:val="auto"/>
              </w:rPr>
              <w:t>Tex-Tech Industries, Inc.</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(8)(13)</w:t>
            </w:r>
          </w:p>
        </w:tc>
      </w:tr>
      <w:tr>
        <w:trPr>
          <w:trHeight w:val="154"/>
        </w:trPr>
        <w:tc>
          <w:tcPr>
            <w:tcW w:w="1660" w:type="dxa"/>
            <w:vAlign w:val="bottom"/>
          </w:tcPr>
          <w:p>
            <w:pPr>
              <w:spacing w:after="0" w:line="154" w:lineRule="exact"/>
              <w:rPr>
                <w:sz w:val="20"/>
                <w:szCs w:val="20"/>
                <w:color w:val="auto"/>
              </w:rPr>
            </w:pPr>
            <w:r>
              <w:rPr>
                <w:rFonts w:ascii="Arial" w:cs="Arial" w:eastAsia="Arial" w:hAnsi="Arial"/>
                <w:sz w:val="14"/>
                <w:szCs w:val="14"/>
                <w:color w:val="auto"/>
              </w:rPr>
              <w:t>247 Station Drive, Suite</w:t>
            </w: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NE1 Westwood, MA</w:t>
            </w:r>
          </w:p>
        </w:tc>
        <w:tc>
          <w:tcPr>
            <w:tcW w:w="380" w:type="dxa"/>
            <w:vAlign w:val="bottom"/>
          </w:tcPr>
          <w:p>
            <w:pPr>
              <w:spacing w:after="0"/>
              <w:rPr>
                <w:sz w:val="12"/>
                <w:szCs w:val="12"/>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02090</w:t>
            </w:r>
          </w:p>
        </w:tc>
        <w:tc>
          <w:tcPr>
            <w:tcW w:w="380" w:type="dxa"/>
            <w:vAlign w:val="bottom"/>
          </w:tcPr>
          <w:p>
            <w:pPr>
              <w:spacing w:after="0"/>
              <w:rPr>
                <w:sz w:val="12"/>
                <w:szCs w:val="12"/>
                <w:color w:val="auto"/>
              </w:rPr>
            </w:pPr>
          </w:p>
        </w:tc>
      </w:tr>
      <w:tr>
        <w:trPr>
          <w:trHeight w:val="182"/>
        </w:trPr>
        <w:tc>
          <w:tcPr>
            <w:tcW w:w="1660" w:type="dxa"/>
            <w:vAlign w:val="bottom"/>
          </w:tcPr>
          <w:p>
            <w:pPr>
              <w:ind w:left="300"/>
              <w:spacing w:after="0"/>
              <w:rPr>
                <w:sz w:val="20"/>
                <w:szCs w:val="20"/>
                <w:color w:val="auto"/>
              </w:rPr>
            </w:pPr>
            <w:r>
              <w:rPr>
                <w:rFonts w:ascii="Arial" w:cs="Arial" w:eastAsia="Arial" w:hAnsi="Arial"/>
                <w:sz w:val="14"/>
                <w:szCs w:val="14"/>
                <w:color w:val="auto"/>
              </w:rPr>
              <w:t>Textiles and Leather</w:t>
            </w:r>
          </w:p>
        </w:tc>
        <w:tc>
          <w:tcPr>
            <w:tcW w:w="380" w:type="dxa"/>
            <w:vAlign w:val="bottom"/>
          </w:tcPr>
          <w:p>
            <w:pPr>
              <w:spacing w:after="0"/>
              <w:rPr>
                <w:sz w:val="15"/>
                <w:szCs w:val="15"/>
                <w:color w:val="auto"/>
              </w:rPr>
            </w:pPr>
          </w:p>
        </w:tc>
      </w:tr>
      <w:tr>
        <w:trPr>
          <w:trHeight w:val="236"/>
        </w:trPr>
        <w:tc>
          <w:tcPr>
            <w:tcW w:w="1660" w:type="dxa"/>
            <w:vAlign w:val="bottom"/>
          </w:tcPr>
          <w:p>
            <w:pPr>
              <w:spacing w:after="0"/>
              <w:rPr>
                <w:sz w:val="20"/>
                <w:szCs w:val="20"/>
                <w:color w:val="auto"/>
              </w:rPr>
            </w:pPr>
            <w:r>
              <w:rPr>
                <w:rFonts w:ascii="Arial" w:cs="Arial" w:eastAsia="Arial" w:hAnsi="Arial"/>
                <w:sz w:val="14"/>
                <w:szCs w:val="14"/>
                <w:color w:val="auto"/>
              </w:rPr>
              <w:t>The Edelman Financial</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(8)(14)</w:t>
            </w: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Center, LLC</w:t>
            </w:r>
          </w:p>
        </w:tc>
        <w:tc>
          <w:tcPr>
            <w:tcW w:w="380" w:type="dxa"/>
            <w:vAlign w:val="bottom"/>
          </w:tcPr>
          <w:p>
            <w:pPr>
              <w:spacing w:after="0"/>
              <w:rPr>
                <w:sz w:val="12"/>
                <w:szCs w:val="12"/>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575 Fifth Avenue 14th</w:t>
            </w:r>
          </w:p>
        </w:tc>
        <w:tc>
          <w:tcPr>
            <w:tcW w:w="380" w:type="dxa"/>
            <w:vAlign w:val="bottom"/>
          </w:tcPr>
          <w:p>
            <w:pPr>
              <w:spacing w:after="0"/>
              <w:rPr>
                <w:sz w:val="12"/>
                <w:szCs w:val="12"/>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Floor, New York NY</w:t>
            </w:r>
          </w:p>
        </w:tc>
        <w:tc>
          <w:tcPr>
            <w:tcW w:w="380" w:type="dxa"/>
            <w:vAlign w:val="bottom"/>
          </w:tcPr>
          <w:p>
            <w:pPr>
              <w:spacing w:after="0"/>
              <w:rPr>
                <w:sz w:val="12"/>
                <w:szCs w:val="12"/>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10017</w:t>
            </w:r>
          </w:p>
        </w:tc>
        <w:tc>
          <w:tcPr>
            <w:tcW w:w="380" w:type="dxa"/>
            <w:vAlign w:val="bottom"/>
          </w:tcPr>
          <w:p>
            <w:pPr>
              <w:spacing w:after="0"/>
              <w:rPr>
                <w:sz w:val="12"/>
                <w:szCs w:val="12"/>
                <w:color w:val="auto"/>
              </w:rPr>
            </w:pPr>
          </w:p>
        </w:tc>
      </w:tr>
      <w:tr>
        <w:trPr>
          <w:trHeight w:val="148"/>
        </w:trPr>
        <w:tc>
          <w:tcPr>
            <w:tcW w:w="1660" w:type="dxa"/>
            <w:vAlign w:val="bottom"/>
          </w:tcPr>
          <w:p>
            <w:pPr>
              <w:ind w:left="300"/>
              <w:spacing w:after="0" w:line="149" w:lineRule="exact"/>
              <w:rPr>
                <w:sz w:val="20"/>
                <w:szCs w:val="20"/>
                <w:color w:val="auto"/>
              </w:rPr>
            </w:pPr>
            <w:r>
              <w:rPr>
                <w:rFonts w:ascii="Arial" w:cs="Arial" w:eastAsia="Arial" w:hAnsi="Arial"/>
                <w:sz w:val="14"/>
                <w:szCs w:val="14"/>
                <w:color w:val="auto"/>
              </w:rPr>
              <w:t>Banking, Finance,</w:t>
            </w:r>
          </w:p>
        </w:tc>
        <w:tc>
          <w:tcPr>
            <w:tcW w:w="380" w:type="dxa"/>
            <w:vAlign w:val="bottom"/>
          </w:tcPr>
          <w:p>
            <w:pPr>
              <w:spacing w:after="0"/>
              <w:rPr>
                <w:sz w:val="12"/>
                <w:szCs w:val="12"/>
                <w:color w:val="auto"/>
              </w:rPr>
            </w:pPr>
          </w:p>
        </w:tc>
      </w:tr>
      <w:tr>
        <w:trPr>
          <w:trHeight w:val="148"/>
        </w:trPr>
        <w:tc>
          <w:tcPr>
            <w:tcW w:w="1660" w:type="dxa"/>
            <w:vAlign w:val="bottom"/>
          </w:tcPr>
          <w:p>
            <w:pPr>
              <w:ind w:left="440"/>
              <w:spacing w:after="0" w:line="149" w:lineRule="exact"/>
              <w:rPr>
                <w:sz w:val="20"/>
                <w:szCs w:val="20"/>
                <w:color w:val="auto"/>
              </w:rPr>
            </w:pPr>
            <w:r>
              <w:rPr>
                <w:rFonts w:ascii="Arial" w:cs="Arial" w:eastAsia="Arial" w:hAnsi="Arial"/>
                <w:sz w:val="14"/>
                <w:szCs w:val="14"/>
                <w:color w:val="auto"/>
              </w:rPr>
              <w:t>Insurance &amp; Real</w:t>
            </w:r>
          </w:p>
        </w:tc>
        <w:tc>
          <w:tcPr>
            <w:tcW w:w="380" w:type="dxa"/>
            <w:vAlign w:val="bottom"/>
          </w:tcPr>
          <w:p>
            <w:pPr>
              <w:spacing w:after="0"/>
              <w:rPr>
                <w:sz w:val="12"/>
                <w:szCs w:val="12"/>
                <w:color w:val="auto"/>
              </w:rPr>
            </w:pPr>
          </w:p>
        </w:tc>
      </w:tr>
      <w:tr>
        <w:trPr>
          <w:trHeight w:val="182"/>
        </w:trPr>
        <w:tc>
          <w:tcPr>
            <w:tcW w:w="1660" w:type="dxa"/>
            <w:vAlign w:val="bottom"/>
          </w:tcPr>
          <w:p>
            <w:pPr>
              <w:ind w:left="440"/>
              <w:spacing w:after="0"/>
              <w:rPr>
                <w:sz w:val="20"/>
                <w:szCs w:val="20"/>
                <w:color w:val="auto"/>
              </w:rPr>
            </w:pPr>
            <w:r>
              <w:rPr>
                <w:rFonts w:ascii="Arial" w:cs="Arial" w:eastAsia="Arial" w:hAnsi="Arial"/>
                <w:sz w:val="14"/>
                <w:szCs w:val="14"/>
                <w:color w:val="auto"/>
              </w:rPr>
              <w:t>Estate</w:t>
            </w:r>
          </w:p>
        </w:tc>
        <w:tc>
          <w:tcPr>
            <w:tcW w:w="380" w:type="dxa"/>
            <w:vAlign w:val="bottom"/>
          </w:tcPr>
          <w:p>
            <w:pPr>
              <w:spacing w:after="0"/>
              <w:rPr>
                <w:sz w:val="15"/>
                <w:szCs w:val="15"/>
                <w:color w:val="auto"/>
              </w:rPr>
            </w:pPr>
          </w:p>
        </w:tc>
      </w:tr>
      <w:tr>
        <w:trPr>
          <w:trHeight w:val="231"/>
        </w:trPr>
        <w:tc>
          <w:tcPr>
            <w:tcW w:w="1660" w:type="dxa"/>
            <w:vAlign w:val="bottom"/>
          </w:tcPr>
          <w:p>
            <w:pPr>
              <w:spacing w:after="0"/>
              <w:rPr>
                <w:sz w:val="20"/>
                <w:szCs w:val="20"/>
                <w:color w:val="auto"/>
              </w:rPr>
            </w:pPr>
            <w:r>
              <w:rPr>
                <w:rFonts w:ascii="Arial" w:cs="Arial" w:eastAsia="Arial" w:hAnsi="Arial"/>
                <w:sz w:val="14"/>
                <w:szCs w:val="14"/>
                <w:color w:val="auto"/>
              </w:rPr>
              <w:t>Theragenics Corp</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(8)(13)</w:t>
            </w:r>
          </w:p>
        </w:tc>
      </w:tr>
      <w:tr>
        <w:trPr>
          <w:trHeight w:val="154"/>
        </w:trPr>
        <w:tc>
          <w:tcPr>
            <w:tcW w:w="1660" w:type="dxa"/>
            <w:vAlign w:val="bottom"/>
          </w:tcPr>
          <w:p>
            <w:pPr>
              <w:spacing w:after="0" w:line="154" w:lineRule="exact"/>
              <w:rPr>
                <w:sz w:val="20"/>
                <w:szCs w:val="20"/>
                <w:color w:val="auto"/>
              </w:rPr>
            </w:pPr>
            <w:r>
              <w:rPr>
                <w:rFonts w:ascii="Arial" w:cs="Arial" w:eastAsia="Arial" w:hAnsi="Arial"/>
                <w:sz w:val="14"/>
                <w:szCs w:val="14"/>
                <w:color w:val="auto"/>
              </w:rPr>
              <w:t>One City Center, 11th</w:t>
            </w: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Floor, Portland, ME</w:t>
            </w:r>
          </w:p>
        </w:tc>
        <w:tc>
          <w:tcPr>
            <w:tcW w:w="380" w:type="dxa"/>
            <w:vAlign w:val="bottom"/>
          </w:tcPr>
          <w:p>
            <w:pPr>
              <w:spacing w:after="0"/>
              <w:rPr>
                <w:sz w:val="12"/>
                <w:szCs w:val="12"/>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04101</w:t>
            </w:r>
          </w:p>
        </w:tc>
        <w:tc>
          <w:tcPr>
            <w:tcW w:w="380" w:type="dxa"/>
            <w:vAlign w:val="bottom"/>
          </w:tcPr>
          <w:p>
            <w:pPr>
              <w:spacing w:after="0"/>
              <w:rPr>
                <w:sz w:val="12"/>
                <w:szCs w:val="12"/>
                <w:color w:val="auto"/>
              </w:rPr>
            </w:pPr>
          </w:p>
        </w:tc>
      </w:tr>
      <w:tr>
        <w:trPr>
          <w:trHeight w:val="148"/>
        </w:trPr>
        <w:tc>
          <w:tcPr>
            <w:tcW w:w="1660" w:type="dxa"/>
            <w:vAlign w:val="bottom"/>
          </w:tcPr>
          <w:p>
            <w:pPr>
              <w:ind w:left="300"/>
              <w:spacing w:after="0" w:line="149" w:lineRule="exact"/>
              <w:rPr>
                <w:sz w:val="20"/>
                <w:szCs w:val="20"/>
                <w:color w:val="auto"/>
              </w:rPr>
            </w:pPr>
            <w:r>
              <w:rPr>
                <w:rFonts w:ascii="Arial" w:cs="Arial" w:eastAsia="Arial" w:hAnsi="Arial"/>
                <w:sz w:val="14"/>
                <w:szCs w:val="14"/>
                <w:color w:val="auto"/>
              </w:rPr>
              <w:t>Healthcare &amp;</w:t>
            </w:r>
          </w:p>
        </w:tc>
        <w:tc>
          <w:tcPr>
            <w:tcW w:w="380" w:type="dxa"/>
            <w:vAlign w:val="bottom"/>
          </w:tcPr>
          <w:p>
            <w:pPr>
              <w:spacing w:after="0"/>
              <w:rPr>
                <w:sz w:val="12"/>
                <w:szCs w:val="12"/>
                <w:color w:val="auto"/>
              </w:rPr>
            </w:pPr>
          </w:p>
        </w:tc>
      </w:tr>
      <w:tr>
        <w:trPr>
          <w:trHeight w:val="182"/>
        </w:trPr>
        <w:tc>
          <w:tcPr>
            <w:tcW w:w="1660" w:type="dxa"/>
            <w:vAlign w:val="bottom"/>
          </w:tcPr>
          <w:p>
            <w:pPr>
              <w:ind w:left="440"/>
              <w:spacing w:after="0"/>
              <w:rPr>
                <w:sz w:val="20"/>
                <w:szCs w:val="20"/>
                <w:color w:val="auto"/>
              </w:rPr>
            </w:pPr>
            <w:r>
              <w:rPr>
                <w:rFonts w:ascii="Arial" w:cs="Arial" w:eastAsia="Arial" w:hAnsi="Arial"/>
                <w:sz w:val="14"/>
                <w:szCs w:val="14"/>
                <w:color w:val="auto"/>
              </w:rPr>
              <w:t>Pharmaceuticals</w:t>
            </w:r>
          </w:p>
        </w:tc>
        <w:tc>
          <w:tcPr>
            <w:tcW w:w="380" w:type="dxa"/>
            <w:vAlign w:val="bottom"/>
          </w:tcPr>
          <w:p>
            <w:pPr>
              <w:spacing w:after="0"/>
              <w:rPr>
                <w:sz w:val="15"/>
                <w:szCs w:val="15"/>
                <w:color w:val="auto"/>
              </w:rPr>
            </w:pPr>
          </w:p>
        </w:tc>
      </w:tr>
      <w:tr>
        <w:trPr>
          <w:trHeight w:val="231"/>
        </w:trPr>
        <w:tc>
          <w:tcPr>
            <w:tcW w:w="1660" w:type="dxa"/>
            <w:vAlign w:val="bottom"/>
          </w:tcPr>
          <w:p>
            <w:pPr>
              <w:spacing w:after="0"/>
              <w:rPr>
                <w:sz w:val="20"/>
                <w:szCs w:val="20"/>
                <w:color w:val="auto"/>
              </w:rPr>
            </w:pPr>
            <w:r>
              <w:rPr>
                <w:rFonts w:ascii="Arial" w:cs="Arial" w:eastAsia="Arial" w:hAnsi="Arial"/>
                <w:sz w:val="14"/>
                <w:szCs w:val="14"/>
                <w:color w:val="auto"/>
              </w:rPr>
              <w:t>TLE Holdings, LLC</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(8)(13)</w:t>
            </w:r>
          </w:p>
        </w:tc>
      </w:tr>
      <w:tr>
        <w:trPr>
          <w:trHeight w:val="146"/>
        </w:trPr>
        <w:tc>
          <w:tcPr>
            <w:tcW w:w="1660" w:type="dxa"/>
            <w:vAlign w:val="bottom"/>
          </w:tcPr>
          <w:p>
            <w:pPr>
              <w:spacing w:after="0" w:line="146" w:lineRule="exact"/>
              <w:rPr>
                <w:sz w:val="20"/>
                <w:szCs w:val="20"/>
                <w:color w:val="auto"/>
              </w:rPr>
            </w:pPr>
            <w:r>
              <w:rPr>
                <w:rFonts w:ascii="Arial" w:cs="Arial" w:eastAsia="Arial" w:hAnsi="Arial"/>
                <w:sz w:val="14"/>
                <w:szCs w:val="14"/>
                <w:color w:val="auto"/>
              </w:rPr>
              <w:t>3916 Westpoint Blvd.</w:t>
            </w: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7"/>
        </w:trPr>
        <w:tc>
          <w:tcPr>
            <w:tcW w:w="1660" w:type="dxa"/>
            <w:vAlign w:val="bottom"/>
          </w:tcPr>
          <w:p>
            <w:pPr>
              <w:ind w:left="160"/>
              <w:spacing w:after="0" w:line="157" w:lineRule="exact"/>
              <w:rPr>
                <w:sz w:val="20"/>
                <w:szCs w:val="20"/>
                <w:color w:val="auto"/>
              </w:rPr>
            </w:pPr>
            <w:r>
              <w:rPr>
                <w:rFonts w:ascii="Arial" w:cs="Arial" w:eastAsia="Arial" w:hAnsi="Arial"/>
                <w:sz w:val="14"/>
                <w:szCs w:val="14"/>
                <w:color w:val="auto"/>
              </w:rPr>
              <w:t>Winston-Salem, NC</w:t>
            </w:r>
          </w:p>
        </w:tc>
        <w:tc>
          <w:tcPr>
            <w:tcW w:w="38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27103</w:t>
            </w:r>
          </w:p>
        </w:tc>
        <w:tc>
          <w:tcPr>
            <w:tcW w:w="380" w:type="dxa"/>
            <w:vAlign w:val="bottom"/>
          </w:tcPr>
          <w:p>
            <w:pPr>
              <w:spacing w:after="0"/>
              <w:rPr>
                <w:sz w:val="12"/>
                <w:szCs w:val="12"/>
                <w:color w:val="auto"/>
              </w:rPr>
            </w:pPr>
          </w:p>
        </w:tc>
      </w:tr>
      <w:tr>
        <w:trPr>
          <w:trHeight w:val="148"/>
        </w:trPr>
        <w:tc>
          <w:tcPr>
            <w:tcW w:w="1660" w:type="dxa"/>
            <w:vAlign w:val="bottom"/>
          </w:tcPr>
          <w:p>
            <w:pPr>
              <w:ind w:left="300"/>
              <w:spacing w:after="0" w:line="149" w:lineRule="exact"/>
              <w:rPr>
                <w:sz w:val="20"/>
                <w:szCs w:val="20"/>
                <w:color w:val="auto"/>
              </w:rPr>
            </w:pPr>
            <w:r>
              <w:rPr>
                <w:rFonts w:ascii="Arial" w:cs="Arial" w:eastAsia="Arial" w:hAnsi="Arial"/>
                <w:sz w:val="14"/>
                <w:szCs w:val="14"/>
                <w:color w:val="auto"/>
                <w:w w:val="97"/>
              </w:rPr>
              <w:t>Healthcare, Education</w:t>
            </w:r>
          </w:p>
        </w:tc>
        <w:tc>
          <w:tcPr>
            <w:tcW w:w="380" w:type="dxa"/>
            <w:vAlign w:val="bottom"/>
          </w:tcPr>
          <w:p>
            <w:pPr>
              <w:spacing w:after="0"/>
              <w:rPr>
                <w:sz w:val="12"/>
                <w:szCs w:val="12"/>
                <w:color w:val="auto"/>
              </w:rPr>
            </w:pPr>
          </w:p>
        </w:tc>
      </w:tr>
      <w:tr>
        <w:trPr>
          <w:trHeight w:val="182"/>
        </w:trPr>
        <w:tc>
          <w:tcPr>
            <w:tcW w:w="1660" w:type="dxa"/>
            <w:vAlign w:val="bottom"/>
          </w:tcPr>
          <w:p>
            <w:pPr>
              <w:ind w:left="440"/>
              <w:spacing w:after="0"/>
              <w:rPr>
                <w:sz w:val="20"/>
                <w:szCs w:val="20"/>
                <w:color w:val="auto"/>
              </w:rPr>
            </w:pPr>
            <w:r>
              <w:rPr>
                <w:rFonts w:ascii="Arial" w:cs="Arial" w:eastAsia="Arial" w:hAnsi="Arial"/>
                <w:sz w:val="14"/>
                <w:szCs w:val="14"/>
                <w:color w:val="auto"/>
              </w:rPr>
              <w:t>and Childcare</w:t>
            </w:r>
          </w:p>
        </w:tc>
        <w:tc>
          <w:tcPr>
            <w:tcW w:w="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2200"/>
              <w:spacing w:after="0"/>
              <w:rPr>
                <w:sz w:val="20"/>
                <w:szCs w:val="20"/>
                <w:color w:val="auto"/>
              </w:rPr>
            </w:pPr>
            <w:r>
              <w:rPr>
                <w:rFonts w:ascii="Arial" w:cs="Arial" w:eastAsia="Arial" w:hAnsi="Arial"/>
                <w:sz w:val="14"/>
                <w:szCs w:val="14"/>
                <w:b w:val="1"/>
                <w:bCs w:val="1"/>
                <w:color w:val="auto"/>
              </w:rPr>
              <w:t>Investment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Amortized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516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Acquisition</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Fair Value</w:t>
            </w:r>
            <w:r>
              <w:rPr>
                <w:rFonts w:ascii="Arial" w:cs="Arial" w:eastAsia="Arial" w:hAnsi="Arial"/>
                <w:sz w:val="12"/>
                <w:szCs w:val="12"/>
                <w:b w:val="1"/>
                <w:bCs w:val="1"/>
                <w:color w:val="auto"/>
                <w:w w:val="92"/>
              </w:rPr>
              <w:t>2</w:t>
            </w:r>
          </w:p>
        </w:tc>
        <w:tc>
          <w:tcPr>
            <w:tcW w:w="5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5"/>
        </w:trPr>
        <w:tc>
          <w:tcPr>
            <w:tcW w:w="5100" w:type="dxa"/>
            <w:vAlign w:val="bottom"/>
          </w:tcPr>
          <w:p>
            <w:pPr>
              <w:ind w:left="1720"/>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tc>
        <w:tc>
          <w:tcPr>
            <w:tcW w:w="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434"/>
        </w:trPr>
        <w:tc>
          <w:tcPr>
            <w:tcW w:w="5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Senior Unsecured Bond — 10.00%—02/2022—TankConvert</w:t>
            </w: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rPr>
                <w:sz w:val="20"/>
                <w:szCs w:val="20"/>
                <w:color w:val="auto"/>
              </w:rPr>
            </w:pPr>
            <w:r>
              <w:rPr>
                <w:rFonts w:ascii="Arial" w:cs="Arial" w:eastAsia="Arial" w:hAnsi="Arial"/>
                <w:sz w:val="14"/>
                <w:szCs w:val="14"/>
                <w:color w:val="auto"/>
              </w:rPr>
              <w:t>10.0% PIK, Due 2/22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2/15/2019</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507,044</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416,170</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42,845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87"/>
        </w:trPr>
        <w:tc>
          <w:tcPr>
            <w:tcW w:w="5160" w:type="dxa"/>
            <w:vAlign w:val="bottom"/>
            <w:gridSpan w:val="2"/>
          </w:tcPr>
          <w:p>
            <w:pPr>
              <w:spacing w:after="0"/>
              <w:rPr>
                <w:sz w:val="20"/>
                <w:szCs w:val="20"/>
                <w:color w:val="auto"/>
              </w:rPr>
            </w:pPr>
            <w:r>
              <w:rPr>
                <w:rFonts w:ascii="Arial" w:cs="Arial" w:eastAsia="Arial" w:hAnsi="Arial"/>
                <w:sz w:val="14"/>
                <w:szCs w:val="14"/>
                <w:color w:val="auto"/>
              </w:rPr>
              <w:t>Senior Secured Loan — Delayed Draw Term Loan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rPr>
                <w:sz w:val="20"/>
                <w:szCs w:val="20"/>
                <w:color w:val="auto"/>
              </w:rPr>
            </w:pPr>
            <w:r>
              <w:rPr>
                <w:rFonts w:ascii="Arial" w:cs="Arial" w:eastAsia="Arial" w:hAnsi="Arial"/>
                <w:sz w:val="14"/>
                <w:szCs w:val="14"/>
                <w:color w:val="auto"/>
              </w:rPr>
              <w:t>0.5% Cash, Due 12/25</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5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6/3/2021</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(49,152)</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(100,000)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rPr>
                <w:sz w:val="20"/>
                <w:szCs w:val="20"/>
                <w:color w:val="auto"/>
              </w:rPr>
            </w:pPr>
            <w:r>
              <w:rPr>
                <w:rFonts w:ascii="Arial" w:cs="Arial" w:eastAsia="Arial" w:hAnsi="Arial"/>
                <w:sz w:val="14"/>
                <w:szCs w:val="14"/>
                <w:color w:val="auto"/>
                <w:w w:val="96"/>
              </w:rPr>
              <w:t>11.0% Cash, 0.5% PIK, 1 Month Libor (1.00%) + 10.00%; Libor Floor 1.00%, Due 8/24</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8/24/2017</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12,521,550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12,402,666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11,071,555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668"/>
        </w:trPr>
        <w:tc>
          <w:tcPr>
            <w:tcW w:w="516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rPr>
                <w:sz w:val="20"/>
                <w:szCs w:val="20"/>
                <w:color w:val="auto"/>
              </w:rPr>
            </w:pPr>
            <w:r>
              <w:rPr>
                <w:rFonts w:ascii="Arial" w:cs="Arial" w:eastAsia="Arial" w:hAnsi="Arial"/>
                <w:sz w:val="14"/>
                <w:szCs w:val="14"/>
                <w:color w:val="auto"/>
              </w:rPr>
              <w:t>6.9% Cash, 1 Month Libor (0.10%) + 6.75%, Due 7/26</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5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12/18/2019</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300,000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275,082</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302,282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520"/>
        </w:trPr>
        <w:tc>
          <w:tcPr>
            <w:tcW w:w="5160" w:type="dxa"/>
            <w:vAlign w:val="bottom"/>
            <w:gridSpan w:val="2"/>
          </w:tcPr>
          <w:p>
            <w:pPr>
              <w:spacing w:after="0"/>
              <w:rPr>
                <w:sz w:val="20"/>
                <w:szCs w:val="20"/>
                <w:color w:val="auto"/>
              </w:rPr>
            </w:pPr>
            <w:r>
              <w:rPr>
                <w:rFonts w:ascii="Arial" w:cs="Arial" w:eastAsia="Arial" w:hAnsi="Arial"/>
                <w:sz w:val="14"/>
                <w:szCs w:val="14"/>
                <w:color w:val="auto"/>
              </w:rPr>
              <w:t>Senior Secured Loan — First Lien Term Loan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rPr>
                <w:sz w:val="20"/>
                <w:szCs w:val="20"/>
                <w:color w:val="auto"/>
              </w:rPr>
            </w:pPr>
            <w:r>
              <w:rPr>
                <w:rFonts w:ascii="Arial" w:cs="Arial" w:eastAsia="Arial" w:hAnsi="Arial"/>
                <w:sz w:val="14"/>
                <w:szCs w:val="14"/>
                <w:color w:val="auto"/>
              </w:rPr>
              <w:t>9.5% Cash, 3 Month Libor (1.00%) + 8.50%; Libor Floor 1.00%, Due 5/24</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10/28/2020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7,643,935</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6,691,536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7,465,831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20"/>
        </w:trPr>
        <w:tc>
          <w:tcPr>
            <w:tcW w:w="51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rPr>
                <w:sz w:val="20"/>
                <w:szCs w:val="20"/>
                <w:color w:val="auto"/>
              </w:rPr>
            </w:pPr>
            <w:r>
              <w:rPr>
                <w:rFonts w:ascii="Arial" w:cs="Arial" w:eastAsia="Arial" w:hAnsi="Arial"/>
                <w:sz w:val="14"/>
                <w:szCs w:val="14"/>
                <w:color w:val="auto"/>
              </w:rPr>
              <w:t>7.0% Cash, 6 Month Libor (1.00%) + 6.00%; Libor Floor 1.00%, Due 6/24</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5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6/27/2019</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5,602,279</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5,586,603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5,542,895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-3891915</wp:posOffset>
            </wp:positionV>
            <wp:extent cx="7132320" cy="4800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-2606040</wp:posOffset>
            </wp:positionV>
            <wp:extent cx="7132320" cy="4800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-1226185</wp:posOffset>
            </wp:positionV>
            <wp:extent cx="7132320" cy="5740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2040" w:space="200"/>
            <w:col w:w="900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TLE Holdings, LLC</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99"/>
              </w:rPr>
              <w:t>(8)(13)</w:t>
            </w:r>
          </w:p>
        </w:tc>
        <w:tc>
          <w:tcPr>
            <w:tcW w:w="6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3916 Westpoint Blvd.</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w:t>
            </w:r>
          </w:p>
        </w:tc>
        <w:tc>
          <w:tcPr>
            <w:tcW w:w="6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Winston-Salem, NC</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(21)</w:t>
            </w:r>
          </w:p>
        </w:tc>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Senior Secured Loan — Delayed Draw Term Loan</w:t>
            </w: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27103</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(23)</w:t>
            </w:r>
          </w:p>
        </w:tc>
        <w:tc>
          <w:tcPr>
            <w:tcW w:w="60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7.0% Cash, 6 Month Libor (1.00%) + 6.00%; Libor Floor 1.00%, Due 6/24</w:t>
            </w:r>
          </w:p>
        </w:tc>
        <w:tc>
          <w:tcPr>
            <w:tcW w:w="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7"/>
              </w:rPr>
              <w:t>Healthcare, Education</w:t>
            </w:r>
          </w:p>
        </w:tc>
        <w:tc>
          <w:tcPr>
            <w:tcW w:w="480" w:type="dxa"/>
            <w:vAlign w:val="bottom"/>
            <w:shd w:val="clear" w:color="auto" w:fill="CCEEFF"/>
          </w:tcPr>
          <w:p>
            <w:pPr>
              <w:spacing w:after="0"/>
              <w:rPr>
                <w:sz w:val="12"/>
                <w:szCs w:val="12"/>
                <w:color w:val="auto"/>
              </w:rPr>
            </w:pPr>
          </w:p>
        </w:tc>
        <w:tc>
          <w:tcPr>
            <w:tcW w:w="6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and Childcare</w:t>
            </w:r>
          </w:p>
        </w:tc>
        <w:tc>
          <w:tcPr>
            <w:tcW w:w="480" w:type="dxa"/>
            <w:vAlign w:val="bottom"/>
            <w:shd w:val="clear" w:color="auto" w:fill="CCEEFF"/>
          </w:tcPr>
          <w:p>
            <w:pPr>
              <w:spacing w:after="0"/>
              <w:rPr>
                <w:sz w:val="15"/>
                <w:szCs w:val="15"/>
                <w:color w:val="auto"/>
              </w:rPr>
            </w:pPr>
          </w:p>
        </w:tc>
        <w:tc>
          <w:tcPr>
            <w:tcW w:w="6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6/27/2019</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739,107</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738,077</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731,253</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Arial" w:cs="Arial" w:eastAsia="Arial" w:hAnsi="Arial"/>
                <w:sz w:val="14"/>
                <w:szCs w:val="14"/>
                <w:color w:val="auto"/>
              </w:rPr>
              <w:t>Travelport Finance</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(3)(13)</w:t>
            </w:r>
          </w:p>
        </w:tc>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60"/>
              <w:spacing w:after="0" w:line="154" w:lineRule="exact"/>
              <w:rPr>
                <w:sz w:val="20"/>
                <w:szCs w:val="20"/>
                <w:color w:val="auto"/>
              </w:rPr>
            </w:pPr>
            <w:r>
              <w:rPr>
                <w:rFonts w:ascii="Arial" w:cs="Arial" w:eastAsia="Arial" w:hAnsi="Arial"/>
                <w:sz w:val="14"/>
                <w:szCs w:val="14"/>
                <w:color w:val="auto"/>
              </w:rPr>
              <w:t>(Luxembourg) S.A R.L.</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6040" w:type="dxa"/>
            <w:vAlign w:val="bottom"/>
            <w:vMerge w:val="restart"/>
          </w:tcPr>
          <w:p>
            <w:pPr>
              <w:ind w:left="100"/>
              <w:spacing w:after="0"/>
              <w:rPr>
                <w:sz w:val="20"/>
                <w:szCs w:val="20"/>
                <w:color w:val="auto"/>
              </w:rPr>
            </w:pPr>
            <w:r>
              <w:rPr>
                <w:rFonts w:ascii="Arial" w:cs="Arial" w:eastAsia="Arial" w:hAnsi="Arial"/>
                <w:sz w:val="14"/>
                <w:szCs w:val="14"/>
                <w:color w:val="auto"/>
              </w:rPr>
              <w:t>Senior Secured Loan — Term Loan</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660" w:type="dxa"/>
            <w:vAlign w:val="bottom"/>
            <w:vMerge w:val="restart"/>
          </w:tcPr>
          <w:p>
            <w:pPr>
              <w:spacing w:after="0" w:line="149" w:lineRule="exact"/>
              <w:rPr>
                <w:sz w:val="20"/>
                <w:szCs w:val="20"/>
                <w:color w:val="auto"/>
              </w:rPr>
            </w:pPr>
            <w:r>
              <w:rPr>
                <w:rFonts w:ascii="Arial" w:cs="Arial" w:eastAsia="Arial" w:hAnsi="Arial"/>
                <w:sz w:val="14"/>
                <w:szCs w:val="14"/>
                <w:color w:val="auto"/>
                <w:w w:val="98"/>
              </w:rPr>
              <w:t>5203 Bristol Industrial Way</w:t>
            </w:r>
          </w:p>
        </w:tc>
        <w:tc>
          <w:tcPr>
            <w:tcW w:w="480" w:type="dxa"/>
            <w:vAlign w:val="bottom"/>
          </w:tcPr>
          <w:p>
            <w:pPr>
              <w:spacing w:after="0"/>
              <w:rPr>
                <w:sz w:val="5"/>
                <w:szCs w:val="5"/>
                <w:color w:val="auto"/>
              </w:rPr>
            </w:pPr>
          </w:p>
        </w:tc>
        <w:tc>
          <w:tcPr>
            <w:tcW w:w="60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040" w:type="dxa"/>
            <w:vAlign w:val="bottom"/>
            <w:vMerge w:val="restart"/>
          </w:tcPr>
          <w:p>
            <w:pPr>
              <w:ind w:left="100"/>
              <w:spacing w:after="0"/>
              <w:rPr>
                <w:sz w:val="20"/>
                <w:szCs w:val="20"/>
                <w:color w:val="auto"/>
              </w:rPr>
            </w:pPr>
            <w:r>
              <w:rPr>
                <w:rFonts w:ascii="Arial" w:cs="Arial" w:eastAsia="Arial" w:hAnsi="Arial"/>
                <w:sz w:val="14"/>
                <w:szCs w:val="14"/>
                <w:color w:val="auto"/>
              </w:rPr>
              <w:t>5.2% Cash, 3 Month Libor (0.20%) + 5.00%, Due 5/26</w:t>
            </w: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66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Buford, GA 30518</w:t>
            </w:r>
          </w:p>
        </w:tc>
        <w:tc>
          <w:tcPr>
            <w:tcW w:w="480" w:type="dxa"/>
            <w:vAlign w:val="bottom"/>
          </w:tcPr>
          <w:p>
            <w:pPr>
              <w:spacing w:after="0"/>
              <w:rPr>
                <w:sz w:val="8"/>
                <w:szCs w:val="8"/>
                <w:color w:val="auto"/>
              </w:rPr>
            </w:pPr>
          </w:p>
        </w:tc>
        <w:tc>
          <w:tcPr>
            <w:tcW w:w="60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6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6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480" w:type="dxa"/>
            <w:vAlign w:val="bottom"/>
          </w:tcPr>
          <w:p>
            <w:pPr>
              <w:spacing w:after="0"/>
              <w:rPr>
                <w:sz w:val="17"/>
                <w:szCs w:val="17"/>
                <w:color w:val="auto"/>
              </w:rPr>
            </w:pPr>
          </w:p>
        </w:tc>
        <w:tc>
          <w:tcPr>
            <w:tcW w:w="6040" w:type="dxa"/>
            <w:vAlign w:val="bottom"/>
          </w:tcPr>
          <w:p>
            <w:pPr>
              <w:jc w:val="right"/>
              <w:ind w:right="8"/>
              <w:spacing w:after="0"/>
              <w:rPr>
                <w:sz w:val="20"/>
                <w:szCs w:val="20"/>
                <w:color w:val="auto"/>
              </w:rPr>
            </w:pPr>
            <w:r>
              <w:rPr>
                <w:rFonts w:ascii="Arial" w:cs="Arial" w:eastAsia="Arial" w:hAnsi="Arial"/>
                <w:sz w:val="14"/>
                <w:szCs w:val="14"/>
                <w:color w:val="auto"/>
              </w:rPr>
              <w:t>3/31/2021</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100,742</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93"/>
        </w:trPr>
        <w:tc>
          <w:tcPr>
            <w:tcW w:w="1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Triangle Home Fashions</w:t>
            </w:r>
          </w:p>
        </w:tc>
        <w:tc>
          <w:tcPr>
            <w:tcW w:w="480" w:type="dxa"/>
            <w:vAlign w:val="bottom"/>
            <w:shd w:val="clear" w:color="auto" w:fill="CCEEFF"/>
          </w:tcPr>
          <w:p>
            <w:pPr>
              <w:jc w:val="right"/>
              <w:ind w:right="39"/>
              <w:spacing w:after="0" w:line="124" w:lineRule="exact"/>
              <w:rPr>
                <w:sz w:val="20"/>
                <w:szCs w:val="20"/>
                <w:color w:val="auto"/>
              </w:rPr>
            </w:pPr>
            <w:r>
              <w:rPr>
                <w:rFonts w:ascii="Arial" w:cs="Arial" w:eastAsia="Arial" w:hAnsi="Arial"/>
                <w:sz w:val="12"/>
                <w:szCs w:val="12"/>
                <w:color w:val="auto"/>
                <w:w w:val="99"/>
              </w:rPr>
              <w:t>(8)(13)</w:t>
            </w:r>
          </w:p>
        </w:tc>
        <w:tc>
          <w:tcPr>
            <w:tcW w:w="60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LLC</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w:t>
            </w:r>
          </w:p>
        </w:tc>
        <w:tc>
          <w:tcPr>
            <w:tcW w:w="6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210 Hillsboro Technology</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(20)</w:t>
            </w:r>
          </w:p>
        </w:tc>
        <w:tc>
          <w:tcPr>
            <w:tcW w:w="60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Senior Secured Loan — First Lien Term Loan</w:t>
            </w:r>
          </w:p>
        </w:tc>
        <w:tc>
          <w:tcPr>
            <w:tcW w:w="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660" w:type="dxa"/>
            <w:vAlign w:val="bottom"/>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Drive, Deerfield Beach,</w:t>
            </w:r>
          </w:p>
        </w:tc>
        <w:tc>
          <w:tcPr>
            <w:tcW w:w="480" w:type="dxa"/>
            <w:vAlign w:val="bottom"/>
            <w:shd w:val="clear" w:color="auto" w:fill="CCEEFF"/>
          </w:tcPr>
          <w:p>
            <w:pPr>
              <w:spacing w:after="0"/>
              <w:rPr>
                <w:sz w:val="5"/>
                <w:szCs w:val="5"/>
                <w:color w:val="auto"/>
              </w:rPr>
            </w:pPr>
          </w:p>
        </w:tc>
        <w:tc>
          <w:tcPr>
            <w:tcW w:w="604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660" w:type="dxa"/>
            <w:vAlign w:val="bottom"/>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4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6.8% Cash, 1 Month Libor (1.00%) + 5.75%; Libor Floor 1.00%, Due 3/23</w:t>
            </w:r>
          </w:p>
        </w:tc>
        <w:tc>
          <w:tcPr>
            <w:tcW w:w="8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660" w:type="dxa"/>
            <w:vAlign w:val="bottom"/>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FL 33441</w:t>
            </w:r>
          </w:p>
        </w:tc>
        <w:tc>
          <w:tcPr>
            <w:tcW w:w="480" w:type="dxa"/>
            <w:vAlign w:val="bottom"/>
            <w:shd w:val="clear" w:color="auto" w:fill="CCEEFF"/>
          </w:tcPr>
          <w:p>
            <w:pPr>
              <w:spacing w:after="0"/>
              <w:rPr>
                <w:sz w:val="8"/>
                <w:szCs w:val="8"/>
                <w:color w:val="auto"/>
              </w:rPr>
            </w:pPr>
          </w:p>
        </w:tc>
        <w:tc>
          <w:tcPr>
            <w:tcW w:w="6040" w:type="dxa"/>
            <w:vAlign w:val="bottom"/>
            <w:vMerge w:val="continue"/>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660" w:type="dxa"/>
            <w:vAlign w:val="bottom"/>
            <w:vMerge w:val="continue"/>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60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Consumer goods:</w:t>
            </w:r>
          </w:p>
        </w:tc>
        <w:tc>
          <w:tcPr>
            <w:tcW w:w="480" w:type="dxa"/>
            <w:vAlign w:val="bottom"/>
            <w:shd w:val="clear" w:color="auto" w:fill="CCEEFF"/>
          </w:tcPr>
          <w:p>
            <w:pPr>
              <w:spacing w:after="0"/>
              <w:rPr>
                <w:sz w:val="12"/>
                <w:szCs w:val="12"/>
                <w:color w:val="auto"/>
              </w:rPr>
            </w:pPr>
          </w:p>
        </w:tc>
        <w:tc>
          <w:tcPr>
            <w:tcW w:w="6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Durable</w:t>
            </w:r>
          </w:p>
        </w:tc>
        <w:tc>
          <w:tcPr>
            <w:tcW w:w="480" w:type="dxa"/>
            <w:vAlign w:val="bottom"/>
            <w:shd w:val="clear" w:color="auto" w:fill="CCEEFF"/>
          </w:tcPr>
          <w:p>
            <w:pPr>
              <w:spacing w:after="0"/>
              <w:rPr>
                <w:sz w:val="15"/>
                <w:szCs w:val="15"/>
                <w:color w:val="auto"/>
              </w:rPr>
            </w:pPr>
          </w:p>
        </w:tc>
        <w:tc>
          <w:tcPr>
            <w:tcW w:w="6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10/28/2020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10,500,000</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9,512,881</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10,500,000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Arial" w:cs="Arial" w:eastAsia="Arial" w:hAnsi="Arial"/>
                <w:sz w:val="14"/>
                <w:szCs w:val="14"/>
                <w:color w:val="auto"/>
                <w:w w:val="99"/>
              </w:rPr>
              <w:t>Trident Technologies, LLC</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w w:val="99"/>
              </w:rPr>
              <w:t>(8)(13)</w:t>
            </w:r>
          </w:p>
        </w:tc>
        <w:tc>
          <w:tcPr>
            <w:tcW w:w="6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660" w:type="dxa"/>
            <w:vAlign w:val="bottom"/>
          </w:tcPr>
          <w:p>
            <w:pPr>
              <w:spacing w:after="0" w:line="154" w:lineRule="exact"/>
              <w:rPr>
                <w:sz w:val="20"/>
                <w:szCs w:val="20"/>
                <w:color w:val="auto"/>
              </w:rPr>
            </w:pPr>
            <w:r>
              <w:rPr>
                <w:rFonts w:ascii="Arial" w:cs="Arial" w:eastAsia="Arial" w:hAnsi="Arial"/>
                <w:sz w:val="14"/>
                <w:szCs w:val="14"/>
                <w:color w:val="auto"/>
                <w:w w:val="94"/>
              </w:rPr>
              <w:t>21973 Commerce Parkway,</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6040" w:type="dxa"/>
            <w:vAlign w:val="bottom"/>
          </w:tcPr>
          <w:p>
            <w:pPr>
              <w:ind w:left="100"/>
              <w:spacing w:after="0" w:line="154" w:lineRule="exact"/>
              <w:rPr>
                <w:sz w:val="20"/>
                <w:szCs w:val="20"/>
                <w:color w:val="auto"/>
              </w:rPr>
            </w:pPr>
            <w:r>
              <w:rPr>
                <w:rFonts w:ascii="Arial" w:cs="Arial" w:eastAsia="Arial" w:hAnsi="Arial"/>
                <w:sz w:val="14"/>
                <w:szCs w:val="14"/>
                <w:color w:val="auto"/>
              </w:rPr>
              <w:t>Senior Secured Loan — First Lien Term Loan</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Strongsville, OH 44149</w:t>
            </w:r>
          </w:p>
        </w:tc>
        <w:tc>
          <w:tcPr>
            <w:tcW w:w="480" w:type="dxa"/>
            <w:vAlign w:val="bottom"/>
          </w:tcPr>
          <w:p>
            <w:pPr>
              <w:spacing w:after="0"/>
              <w:rPr>
                <w:sz w:val="12"/>
                <w:szCs w:val="12"/>
                <w:color w:val="auto"/>
              </w:rPr>
            </w:pPr>
          </w:p>
        </w:tc>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7.5% Cash, 3 Month Libor (1.50%) + 6.00%; Libor Floor 1.50%, Due 12/25</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60" w:type="dxa"/>
            <w:vAlign w:val="bottom"/>
          </w:tcPr>
          <w:p>
            <w:pPr>
              <w:ind w:left="300"/>
              <w:spacing w:after="0"/>
              <w:rPr>
                <w:sz w:val="20"/>
                <w:szCs w:val="20"/>
                <w:color w:val="auto"/>
              </w:rPr>
            </w:pPr>
            <w:r>
              <w:rPr>
                <w:rFonts w:ascii="Arial" w:cs="Arial" w:eastAsia="Arial" w:hAnsi="Arial"/>
                <w:sz w:val="14"/>
                <w:szCs w:val="14"/>
                <w:color w:val="auto"/>
              </w:rPr>
              <w:t>Services: Business</w:t>
            </w:r>
          </w:p>
        </w:tc>
        <w:tc>
          <w:tcPr>
            <w:tcW w:w="480" w:type="dxa"/>
            <w:vAlign w:val="bottom"/>
          </w:tcPr>
          <w:p>
            <w:pPr>
              <w:spacing w:after="0"/>
              <w:rPr>
                <w:sz w:val="17"/>
                <w:szCs w:val="17"/>
                <w:color w:val="auto"/>
              </w:rPr>
            </w:pPr>
          </w:p>
        </w:tc>
        <w:tc>
          <w:tcPr>
            <w:tcW w:w="6040" w:type="dxa"/>
            <w:vAlign w:val="bottom"/>
          </w:tcPr>
          <w:p>
            <w:pPr>
              <w:jc w:val="right"/>
              <w:ind w:right="8"/>
              <w:spacing w:after="0"/>
              <w:rPr>
                <w:sz w:val="20"/>
                <w:szCs w:val="20"/>
                <w:color w:val="auto"/>
              </w:rPr>
            </w:pPr>
            <w:r>
              <w:rPr>
                <w:rFonts w:ascii="Arial" w:cs="Arial" w:eastAsia="Arial" w:hAnsi="Arial"/>
                <w:sz w:val="14"/>
                <w:szCs w:val="14"/>
                <w:color w:val="auto"/>
              </w:rPr>
              <w:t>5/10/2021</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1,428,571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1,418,138</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1,417,857</w:t>
            </w:r>
          </w:p>
        </w:tc>
        <w:tc>
          <w:tcPr>
            <w:tcW w:w="52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93"/>
        </w:trPr>
        <w:tc>
          <w:tcPr>
            <w:tcW w:w="1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TronAir Parent Inc.</w:t>
            </w:r>
          </w:p>
        </w:tc>
        <w:tc>
          <w:tcPr>
            <w:tcW w:w="480" w:type="dxa"/>
            <w:vAlign w:val="bottom"/>
            <w:shd w:val="clear" w:color="auto" w:fill="CCEEFF"/>
          </w:tcPr>
          <w:p>
            <w:pPr>
              <w:jc w:val="right"/>
              <w:ind w:right="39"/>
              <w:spacing w:after="0" w:line="124" w:lineRule="exact"/>
              <w:rPr>
                <w:sz w:val="20"/>
                <w:szCs w:val="20"/>
                <w:color w:val="auto"/>
              </w:rPr>
            </w:pPr>
            <w:r>
              <w:rPr>
                <w:rFonts w:ascii="Arial" w:cs="Arial" w:eastAsia="Arial" w:hAnsi="Arial"/>
                <w:sz w:val="12"/>
                <w:szCs w:val="12"/>
                <w:color w:val="auto"/>
                <w:w w:val="99"/>
              </w:rPr>
              <w:t>(8)(13)</w:t>
            </w:r>
          </w:p>
        </w:tc>
        <w:tc>
          <w:tcPr>
            <w:tcW w:w="60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6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210 Hillsboro Technology</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w:t>
            </w:r>
          </w:p>
        </w:tc>
        <w:tc>
          <w:tcPr>
            <w:tcW w:w="6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Drive, Deerfield Beach,</w:t>
            </w:r>
          </w:p>
        </w:tc>
        <w:tc>
          <w:tcPr>
            <w:tcW w:w="480" w:type="dxa"/>
            <w:vAlign w:val="bottom"/>
            <w:shd w:val="clear" w:color="auto" w:fill="CCEEFF"/>
          </w:tcPr>
          <w:p>
            <w:pPr>
              <w:spacing w:after="0"/>
              <w:rPr>
                <w:sz w:val="12"/>
                <w:szCs w:val="12"/>
                <w:color w:val="auto"/>
              </w:rPr>
            </w:pPr>
          </w:p>
        </w:tc>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Senior Secured Loan — Initial Term Loan (First Lien)</w:t>
            </w: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FL 33441</w:t>
            </w:r>
          </w:p>
        </w:tc>
        <w:tc>
          <w:tcPr>
            <w:tcW w:w="480" w:type="dxa"/>
            <w:vAlign w:val="bottom"/>
            <w:shd w:val="clear" w:color="auto" w:fill="CCEEFF"/>
          </w:tcPr>
          <w:p>
            <w:pPr>
              <w:spacing w:after="0"/>
              <w:rPr>
                <w:sz w:val="12"/>
                <w:szCs w:val="12"/>
                <w:color w:val="auto"/>
              </w:rPr>
            </w:pPr>
          </w:p>
        </w:tc>
        <w:tc>
          <w:tcPr>
            <w:tcW w:w="6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 Cash, 3 Month Libor (1.00%) + 4.75%; Libor Floor 1.00%, Due 9/23</w:t>
            </w: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Aerospace and</w:t>
            </w:r>
          </w:p>
        </w:tc>
        <w:tc>
          <w:tcPr>
            <w:tcW w:w="480" w:type="dxa"/>
            <w:vAlign w:val="bottom"/>
            <w:shd w:val="clear" w:color="auto" w:fill="CCEEFF"/>
          </w:tcPr>
          <w:p>
            <w:pPr>
              <w:spacing w:after="0"/>
              <w:rPr>
                <w:sz w:val="12"/>
                <w:szCs w:val="12"/>
                <w:color w:val="auto"/>
              </w:rPr>
            </w:pPr>
          </w:p>
        </w:tc>
        <w:tc>
          <w:tcPr>
            <w:tcW w:w="6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Defense</w:t>
            </w:r>
          </w:p>
        </w:tc>
        <w:tc>
          <w:tcPr>
            <w:tcW w:w="480" w:type="dxa"/>
            <w:vAlign w:val="bottom"/>
            <w:shd w:val="clear" w:color="auto" w:fill="CCEEFF"/>
          </w:tcPr>
          <w:p>
            <w:pPr>
              <w:spacing w:after="0"/>
              <w:rPr>
                <w:sz w:val="15"/>
                <w:szCs w:val="15"/>
                <w:color w:val="auto"/>
              </w:rPr>
            </w:pPr>
          </w:p>
        </w:tc>
        <w:tc>
          <w:tcPr>
            <w:tcW w:w="6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9/30/2016</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919,060</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918,174</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834,782</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24"/>
        </w:trPr>
        <w:tc>
          <w:tcPr>
            <w:tcW w:w="1660" w:type="dxa"/>
            <w:vAlign w:val="bottom"/>
          </w:tcPr>
          <w:p>
            <w:pPr>
              <w:spacing w:after="0" w:line="124" w:lineRule="exact"/>
              <w:rPr>
                <w:sz w:val="20"/>
                <w:szCs w:val="20"/>
                <w:color w:val="auto"/>
              </w:rPr>
            </w:pPr>
            <w:r>
              <w:rPr>
                <w:rFonts w:ascii="Arial" w:cs="Arial" w:eastAsia="Arial" w:hAnsi="Arial"/>
                <w:sz w:val="14"/>
                <w:szCs w:val="14"/>
                <w:color w:val="auto"/>
              </w:rPr>
              <w:t>TRSO I, Inc.</w:t>
            </w:r>
          </w:p>
        </w:tc>
        <w:tc>
          <w:tcPr>
            <w:tcW w:w="480" w:type="dxa"/>
            <w:vAlign w:val="bottom"/>
          </w:tcPr>
          <w:p>
            <w:pPr>
              <w:jc w:val="right"/>
              <w:ind w:right="39"/>
              <w:spacing w:after="0" w:line="124" w:lineRule="exact"/>
              <w:rPr>
                <w:sz w:val="20"/>
                <w:szCs w:val="20"/>
                <w:color w:val="auto"/>
              </w:rPr>
            </w:pPr>
            <w:r>
              <w:rPr>
                <w:rFonts w:ascii="Arial" w:cs="Arial" w:eastAsia="Arial" w:hAnsi="Arial"/>
                <w:sz w:val="12"/>
                <w:szCs w:val="12"/>
                <w:color w:val="auto"/>
                <w:w w:val="99"/>
              </w:rPr>
              <w:t>(8)(13)</w:t>
            </w:r>
          </w:p>
        </w:tc>
        <w:tc>
          <w:tcPr>
            <w:tcW w:w="6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660" w:type="dxa"/>
            <w:vAlign w:val="bottom"/>
          </w:tcPr>
          <w:p>
            <w:pPr>
              <w:spacing w:after="0" w:line="154" w:lineRule="exact"/>
              <w:rPr>
                <w:sz w:val="20"/>
                <w:szCs w:val="20"/>
                <w:color w:val="auto"/>
              </w:rPr>
            </w:pPr>
            <w:r>
              <w:rPr>
                <w:rFonts w:ascii="Arial" w:cs="Arial" w:eastAsia="Arial" w:hAnsi="Arial"/>
                <w:sz w:val="14"/>
                <w:szCs w:val="14"/>
                <w:color w:val="auto"/>
              </w:rPr>
              <w:t>9 Nicholas Ct. Dayton, NJ</w:t>
            </w:r>
          </w:p>
        </w:tc>
        <w:tc>
          <w:tcPr>
            <w:tcW w:w="48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6040" w:type="dxa"/>
            <w:vAlign w:val="bottom"/>
          </w:tcPr>
          <w:p>
            <w:pPr>
              <w:ind w:left="100"/>
              <w:spacing w:after="0" w:line="154" w:lineRule="exact"/>
              <w:rPr>
                <w:sz w:val="20"/>
                <w:szCs w:val="20"/>
                <w:color w:val="auto"/>
              </w:rPr>
            </w:pPr>
            <w:r>
              <w:rPr>
                <w:rFonts w:ascii="Arial" w:cs="Arial" w:eastAsia="Arial" w:hAnsi="Arial"/>
                <w:sz w:val="14"/>
                <w:szCs w:val="14"/>
                <w:color w:val="auto"/>
              </w:rPr>
              <w:t>Junior Secured Loan — Term Loan (Second Lien)</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60"/>
              <w:spacing w:after="0" w:line="149" w:lineRule="exact"/>
              <w:rPr>
                <w:sz w:val="20"/>
                <w:szCs w:val="20"/>
                <w:color w:val="auto"/>
              </w:rPr>
            </w:pPr>
            <w:r>
              <w:rPr>
                <w:rFonts w:ascii="Arial" w:cs="Arial" w:eastAsia="Arial" w:hAnsi="Arial"/>
                <w:sz w:val="14"/>
                <w:szCs w:val="14"/>
                <w:color w:val="auto"/>
              </w:rPr>
              <w:t>08810</w:t>
            </w:r>
          </w:p>
        </w:tc>
        <w:tc>
          <w:tcPr>
            <w:tcW w:w="480" w:type="dxa"/>
            <w:vAlign w:val="bottom"/>
          </w:tcPr>
          <w:p>
            <w:pPr>
              <w:spacing w:after="0"/>
              <w:rPr>
                <w:sz w:val="12"/>
                <w:szCs w:val="12"/>
                <w:color w:val="auto"/>
              </w:rPr>
            </w:pPr>
          </w:p>
        </w:tc>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14.0% Cash, 1 Month Libor (1.00%) + 13.00%; Libor Floor 1.00%, Due 12/20</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60" w:type="dxa"/>
            <w:vAlign w:val="bottom"/>
          </w:tcPr>
          <w:p>
            <w:pPr>
              <w:ind w:left="300"/>
              <w:spacing w:after="0"/>
              <w:rPr>
                <w:sz w:val="20"/>
                <w:szCs w:val="20"/>
                <w:color w:val="auto"/>
              </w:rPr>
            </w:pPr>
            <w:r>
              <w:rPr>
                <w:rFonts w:ascii="Arial" w:cs="Arial" w:eastAsia="Arial" w:hAnsi="Arial"/>
                <w:sz w:val="14"/>
                <w:szCs w:val="14"/>
                <w:color w:val="auto"/>
              </w:rPr>
              <w:t>Energy: Oil &amp; Gas</w:t>
            </w:r>
          </w:p>
        </w:tc>
        <w:tc>
          <w:tcPr>
            <w:tcW w:w="480" w:type="dxa"/>
            <w:vAlign w:val="bottom"/>
          </w:tcPr>
          <w:p>
            <w:pPr>
              <w:spacing w:after="0"/>
              <w:rPr>
                <w:sz w:val="17"/>
                <w:szCs w:val="17"/>
                <w:color w:val="auto"/>
              </w:rPr>
            </w:pPr>
          </w:p>
        </w:tc>
        <w:tc>
          <w:tcPr>
            <w:tcW w:w="6040" w:type="dxa"/>
            <w:vAlign w:val="bottom"/>
          </w:tcPr>
          <w:p>
            <w:pPr>
              <w:jc w:val="right"/>
              <w:ind w:right="8"/>
              <w:spacing w:after="0"/>
              <w:rPr>
                <w:sz w:val="20"/>
                <w:szCs w:val="20"/>
                <w:color w:val="auto"/>
              </w:rPr>
            </w:pPr>
            <w:r>
              <w:rPr>
                <w:rFonts w:ascii="Arial" w:cs="Arial" w:eastAsia="Arial" w:hAnsi="Arial"/>
                <w:sz w:val="14"/>
                <w:szCs w:val="14"/>
                <w:color w:val="auto"/>
              </w:rPr>
              <w:t>12/24/2012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700,000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700,006</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700,000</w:t>
            </w: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320" w:top="459" w:right="37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Principal Business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color w:val="auto"/>
              </w:rPr>
              <w:t>TRSO II, Inc.</w:t>
            </w:r>
          </w:p>
        </w:tc>
        <w:tc>
          <w:tcPr>
            <w:tcW w:w="600" w:type="dxa"/>
            <w:vAlign w:val="bottom"/>
          </w:tcPr>
          <w:p>
            <w:pPr>
              <w:jc w:val="right"/>
              <w:spacing w:after="0"/>
              <w:rPr>
                <w:sz w:val="20"/>
                <w:szCs w:val="20"/>
                <w:color w:val="auto"/>
              </w:rPr>
            </w:pPr>
            <w:r>
              <w:rPr>
                <w:rFonts w:ascii="Arial" w:cs="Arial" w:eastAsia="Arial" w:hAnsi="Arial"/>
                <w:sz w:val="12"/>
                <w:szCs w:val="12"/>
                <w:color w:val="auto"/>
              </w:rPr>
              <w:t>(5)(8)(13)</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w w:val="93"/>
              </w:rPr>
              <w:t>One Embarcadero Center, 39th</w:t>
            </w:r>
          </w:p>
        </w:tc>
        <w:tc>
          <w:tcPr>
            <w:tcW w:w="600" w:type="dxa"/>
            <w:vAlign w:val="bottom"/>
          </w:tcPr>
          <w:p>
            <w:pPr>
              <w:spacing w:after="0"/>
              <w:rPr>
                <w:sz w:val="12"/>
                <w:szCs w:val="12"/>
                <w:color w:val="auto"/>
              </w:rPr>
            </w:pP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Floor, San Francisco, CA</w:t>
            </w:r>
          </w:p>
        </w:tc>
        <w:tc>
          <w:tcPr>
            <w:tcW w:w="600" w:type="dxa"/>
            <w:vAlign w:val="bottom"/>
          </w:tcPr>
          <w:p>
            <w:pPr>
              <w:spacing w:after="0"/>
              <w:rPr>
                <w:sz w:val="12"/>
                <w:szCs w:val="12"/>
                <w:color w:val="auto"/>
              </w:rPr>
            </w:pP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94111</w:t>
            </w:r>
          </w:p>
        </w:tc>
        <w:tc>
          <w:tcPr>
            <w:tcW w:w="600" w:type="dxa"/>
            <w:vAlign w:val="bottom"/>
          </w:tcPr>
          <w:p>
            <w:pPr>
              <w:spacing w:after="0"/>
              <w:rPr>
                <w:sz w:val="12"/>
                <w:szCs w:val="12"/>
                <w:color w:val="auto"/>
              </w:rPr>
            </w:pPr>
          </w:p>
        </w:tc>
      </w:tr>
      <w:tr>
        <w:trPr>
          <w:trHeight w:val="182"/>
        </w:trPr>
        <w:tc>
          <w:tcPr>
            <w:tcW w:w="1840" w:type="dxa"/>
            <w:vAlign w:val="bottom"/>
          </w:tcPr>
          <w:p>
            <w:pPr>
              <w:ind w:left="300"/>
              <w:spacing w:after="0"/>
              <w:rPr>
                <w:sz w:val="20"/>
                <w:szCs w:val="20"/>
                <w:color w:val="auto"/>
              </w:rPr>
            </w:pPr>
            <w:r>
              <w:rPr>
                <w:rFonts w:ascii="Arial" w:cs="Arial" w:eastAsia="Arial" w:hAnsi="Arial"/>
                <w:sz w:val="14"/>
                <w:szCs w:val="14"/>
                <w:color w:val="auto"/>
              </w:rPr>
              <w:t>Energy: Oil &amp; Gas</w:t>
            </w:r>
          </w:p>
        </w:tc>
        <w:tc>
          <w:tcPr>
            <w:tcW w:w="600" w:type="dxa"/>
            <w:vAlign w:val="bottom"/>
          </w:tcPr>
          <w:p>
            <w:pPr>
              <w:spacing w:after="0"/>
              <w:rPr>
                <w:sz w:val="15"/>
                <w:szCs w:val="15"/>
                <w:color w:val="auto"/>
              </w:rPr>
            </w:pPr>
          </w:p>
        </w:tc>
      </w:tr>
      <w:tr>
        <w:trPr>
          <w:trHeight w:val="236"/>
        </w:trPr>
        <w:tc>
          <w:tcPr>
            <w:tcW w:w="1840" w:type="dxa"/>
            <w:vAlign w:val="bottom"/>
          </w:tcPr>
          <w:p>
            <w:pPr>
              <w:spacing w:after="0"/>
              <w:rPr>
                <w:sz w:val="20"/>
                <w:szCs w:val="20"/>
                <w:color w:val="auto"/>
              </w:rPr>
            </w:pPr>
            <w:r>
              <w:rPr>
                <w:rFonts w:ascii="Arial" w:cs="Arial" w:eastAsia="Arial" w:hAnsi="Arial"/>
                <w:sz w:val="14"/>
                <w:szCs w:val="14"/>
                <w:color w:val="auto"/>
              </w:rPr>
              <w:t>Vectra Co. 2700 E. Interstate</w:t>
            </w:r>
          </w:p>
        </w:tc>
        <w:tc>
          <w:tcPr>
            <w:tcW w:w="600" w:type="dxa"/>
            <w:vAlign w:val="bottom"/>
          </w:tcPr>
          <w:p>
            <w:pPr>
              <w:jc w:val="right"/>
              <w:ind w:right="139"/>
              <w:spacing w:after="0"/>
              <w:rPr>
                <w:sz w:val="20"/>
                <w:szCs w:val="20"/>
                <w:color w:val="auto"/>
              </w:rPr>
            </w:pPr>
            <w:r>
              <w:rPr>
                <w:rFonts w:ascii="Arial" w:cs="Arial" w:eastAsia="Arial" w:hAnsi="Arial"/>
                <w:sz w:val="12"/>
                <w:szCs w:val="12"/>
                <w:color w:val="auto"/>
              </w:rPr>
              <w:t>(8)(14)</w:t>
            </w: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w w:val="97"/>
              </w:rPr>
              <w:t>20 P.O. Box 2488, Odessa,</w:t>
            </w:r>
          </w:p>
        </w:tc>
        <w:tc>
          <w:tcPr>
            <w:tcW w:w="600" w:type="dxa"/>
            <w:vAlign w:val="bottom"/>
          </w:tcPr>
          <w:p>
            <w:pPr>
              <w:spacing w:after="0"/>
              <w:rPr>
                <w:sz w:val="12"/>
                <w:szCs w:val="12"/>
                <w:color w:val="auto"/>
              </w:rPr>
            </w:pP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TX 79760 Chemicals,</w:t>
            </w:r>
          </w:p>
        </w:tc>
        <w:tc>
          <w:tcPr>
            <w:tcW w:w="600" w:type="dxa"/>
            <w:vAlign w:val="bottom"/>
          </w:tcPr>
          <w:p>
            <w:pPr>
              <w:spacing w:after="0"/>
              <w:rPr>
                <w:sz w:val="12"/>
                <w:szCs w:val="12"/>
                <w:color w:val="auto"/>
              </w:rPr>
            </w:pPr>
          </w:p>
        </w:tc>
      </w:tr>
      <w:tr>
        <w:trPr>
          <w:trHeight w:val="182"/>
        </w:trPr>
        <w:tc>
          <w:tcPr>
            <w:tcW w:w="1840" w:type="dxa"/>
            <w:vAlign w:val="bottom"/>
          </w:tcPr>
          <w:p>
            <w:pPr>
              <w:ind w:left="160"/>
              <w:spacing w:after="0"/>
              <w:rPr>
                <w:sz w:val="20"/>
                <w:szCs w:val="20"/>
                <w:color w:val="auto"/>
              </w:rPr>
            </w:pPr>
            <w:r>
              <w:rPr>
                <w:rFonts w:ascii="Arial" w:cs="Arial" w:eastAsia="Arial" w:hAnsi="Arial"/>
                <w:sz w:val="14"/>
                <w:szCs w:val="14"/>
                <w:color w:val="auto"/>
              </w:rPr>
              <w:t>Plastics &amp; Rubber</w:t>
            </w:r>
          </w:p>
        </w:tc>
        <w:tc>
          <w:tcPr>
            <w:tcW w:w="600" w:type="dxa"/>
            <w:vAlign w:val="bottom"/>
          </w:tcPr>
          <w:p>
            <w:pPr>
              <w:spacing w:after="0"/>
              <w:rPr>
                <w:sz w:val="15"/>
                <w:szCs w:val="15"/>
                <w:color w:val="auto"/>
              </w:rPr>
            </w:pPr>
          </w:p>
        </w:tc>
      </w:tr>
      <w:tr>
        <w:trPr>
          <w:trHeight w:val="223"/>
        </w:trPr>
        <w:tc>
          <w:tcPr>
            <w:tcW w:w="1840" w:type="dxa"/>
            <w:vAlign w:val="bottom"/>
          </w:tcPr>
          <w:p>
            <w:pPr>
              <w:spacing w:after="0"/>
              <w:rPr>
                <w:sz w:val="20"/>
                <w:szCs w:val="20"/>
                <w:color w:val="auto"/>
              </w:rPr>
            </w:pPr>
            <w:r>
              <w:rPr>
                <w:rFonts w:ascii="Arial" w:cs="Arial" w:eastAsia="Arial" w:hAnsi="Arial"/>
                <w:sz w:val="14"/>
                <w:szCs w:val="14"/>
                <w:color w:val="auto"/>
              </w:rPr>
              <w:t>VTK Acquisition, Inc.</w:t>
            </w:r>
          </w:p>
        </w:tc>
        <w:tc>
          <w:tcPr>
            <w:tcW w:w="600" w:type="dxa"/>
            <w:vAlign w:val="bottom"/>
          </w:tcPr>
          <w:p>
            <w:pPr>
              <w:jc w:val="right"/>
              <w:spacing w:after="0"/>
              <w:rPr>
                <w:sz w:val="20"/>
                <w:szCs w:val="20"/>
                <w:color w:val="auto"/>
              </w:rPr>
            </w:pPr>
            <w:r>
              <w:rPr>
                <w:rFonts w:ascii="Arial" w:cs="Arial" w:eastAsia="Arial" w:hAnsi="Arial"/>
                <w:sz w:val="12"/>
                <w:szCs w:val="12"/>
                <w:color w:val="auto"/>
              </w:rPr>
              <w:t>(8)(13)(18)</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w w:val="95"/>
              </w:rPr>
              <w:t>751 Summit Avenue, Mankato,</w:t>
            </w:r>
          </w:p>
        </w:tc>
        <w:tc>
          <w:tcPr>
            <w:tcW w:w="600" w:type="dxa"/>
            <w:vAlign w:val="bottom"/>
          </w:tcPr>
          <w:p>
            <w:pPr>
              <w:spacing w:after="0"/>
              <w:rPr>
                <w:sz w:val="12"/>
                <w:szCs w:val="12"/>
                <w:color w:val="auto"/>
              </w:rPr>
            </w:pP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MN 56001</w:t>
            </w:r>
          </w:p>
        </w:tc>
        <w:tc>
          <w:tcPr>
            <w:tcW w:w="600" w:type="dxa"/>
            <w:vAlign w:val="bottom"/>
          </w:tcPr>
          <w:p>
            <w:pPr>
              <w:spacing w:after="0"/>
              <w:rPr>
                <w:sz w:val="12"/>
                <w:szCs w:val="12"/>
                <w:color w:val="auto"/>
              </w:rPr>
            </w:pPr>
          </w:p>
        </w:tc>
      </w:tr>
      <w:tr>
        <w:trPr>
          <w:trHeight w:val="182"/>
        </w:trPr>
        <w:tc>
          <w:tcPr>
            <w:tcW w:w="1840" w:type="dxa"/>
            <w:vAlign w:val="bottom"/>
          </w:tcPr>
          <w:p>
            <w:pPr>
              <w:ind w:left="300"/>
              <w:spacing w:after="0"/>
              <w:rPr>
                <w:sz w:val="20"/>
                <w:szCs w:val="20"/>
                <w:color w:val="auto"/>
              </w:rPr>
            </w:pPr>
            <w:r>
              <w:rPr>
                <w:rFonts w:ascii="Arial" w:cs="Arial" w:eastAsia="Arial" w:hAnsi="Arial"/>
                <w:sz w:val="14"/>
                <w:szCs w:val="14"/>
                <w:color w:val="auto"/>
              </w:rPr>
              <w:t>Capital Equipment</w:t>
            </w:r>
          </w:p>
        </w:tc>
        <w:tc>
          <w:tcPr>
            <w:tcW w:w="600" w:type="dxa"/>
            <w:vAlign w:val="bottom"/>
          </w:tcPr>
          <w:p>
            <w:pPr>
              <w:spacing w:after="0"/>
              <w:rPr>
                <w:sz w:val="15"/>
                <w:szCs w:val="15"/>
                <w:color w:val="auto"/>
              </w:rPr>
            </w:pPr>
          </w:p>
        </w:tc>
      </w:tr>
      <w:tr>
        <w:trPr>
          <w:trHeight w:val="236"/>
        </w:trPr>
        <w:tc>
          <w:tcPr>
            <w:tcW w:w="1840" w:type="dxa"/>
            <w:vAlign w:val="bottom"/>
          </w:tcPr>
          <w:p>
            <w:pPr>
              <w:spacing w:after="0"/>
              <w:rPr>
                <w:sz w:val="20"/>
                <w:szCs w:val="20"/>
                <w:color w:val="auto"/>
              </w:rPr>
            </w:pPr>
            <w:r>
              <w:rPr>
                <w:rFonts w:ascii="Arial" w:cs="Arial" w:eastAsia="Arial" w:hAnsi="Arial"/>
                <w:sz w:val="14"/>
                <w:szCs w:val="14"/>
                <w:color w:val="auto"/>
              </w:rPr>
              <w:t>VTK Acquisition, Inc.</w:t>
            </w:r>
          </w:p>
        </w:tc>
        <w:tc>
          <w:tcPr>
            <w:tcW w:w="600" w:type="dxa"/>
            <w:vAlign w:val="bottom"/>
          </w:tcPr>
          <w:p>
            <w:pPr>
              <w:jc w:val="right"/>
              <w:spacing w:after="0"/>
              <w:rPr>
                <w:sz w:val="20"/>
                <w:szCs w:val="20"/>
                <w:color w:val="auto"/>
              </w:rPr>
            </w:pPr>
            <w:r>
              <w:rPr>
                <w:rFonts w:ascii="Arial" w:cs="Arial" w:eastAsia="Arial" w:hAnsi="Arial"/>
                <w:sz w:val="12"/>
                <w:szCs w:val="12"/>
                <w:color w:val="auto"/>
              </w:rPr>
              <w:t>(8)(13)(18)</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w w:val="95"/>
              </w:rPr>
              <w:t>751 Summit Avenue, Mankato,</w:t>
            </w:r>
          </w:p>
        </w:tc>
        <w:tc>
          <w:tcPr>
            <w:tcW w:w="600" w:type="dxa"/>
            <w:vAlign w:val="bottom"/>
          </w:tcPr>
          <w:p>
            <w:pPr>
              <w:spacing w:after="0"/>
              <w:rPr>
                <w:sz w:val="12"/>
                <w:szCs w:val="12"/>
                <w:color w:val="auto"/>
              </w:rPr>
            </w:pP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MN 56001</w:t>
            </w:r>
          </w:p>
        </w:tc>
        <w:tc>
          <w:tcPr>
            <w:tcW w:w="600" w:type="dxa"/>
            <w:vAlign w:val="bottom"/>
          </w:tcPr>
          <w:p>
            <w:pPr>
              <w:spacing w:after="0"/>
              <w:rPr>
                <w:sz w:val="12"/>
                <w:szCs w:val="12"/>
                <w:color w:val="auto"/>
              </w:rPr>
            </w:pPr>
          </w:p>
        </w:tc>
      </w:tr>
      <w:tr>
        <w:trPr>
          <w:trHeight w:val="182"/>
        </w:trPr>
        <w:tc>
          <w:tcPr>
            <w:tcW w:w="1840" w:type="dxa"/>
            <w:vAlign w:val="bottom"/>
          </w:tcPr>
          <w:p>
            <w:pPr>
              <w:ind w:left="300"/>
              <w:spacing w:after="0"/>
              <w:rPr>
                <w:sz w:val="20"/>
                <w:szCs w:val="20"/>
                <w:color w:val="auto"/>
              </w:rPr>
            </w:pPr>
            <w:r>
              <w:rPr>
                <w:rFonts w:ascii="Arial" w:cs="Arial" w:eastAsia="Arial" w:hAnsi="Arial"/>
                <w:sz w:val="14"/>
                <w:szCs w:val="14"/>
                <w:color w:val="auto"/>
              </w:rPr>
              <w:t>Capital Equipment</w:t>
            </w:r>
          </w:p>
        </w:tc>
        <w:tc>
          <w:tcPr>
            <w:tcW w:w="600" w:type="dxa"/>
            <w:vAlign w:val="bottom"/>
          </w:tcPr>
          <w:p>
            <w:pPr>
              <w:spacing w:after="0"/>
              <w:rPr>
                <w:sz w:val="15"/>
                <w:szCs w:val="15"/>
                <w:color w:val="auto"/>
              </w:rPr>
            </w:pPr>
          </w:p>
        </w:tc>
      </w:tr>
      <w:tr>
        <w:trPr>
          <w:trHeight w:val="236"/>
        </w:trPr>
        <w:tc>
          <w:tcPr>
            <w:tcW w:w="1840" w:type="dxa"/>
            <w:vAlign w:val="bottom"/>
          </w:tcPr>
          <w:p>
            <w:pPr>
              <w:spacing w:after="0"/>
              <w:rPr>
                <w:sz w:val="20"/>
                <w:szCs w:val="20"/>
                <w:color w:val="auto"/>
              </w:rPr>
            </w:pPr>
            <w:r>
              <w:rPr>
                <w:rFonts w:ascii="Arial" w:cs="Arial" w:eastAsia="Arial" w:hAnsi="Arial"/>
                <w:sz w:val="14"/>
                <w:szCs w:val="14"/>
                <w:color w:val="auto"/>
              </w:rPr>
              <w:t>WireCo WorldGroup Inc.</w:t>
            </w:r>
          </w:p>
        </w:tc>
        <w:tc>
          <w:tcPr>
            <w:tcW w:w="600" w:type="dxa"/>
            <w:vAlign w:val="bottom"/>
          </w:tcPr>
          <w:p>
            <w:pPr>
              <w:jc w:val="right"/>
              <w:ind w:right="139"/>
              <w:spacing w:after="0"/>
              <w:rPr>
                <w:sz w:val="20"/>
                <w:szCs w:val="20"/>
                <w:color w:val="auto"/>
              </w:rPr>
            </w:pPr>
            <w:r>
              <w:rPr>
                <w:rFonts w:ascii="Arial" w:cs="Arial" w:eastAsia="Arial" w:hAnsi="Arial"/>
                <w:sz w:val="12"/>
                <w:szCs w:val="12"/>
                <w:color w:val="auto"/>
              </w:rPr>
              <w:t>(8)(14)</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w w:val="98"/>
              </w:rPr>
              <w:t>120 South Central Ave., Suite</w:t>
            </w:r>
          </w:p>
        </w:tc>
        <w:tc>
          <w:tcPr>
            <w:tcW w:w="600" w:type="dxa"/>
            <w:vAlign w:val="bottom"/>
          </w:tcPr>
          <w:p>
            <w:pPr>
              <w:spacing w:after="0"/>
              <w:rPr>
                <w:sz w:val="12"/>
                <w:szCs w:val="12"/>
                <w:color w:val="auto"/>
              </w:rPr>
            </w:pP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200,</w:t>
            </w:r>
          </w:p>
        </w:tc>
        <w:tc>
          <w:tcPr>
            <w:tcW w:w="600" w:type="dxa"/>
            <w:vAlign w:val="bottom"/>
          </w:tcPr>
          <w:p>
            <w:pPr>
              <w:spacing w:after="0"/>
              <w:rPr>
                <w:sz w:val="12"/>
                <w:szCs w:val="12"/>
                <w:color w:val="auto"/>
              </w:rPr>
            </w:pP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St. Louis, MO 63105</w:t>
            </w:r>
          </w:p>
        </w:tc>
        <w:tc>
          <w:tcPr>
            <w:tcW w:w="600" w:type="dxa"/>
            <w:vAlign w:val="bottom"/>
          </w:tcPr>
          <w:p>
            <w:pPr>
              <w:spacing w:after="0"/>
              <w:rPr>
                <w:sz w:val="12"/>
                <w:szCs w:val="12"/>
                <w:color w:val="auto"/>
              </w:rPr>
            </w:pPr>
          </w:p>
        </w:tc>
      </w:tr>
      <w:tr>
        <w:trPr>
          <w:trHeight w:val="182"/>
        </w:trPr>
        <w:tc>
          <w:tcPr>
            <w:tcW w:w="1840" w:type="dxa"/>
            <w:vAlign w:val="bottom"/>
          </w:tcPr>
          <w:p>
            <w:pPr>
              <w:ind w:left="300"/>
              <w:spacing w:after="0"/>
              <w:rPr>
                <w:sz w:val="20"/>
                <w:szCs w:val="20"/>
                <w:color w:val="auto"/>
              </w:rPr>
            </w:pPr>
            <w:r>
              <w:rPr>
                <w:rFonts w:ascii="Arial" w:cs="Arial" w:eastAsia="Arial" w:hAnsi="Arial"/>
                <w:sz w:val="14"/>
                <w:szCs w:val="14"/>
                <w:color w:val="auto"/>
              </w:rPr>
              <w:t>Capital Equipment</w:t>
            </w:r>
          </w:p>
        </w:tc>
        <w:tc>
          <w:tcPr>
            <w:tcW w:w="600" w:type="dxa"/>
            <w:vAlign w:val="bottom"/>
          </w:tcPr>
          <w:p>
            <w:pPr>
              <w:spacing w:after="0"/>
              <w:rPr>
                <w:sz w:val="15"/>
                <w:szCs w:val="15"/>
                <w:color w:val="auto"/>
              </w:rPr>
            </w:pPr>
          </w:p>
        </w:tc>
      </w:tr>
      <w:tr>
        <w:trPr>
          <w:trHeight w:val="231"/>
        </w:trPr>
        <w:tc>
          <w:tcPr>
            <w:tcW w:w="1840" w:type="dxa"/>
            <w:vAlign w:val="bottom"/>
          </w:tcPr>
          <w:p>
            <w:pPr>
              <w:spacing w:after="0"/>
              <w:rPr>
                <w:sz w:val="20"/>
                <w:szCs w:val="20"/>
                <w:color w:val="auto"/>
              </w:rPr>
            </w:pPr>
            <w:r>
              <w:rPr>
                <w:rFonts w:ascii="Arial" w:cs="Arial" w:eastAsia="Arial" w:hAnsi="Arial"/>
                <w:sz w:val="14"/>
                <w:szCs w:val="14"/>
                <w:color w:val="auto"/>
              </w:rPr>
              <w:t>Wonder Love, Inc.</w:t>
            </w:r>
          </w:p>
        </w:tc>
        <w:tc>
          <w:tcPr>
            <w:tcW w:w="600" w:type="dxa"/>
            <w:vAlign w:val="bottom"/>
          </w:tcPr>
          <w:p>
            <w:pPr>
              <w:jc w:val="right"/>
              <w:spacing w:after="0"/>
              <w:rPr>
                <w:sz w:val="20"/>
                <w:szCs w:val="20"/>
                <w:color w:val="auto"/>
              </w:rPr>
            </w:pPr>
            <w:r>
              <w:rPr>
                <w:rFonts w:ascii="Arial" w:cs="Arial" w:eastAsia="Arial" w:hAnsi="Arial"/>
                <w:sz w:val="12"/>
                <w:szCs w:val="12"/>
                <w:color w:val="auto"/>
              </w:rPr>
              <w:t>(8)(13)(14)</w:t>
            </w:r>
          </w:p>
        </w:tc>
      </w:tr>
      <w:tr>
        <w:trPr>
          <w:trHeight w:val="154"/>
        </w:trPr>
        <w:tc>
          <w:tcPr>
            <w:tcW w:w="1840" w:type="dxa"/>
            <w:vAlign w:val="bottom"/>
          </w:tcPr>
          <w:p>
            <w:pPr>
              <w:spacing w:after="0" w:line="154" w:lineRule="exact"/>
              <w:rPr>
                <w:sz w:val="20"/>
                <w:szCs w:val="20"/>
                <w:color w:val="auto"/>
              </w:rPr>
            </w:pPr>
            <w:r>
              <w:rPr>
                <w:rFonts w:ascii="Arial" w:cs="Arial" w:eastAsia="Arial" w:hAnsi="Arial"/>
                <w:sz w:val="14"/>
                <w:szCs w:val="14"/>
                <w:color w:val="auto"/>
              </w:rPr>
              <w:t>50 Tice Blvd Woodcliff Lake,</w:t>
            </w:r>
          </w:p>
        </w:tc>
        <w:tc>
          <w:tcPr>
            <w:tcW w:w="600" w:type="dxa"/>
            <w:vAlign w:val="bottom"/>
          </w:tcPr>
          <w:p>
            <w:pPr>
              <w:jc w:val="right"/>
              <w:ind w:right="139"/>
              <w:spacing w:after="0"/>
              <w:rPr>
                <w:sz w:val="20"/>
                <w:szCs w:val="20"/>
                <w:color w:val="auto"/>
              </w:rPr>
            </w:pPr>
            <w:r>
              <w:rPr>
                <w:rFonts w:ascii="Arial" w:cs="Arial" w:eastAsia="Arial" w:hAnsi="Arial"/>
                <w:sz w:val="12"/>
                <w:szCs w:val="12"/>
                <w:color w:val="auto"/>
              </w:rPr>
              <w:t>(21)</w:t>
            </w: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NJ 07677</w:t>
            </w:r>
          </w:p>
        </w:tc>
        <w:tc>
          <w:tcPr>
            <w:tcW w:w="600" w:type="dxa"/>
            <w:vAlign w:val="bottom"/>
          </w:tcPr>
          <w:p>
            <w:pPr>
              <w:spacing w:after="0"/>
              <w:rPr>
                <w:sz w:val="12"/>
                <w:szCs w:val="12"/>
                <w:color w:val="auto"/>
              </w:rPr>
            </w:pPr>
          </w:p>
        </w:tc>
      </w:tr>
      <w:tr>
        <w:trPr>
          <w:trHeight w:val="148"/>
        </w:trPr>
        <w:tc>
          <w:tcPr>
            <w:tcW w:w="1840" w:type="dxa"/>
            <w:vAlign w:val="bottom"/>
          </w:tcPr>
          <w:p>
            <w:pPr>
              <w:ind w:left="300"/>
              <w:spacing w:after="0" w:line="149" w:lineRule="exact"/>
              <w:rPr>
                <w:sz w:val="20"/>
                <w:szCs w:val="20"/>
                <w:color w:val="auto"/>
              </w:rPr>
            </w:pPr>
            <w:r>
              <w:rPr>
                <w:rFonts w:ascii="Arial" w:cs="Arial" w:eastAsia="Arial" w:hAnsi="Arial"/>
                <w:sz w:val="14"/>
                <w:szCs w:val="14"/>
                <w:color w:val="auto"/>
              </w:rPr>
              <w:t>Media: Diversified &amp;</w:t>
            </w:r>
          </w:p>
        </w:tc>
        <w:tc>
          <w:tcPr>
            <w:tcW w:w="600" w:type="dxa"/>
            <w:vAlign w:val="bottom"/>
          </w:tcPr>
          <w:p>
            <w:pPr>
              <w:spacing w:after="0"/>
              <w:rPr>
                <w:sz w:val="12"/>
                <w:szCs w:val="12"/>
                <w:color w:val="auto"/>
              </w:rPr>
            </w:pPr>
          </w:p>
        </w:tc>
      </w:tr>
      <w:tr>
        <w:trPr>
          <w:trHeight w:val="182"/>
        </w:trPr>
        <w:tc>
          <w:tcPr>
            <w:tcW w:w="1840" w:type="dxa"/>
            <w:vAlign w:val="bottom"/>
          </w:tcPr>
          <w:p>
            <w:pPr>
              <w:ind w:left="440"/>
              <w:spacing w:after="0"/>
              <w:rPr>
                <w:sz w:val="20"/>
                <w:szCs w:val="20"/>
                <w:color w:val="auto"/>
              </w:rPr>
            </w:pPr>
            <w:r>
              <w:rPr>
                <w:rFonts w:ascii="Arial" w:cs="Arial" w:eastAsia="Arial" w:hAnsi="Arial"/>
                <w:sz w:val="14"/>
                <w:szCs w:val="14"/>
                <w:color w:val="auto"/>
              </w:rPr>
              <w:t>Production</w:t>
            </w:r>
          </w:p>
        </w:tc>
        <w:tc>
          <w:tcPr>
            <w:tcW w:w="600" w:type="dxa"/>
            <w:vAlign w:val="bottom"/>
          </w:tcPr>
          <w:p>
            <w:pPr>
              <w:spacing w:after="0"/>
              <w:rPr>
                <w:sz w:val="15"/>
                <w:szCs w:val="15"/>
                <w:color w:val="auto"/>
              </w:rPr>
            </w:pPr>
          </w:p>
        </w:tc>
      </w:tr>
      <w:tr>
        <w:trPr>
          <w:trHeight w:val="231"/>
        </w:trPr>
        <w:tc>
          <w:tcPr>
            <w:tcW w:w="1840" w:type="dxa"/>
            <w:vAlign w:val="bottom"/>
          </w:tcPr>
          <w:p>
            <w:pPr>
              <w:spacing w:after="0"/>
              <w:rPr>
                <w:sz w:val="20"/>
                <w:szCs w:val="20"/>
                <w:color w:val="auto"/>
              </w:rPr>
            </w:pPr>
            <w:r>
              <w:rPr>
                <w:rFonts w:ascii="Arial" w:cs="Arial" w:eastAsia="Arial" w:hAnsi="Arial"/>
                <w:sz w:val="14"/>
                <w:szCs w:val="14"/>
                <w:color w:val="auto"/>
              </w:rPr>
              <w:t>Zest Acquisition Corp.</w:t>
            </w:r>
          </w:p>
        </w:tc>
        <w:tc>
          <w:tcPr>
            <w:tcW w:w="600" w:type="dxa"/>
            <w:vAlign w:val="bottom"/>
          </w:tcPr>
          <w:p>
            <w:pPr>
              <w:jc w:val="right"/>
              <w:spacing w:after="0"/>
              <w:rPr>
                <w:sz w:val="20"/>
                <w:szCs w:val="20"/>
                <w:color w:val="auto"/>
              </w:rPr>
            </w:pPr>
            <w:r>
              <w:rPr>
                <w:rFonts w:ascii="Arial" w:cs="Arial" w:eastAsia="Arial" w:hAnsi="Arial"/>
                <w:sz w:val="12"/>
                <w:szCs w:val="12"/>
                <w:color w:val="auto"/>
              </w:rPr>
              <w:t>(8)(13)(14)</w:t>
            </w:r>
          </w:p>
        </w:tc>
      </w:tr>
      <w:tr>
        <w:trPr>
          <w:trHeight w:val="154"/>
        </w:trPr>
        <w:tc>
          <w:tcPr>
            <w:tcW w:w="1840" w:type="dxa"/>
            <w:vAlign w:val="bottom"/>
          </w:tcPr>
          <w:p>
            <w:pPr>
              <w:spacing w:after="0" w:line="154" w:lineRule="exact"/>
              <w:rPr>
                <w:sz w:val="20"/>
                <w:szCs w:val="20"/>
                <w:color w:val="auto"/>
              </w:rPr>
            </w:pPr>
            <w:r>
              <w:rPr>
                <w:rFonts w:ascii="Arial" w:cs="Arial" w:eastAsia="Arial" w:hAnsi="Arial"/>
                <w:sz w:val="14"/>
                <w:szCs w:val="14"/>
                <w:color w:val="auto"/>
              </w:rPr>
              <w:t>100 N. Spulveda Boulevard,</w:t>
            </w:r>
          </w:p>
        </w:tc>
        <w:tc>
          <w:tcPr>
            <w:tcW w:w="600" w:type="dxa"/>
            <w:vAlign w:val="bottom"/>
          </w:tcPr>
          <w:p>
            <w:pPr>
              <w:jc w:val="right"/>
              <w:ind w:right="139"/>
              <w:spacing w:after="0"/>
              <w:rPr>
                <w:sz w:val="20"/>
                <w:szCs w:val="20"/>
                <w:color w:val="auto"/>
              </w:rPr>
            </w:pPr>
            <w:r>
              <w:rPr>
                <w:rFonts w:ascii="Arial" w:cs="Arial" w:eastAsia="Arial" w:hAnsi="Arial"/>
                <w:sz w:val="12"/>
                <w:szCs w:val="12"/>
                <w:color w:val="auto"/>
              </w:rPr>
              <w:t>(18)</w:t>
            </w:r>
          </w:p>
        </w:tc>
      </w:tr>
      <w:tr>
        <w:trPr>
          <w:trHeight w:val="148"/>
        </w:trPr>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w w:val="97"/>
              </w:rPr>
              <w:t>12th Floor, El Segundo, CA</w:t>
            </w:r>
          </w:p>
        </w:tc>
        <w:tc>
          <w:tcPr>
            <w:tcW w:w="600" w:type="dxa"/>
            <w:vAlign w:val="bottom"/>
          </w:tcPr>
          <w:p>
            <w:pPr>
              <w:spacing w:after="0"/>
              <w:rPr>
                <w:sz w:val="12"/>
                <w:szCs w:val="12"/>
                <w:color w:val="auto"/>
              </w:rPr>
            </w:pPr>
          </w:p>
        </w:tc>
      </w:tr>
      <w:tr>
        <w:trPr>
          <w:trHeight w:val="161"/>
        </w:trPr>
        <w:tc>
          <w:tcPr>
            <w:tcW w:w="1840" w:type="dxa"/>
            <w:vAlign w:val="bottom"/>
          </w:tcPr>
          <w:p>
            <w:pPr>
              <w:ind w:left="160"/>
              <w:spacing w:after="0"/>
              <w:rPr>
                <w:sz w:val="20"/>
                <w:szCs w:val="20"/>
                <w:color w:val="auto"/>
              </w:rPr>
            </w:pPr>
            <w:r>
              <w:rPr>
                <w:rFonts w:ascii="Arial" w:cs="Arial" w:eastAsia="Arial" w:hAnsi="Arial"/>
                <w:sz w:val="14"/>
                <w:szCs w:val="14"/>
                <w:color w:val="auto"/>
              </w:rPr>
              <w:t>90245</w:t>
            </w:r>
          </w:p>
        </w:tc>
        <w:tc>
          <w:tcPr>
            <w:tcW w:w="600" w:type="dxa"/>
            <w:vAlign w:val="bottom"/>
          </w:tcPr>
          <w:p>
            <w:pPr>
              <w:spacing w:after="0"/>
              <w:rPr>
                <w:sz w:val="13"/>
                <w:szCs w:val="13"/>
                <w:color w:val="auto"/>
              </w:rPr>
            </w:pPr>
          </w:p>
        </w:tc>
      </w:tr>
    </w:tbl>
    <w:p>
      <w:pPr>
        <w:ind w:left="300"/>
        <w:spacing w:after="0" w:line="221" w:lineRule="auto"/>
        <w:rPr>
          <w:sz w:val="20"/>
          <w:szCs w:val="20"/>
          <w:color w:val="auto"/>
        </w:rPr>
      </w:pPr>
      <w:r>
        <w:rPr>
          <w:rFonts w:ascii="Arial" w:cs="Arial" w:eastAsia="Arial" w:hAnsi="Arial"/>
          <w:sz w:val="14"/>
          <w:szCs w:val="14"/>
          <w:color w:val="auto"/>
        </w:rPr>
        <w:t>Healthcare, Education</w:t>
      </w:r>
    </w:p>
    <w:p>
      <w:pPr>
        <w:ind w:left="440"/>
        <w:spacing w:after="0"/>
        <w:rPr>
          <w:sz w:val="20"/>
          <w:szCs w:val="20"/>
          <w:color w:val="auto"/>
        </w:rPr>
      </w:pPr>
      <w:r>
        <w:rPr>
          <w:rFonts w:ascii="Arial" w:cs="Arial" w:eastAsia="Arial" w:hAnsi="Arial"/>
          <w:sz w:val="14"/>
          <w:szCs w:val="14"/>
          <w:color w:val="auto"/>
        </w:rPr>
        <w:t>and Childcare</w:t>
      </w:r>
    </w:p>
    <w:p>
      <w:pPr>
        <w:spacing w:after="0" w:line="120" w:lineRule="exact"/>
        <w:rPr>
          <w:sz w:val="20"/>
          <w:szCs w:val="20"/>
          <w:color w:val="auto"/>
        </w:rPr>
      </w:pPr>
    </w:p>
    <w:p>
      <w:pPr>
        <w:jc w:val="both"/>
        <w:ind w:left="160" w:right="800" w:hanging="143"/>
        <w:spacing w:after="0" w:line="300" w:lineRule="auto"/>
        <w:rPr>
          <w:sz w:val="20"/>
          <w:szCs w:val="20"/>
          <w:color w:val="auto"/>
        </w:rPr>
      </w:pPr>
      <w:r>
        <w:rPr>
          <w:rFonts w:ascii="Arial" w:cs="Arial" w:eastAsia="Arial" w:hAnsi="Arial"/>
          <w:sz w:val="12"/>
          <w:szCs w:val="12"/>
          <w:b w:val="1"/>
          <w:bCs w:val="1"/>
          <w:color w:val="auto"/>
        </w:rPr>
        <w:t>Total Investment in Debt Securities (156% of net asset value at fair value)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16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Amortized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16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Principal</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2</w:t>
            </w:r>
          </w:p>
        </w:tc>
        <w:tc>
          <w:tcPr>
            <w:tcW w:w="120" w:type="dxa"/>
            <w:vAlign w:val="bottom"/>
            <w:vMerge w:val="restart"/>
          </w:tcPr>
          <w:p>
            <w:pPr>
              <w:spacing w:after="0"/>
              <w:rPr>
                <w:sz w:val="12"/>
                <w:szCs w:val="12"/>
                <w:color w:val="auto"/>
              </w:rPr>
            </w:pPr>
          </w:p>
        </w:tc>
        <w:tc>
          <w:tcPr>
            <w:tcW w:w="5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5"/>
        </w:trPr>
        <w:tc>
          <w:tcPr>
            <w:tcW w:w="32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12"/>
                <w:szCs w:val="12"/>
                <w:b w:val="1"/>
                <w:bCs w:val="1"/>
                <w:color w:val="auto"/>
              </w:rPr>
              <w:t>15</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4480" w:type="dxa"/>
            <w:vAlign w:val="bottom"/>
            <w:gridSpan w:val="3"/>
          </w:tcPr>
          <w:p>
            <w:pPr>
              <w:spacing w:after="0"/>
              <w:rPr>
                <w:sz w:val="20"/>
                <w:szCs w:val="20"/>
                <w:color w:val="auto"/>
              </w:rPr>
            </w:pPr>
            <w:r>
              <w:rPr>
                <w:rFonts w:ascii="Arial" w:cs="Arial" w:eastAsia="Arial" w:hAnsi="Arial"/>
                <w:sz w:val="14"/>
                <w:szCs w:val="14"/>
                <w:color w:val="auto"/>
              </w:rPr>
              <w:t>Junior Secured Loan — Promissory Note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1.7%</w:t>
            </w:r>
          </w:p>
        </w:tc>
        <w:tc>
          <w:tcPr>
            <w:tcW w:w="4160" w:type="dxa"/>
            <w:vAlign w:val="bottom"/>
            <w:gridSpan w:val="2"/>
          </w:tcPr>
          <w:p>
            <w:pPr>
              <w:ind w:left="20"/>
              <w:spacing w:after="0"/>
              <w:rPr>
                <w:sz w:val="20"/>
                <w:szCs w:val="20"/>
                <w:color w:val="auto"/>
              </w:rPr>
            </w:pPr>
            <w:r>
              <w:rPr>
                <w:rFonts w:ascii="Arial" w:cs="Arial" w:eastAsia="Arial" w:hAnsi="Arial"/>
                <w:sz w:val="14"/>
                <w:szCs w:val="14"/>
                <w:color w:val="auto"/>
              </w:rPr>
              <w:t>PIK, Due 1/25</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1/24/2020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72,236</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72,236</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358"/>
        </w:trPr>
        <w:tc>
          <w:tcPr>
            <w:tcW w:w="4480" w:type="dxa"/>
            <w:vAlign w:val="bottom"/>
            <w:gridSpan w:val="3"/>
          </w:tcPr>
          <w:p>
            <w:pPr>
              <w:spacing w:after="0"/>
              <w:rPr>
                <w:sz w:val="20"/>
                <w:szCs w:val="20"/>
                <w:color w:val="auto"/>
              </w:rPr>
            </w:pPr>
            <w:r>
              <w:rPr>
                <w:rFonts w:ascii="Arial" w:cs="Arial" w:eastAsia="Arial" w:hAnsi="Arial"/>
                <w:sz w:val="14"/>
                <w:szCs w:val="14"/>
                <w:color w:val="auto"/>
              </w:rPr>
              <w:t>Junior Secured Loan — Initial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7.4%</w:t>
            </w:r>
          </w:p>
        </w:tc>
        <w:tc>
          <w:tcPr>
            <w:tcW w:w="4160" w:type="dxa"/>
            <w:vAlign w:val="bottom"/>
            <w:gridSpan w:val="2"/>
          </w:tcPr>
          <w:p>
            <w:pPr>
              <w:ind w:left="20"/>
              <w:spacing w:after="0"/>
              <w:rPr>
                <w:sz w:val="20"/>
                <w:szCs w:val="20"/>
                <w:color w:val="auto"/>
              </w:rPr>
            </w:pPr>
            <w:r>
              <w:rPr>
                <w:rFonts w:ascii="Arial" w:cs="Arial" w:eastAsia="Arial" w:hAnsi="Arial"/>
                <w:sz w:val="14"/>
                <w:szCs w:val="14"/>
                <w:color w:val="auto"/>
              </w:rPr>
              <w:t>Cash, 1 Month Libor (0.10%) + 7.25%, Due 3/26</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9"/>
              </w:rPr>
              <w:t>12/18/2019</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400,000</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358,955</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392,668</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4480" w:type="dxa"/>
            <w:vAlign w:val="bottom"/>
            <w:gridSpan w:val="3"/>
          </w:tcPr>
          <w:p>
            <w:pPr>
              <w:spacing w:after="0"/>
              <w:rPr>
                <w:sz w:val="20"/>
                <w:szCs w:val="20"/>
                <w:color w:val="auto"/>
              </w:rPr>
            </w:pPr>
            <w:r>
              <w:rPr>
                <w:rFonts w:ascii="Arial" w:cs="Arial" w:eastAsia="Arial" w:hAnsi="Arial"/>
                <w:sz w:val="14"/>
                <w:szCs w:val="14"/>
                <w:color w:val="auto"/>
              </w:rPr>
              <w:t>Senior Secured Loan — Revolver</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4160" w:type="dxa"/>
            <w:vAlign w:val="bottom"/>
            <w:gridSpan w:val="2"/>
          </w:tcPr>
          <w:p>
            <w:pPr>
              <w:ind w:left="20"/>
              <w:spacing w:after="0"/>
              <w:rPr>
                <w:sz w:val="20"/>
                <w:szCs w:val="20"/>
                <w:color w:val="auto"/>
              </w:rPr>
            </w:pPr>
            <w:r>
              <w:rPr>
                <w:rFonts w:ascii="Arial" w:cs="Arial" w:eastAsia="Arial" w:hAnsi="Arial"/>
                <w:sz w:val="14"/>
                <w:szCs w:val="14"/>
                <w:color w:val="auto"/>
                <w:w w:val="96"/>
              </w:rPr>
              <w:t>Cash, 3 Month Libor (0.25%) + 6.50%; Libor Floor 0.25%, Due 12/21</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6/9/2021</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1,536,097</w:t>
            </w:r>
          </w:p>
        </w:tc>
        <w:tc>
          <w:tcPr>
            <w:tcW w:w="60" w:type="dxa"/>
            <w:vAlign w:val="bottom"/>
          </w:tcPr>
          <w:p>
            <w:pPr>
              <w:spacing w:after="0"/>
              <w:rPr>
                <w:sz w:val="15"/>
                <w:szCs w:val="15"/>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1,440,454</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1,530,106</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4480" w:type="dxa"/>
            <w:vAlign w:val="bottom"/>
            <w:gridSpan w:val="3"/>
          </w:tcPr>
          <w:p>
            <w:pPr>
              <w:spacing w:after="0"/>
              <w:rPr>
                <w:sz w:val="20"/>
                <w:szCs w:val="20"/>
                <w:color w:val="auto"/>
              </w:rPr>
            </w:pPr>
            <w:r>
              <w:rPr>
                <w:rFonts w:ascii="Arial" w:cs="Arial" w:eastAsia="Arial" w:hAnsi="Arial"/>
                <w:sz w:val="14"/>
                <w:szCs w:val="14"/>
                <w:color w:val="auto"/>
              </w:rPr>
              <w:t>Senior Secured Loan — First Lien Term Loan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8.3%</w:t>
            </w:r>
          </w:p>
        </w:tc>
        <w:tc>
          <w:tcPr>
            <w:tcW w:w="4160" w:type="dxa"/>
            <w:vAlign w:val="bottom"/>
            <w:gridSpan w:val="2"/>
          </w:tcPr>
          <w:p>
            <w:pPr>
              <w:ind w:left="20"/>
              <w:spacing w:after="0"/>
              <w:rPr>
                <w:sz w:val="20"/>
                <w:szCs w:val="20"/>
                <w:color w:val="auto"/>
              </w:rPr>
            </w:pPr>
            <w:r>
              <w:rPr>
                <w:rFonts w:ascii="Arial" w:cs="Arial" w:eastAsia="Arial" w:hAnsi="Arial"/>
                <w:sz w:val="14"/>
                <w:szCs w:val="14"/>
                <w:color w:val="auto"/>
                <w:w w:val="98"/>
              </w:rPr>
              <w:t>Cash, 3 Month Libor (0.25%) + 8.00%; Libor Floor 0.25%, Due 3/22</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6/9/2021</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2,800,000</w:t>
            </w:r>
          </w:p>
        </w:tc>
        <w:tc>
          <w:tcPr>
            <w:tcW w:w="60" w:type="dxa"/>
            <w:vAlign w:val="bottom"/>
          </w:tcPr>
          <w:p>
            <w:pPr>
              <w:spacing w:after="0"/>
              <w:rPr>
                <w:sz w:val="15"/>
                <w:szCs w:val="15"/>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2,452,348</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2,595,880</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480" w:type="dxa"/>
            <w:vAlign w:val="bottom"/>
            <w:gridSpan w:val="3"/>
          </w:tcPr>
          <w:p>
            <w:pPr>
              <w:spacing w:after="0"/>
              <w:rPr>
                <w:sz w:val="20"/>
                <w:szCs w:val="20"/>
                <w:color w:val="auto"/>
              </w:rPr>
            </w:pPr>
            <w:r>
              <w:rPr>
                <w:rFonts w:ascii="Arial" w:cs="Arial" w:eastAsia="Arial" w:hAnsi="Arial"/>
                <w:sz w:val="14"/>
                <w:szCs w:val="14"/>
                <w:color w:val="auto"/>
              </w:rPr>
              <w:t>Junior Secured Loan — Initial Term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80" w:type="dxa"/>
            <w:vAlign w:val="bottom"/>
            <w:gridSpan w:val="3"/>
          </w:tcPr>
          <w:p>
            <w:pPr>
              <w:spacing w:after="0"/>
              <w:rPr>
                <w:sz w:val="20"/>
                <w:szCs w:val="20"/>
                <w:color w:val="auto"/>
              </w:rPr>
            </w:pPr>
            <w:r>
              <w:rPr>
                <w:rFonts w:ascii="Arial" w:cs="Arial" w:eastAsia="Arial" w:hAnsi="Arial"/>
                <w:sz w:val="14"/>
                <w:szCs w:val="14"/>
                <w:color w:val="auto"/>
                <w:w w:val="96"/>
              </w:rPr>
              <w:t>10.0% Cash, 6 Month Libor (1.00%) + 9.00%; Libor Floor 1.00%, Due 9/24</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8/9/2016</w:t>
            </w:r>
          </w:p>
        </w:tc>
        <w:tc>
          <w:tcPr>
            <w:tcW w:w="780" w:type="dxa"/>
            <w:vAlign w:val="bottom"/>
          </w:tcPr>
          <w:p>
            <w:pPr>
              <w:jc w:val="right"/>
              <w:spacing w:after="0"/>
              <w:rPr>
                <w:sz w:val="20"/>
                <w:szCs w:val="20"/>
                <w:color w:val="auto"/>
              </w:rPr>
            </w:pPr>
            <w:r>
              <w:rPr>
                <w:rFonts w:ascii="Arial" w:cs="Arial" w:eastAsia="Arial" w:hAnsi="Arial"/>
                <w:sz w:val="14"/>
                <w:szCs w:val="14"/>
                <w:color w:val="auto"/>
              </w:rPr>
              <w:t>2,777,778</w:t>
            </w:r>
          </w:p>
        </w:tc>
        <w:tc>
          <w:tcPr>
            <w:tcW w:w="6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2,760,833</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2,694,444</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39"/>
        </w:trPr>
        <w:tc>
          <w:tcPr>
            <w:tcW w:w="448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6.0%</w:t>
            </w:r>
          </w:p>
        </w:tc>
        <w:tc>
          <w:tcPr>
            <w:tcW w:w="4160" w:type="dxa"/>
            <w:vAlign w:val="bottom"/>
            <w:gridSpan w:val="2"/>
          </w:tcPr>
          <w:p>
            <w:pPr>
              <w:ind w:left="20"/>
              <w:spacing w:after="0"/>
              <w:rPr>
                <w:sz w:val="20"/>
                <w:szCs w:val="20"/>
                <w:color w:val="auto"/>
              </w:rPr>
            </w:pPr>
            <w:r>
              <w:rPr>
                <w:rFonts w:ascii="Arial" w:cs="Arial" w:eastAsia="Arial" w:hAnsi="Arial"/>
                <w:sz w:val="14"/>
                <w:szCs w:val="14"/>
                <w:color w:val="auto"/>
                <w:w w:val="96"/>
              </w:rPr>
              <w:t>Cash, 3 Month Libor (1.00%) + 5.00%; Libor Floor 1.00%, Due 11/24</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11/18/2019</w:t>
            </w:r>
          </w:p>
        </w:tc>
        <w:tc>
          <w:tcPr>
            <w:tcW w:w="780" w:type="dxa"/>
            <w:vAlign w:val="bottom"/>
          </w:tcPr>
          <w:p>
            <w:pPr>
              <w:jc w:val="right"/>
              <w:spacing w:after="0"/>
              <w:rPr>
                <w:sz w:val="20"/>
                <w:szCs w:val="20"/>
                <w:color w:val="auto"/>
              </w:rPr>
            </w:pPr>
            <w:r>
              <w:rPr>
                <w:rFonts w:ascii="Arial" w:cs="Arial" w:eastAsia="Arial" w:hAnsi="Arial"/>
                <w:sz w:val="14"/>
                <w:szCs w:val="14"/>
                <w:color w:val="auto"/>
              </w:rPr>
              <w:t>2,550,000</w:t>
            </w:r>
          </w:p>
        </w:tc>
        <w:tc>
          <w:tcPr>
            <w:tcW w:w="6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2,515,516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2,550,000</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520"/>
        </w:trPr>
        <w:tc>
          <w:tcPr>
            <w:tcW w:w="4480" w:type="dxa"/>
            <w:vAlign w:val="bottom"/>
            <w:gridSpan w:val="3"/>
          </w:tcPr>
          <w:p>
            <w:pPr>
              <w:spacing w:after="0"/>
              <w:rPr>
                <w:sz w:val="20"/>
                <w:szCs w:val="20"/>
                <w:color w:val="auto"/>
              </w:rPr>
            </w:pPr>
            <w:r>
              <w:rPr>
                <w:rFonts w:ascii="Arial" w:cs="Arial" w:eastAsia="Arial" w:hAnsi="Arial"/>
                <w:sz w:val="14"/>
                <w:szCs w:val="14"/>
                <w:color w:val="auto"/>
              </w:rPr>
              <w:t>Junior Secured Loan — Initial Term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8.5%</w:t>
            </w:r>
          </w:p>
        </w:tc>
        <w:tc>
          <w:tcPr>
            <w:tcW w:w="4160" w:type="dxa"/>
            <w:vAlign w:val="bottom"/>
            <w:gridSpan w:val="2"/>
          </w:tcPr>
          <w:p>
            <w:pPr>
              <w:ind w:left="20"/>
              <w:spacing w:after="0"/>
              <w:rPr>
                <w:sz w:val="20"/>
                <w:szCs w:val="20"/>
                <w:color w:val="auto"/>
              </w:rPr>
            </w:pPr>
            <w:r>
              <w:rPr>
                <w:rFonts w:ascii="Arial" w:cs="Arial" w:eastAsia="Arial" w:hAnsi="Arial"/>
                <w:sz w:val="14"/>
                <w:szCs w:val="14"/>
                <w:color w:val="auto"/>
                <w:w w:val="98"/>
              </w:rPr>
              <w:t>Cash, 1 Month Libor (1.00%) + 7.50%; Libor Floor 1.00%, Due 3/26</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3/8/2018</w:t>
            </w:r>
          </w:p>
        </w:tc>
        <w:tc>
          <w:tcPr>
            <w:tcW w:w="780" w:type="dxa"/>
            <w:vAlign w:val="bottom"/>
          </w:tcPr>
          <w:p>
            <w:pPr>
              <w:jc w:val="right"/>
              <w:spacing w:after="0"/>
              <w:rPr>
                <w:sz w:val="20"/>
                <w:szCs w:val="20"/>
                <w:color w:val="auto"/>
              </w:rPr>
            </w:pPr>
            <w:r>
              <w:rPr>
                <w:rFonts w:ascii="Arial" w:cs="Arial" w:eastAsia="Arial" w:hAnsi="Arial"/>
                <w:sz w:val="14"/>
                <w:szCs w:val="14"/>
                <w:color w:val="auto"/>
              </w:rPr>
              <w:t>3,500,000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3,486,780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3,430,000</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3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449,562,516</w:t>
            </w:r>
          </w:p>
        </w:tc>
        <w:tc>
          <w:tcPr>
            <w:tcW w:w="6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xml:space="preserve"> 410,719,636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419,647,553</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156.2%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-3968115</wp:posOffset>
            </wp:positionV>
            <wp:extent cx="7132320" cy="4800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-2973705</wp:posOffset>
            </wp:positionV>
            <wp:extent cx="7132320" cy="3860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-2065020</wp:posOffset>
            </wp:positionV>
            <wp:extent cx="7132320" cy="4800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-968375</wp:posOffset>
            </wp:positionV>
            <wp:extent cx="7132320" cy="574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line="12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2440" w:space="140"/>
            <w:col w:w="8620"/>
          </w:cols>
          <w:pgMar w:left="320" w:top="459"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 Portfolio</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Principal Business</w:t>
      </w:r>
    </w:p>
    <w:p>
      <w:pPr>
        <w:spacing w:after="0" w:line="222" w:lineRule="auto"/>
        <w:rPr>
          <w:sz w:val="20"/>
          <w:szCs w:val="20"/>
          <w:color w:val="auto"/>
        </w:rPr>
      </w:pPr>
      <w:r>
        <w:rPr>
          <w:rFonts w:ascii="Arial" w:cs="Arial" w:eastAsia="Arial" w:hAnsi="Arial"/>
          <w:sz w:val="14"/>
          <w:szCs w:val="14"/>
          <w:color w:val="auto"/>
        </w:rPr>
        <w:t>4L Ultimate Topco Corporation</w:t>
      </w:r>
    </w:p>
    <w:p>
      <w:pPr>
        <w:spacing w:after="0" w:line="222" w:lineRule="auto"/>
        <w:rPr>
          <w:sz w:val="20"/>
          <w:szCs w:val="20"/>
          <w:color w:val="auto"/>
        </w:rPr>
      </w:pPr>
      <w:r>
        <w:rPr>
          <w:rFonts w:ascii="Arial" w:cs="Arial" w:eastAsia="Arial" w:hAnsi="Arial"/>
          <w:sz w:val="14"/>
          <w:szCs w:val="14"/>
          <w:color w:val="auto"/>
        </w:rPr>
        <w:t>4200 Columbus Street Ottawa, IL 61350</w:t>
      </w:r>
    </w:p>
    <w:p>
      <w:pPr>
        <w:ind w:left="300"/>
        <w:spacing w:after="0"/>
        <w:rPr>
          <w:sz w:val="20"/>
          <w:szCs w:val="20"/>
          <w:color w:val="auto"/>
        </w:rPr>
      </w:pPr>
      <w:r>
        <w:rPr>
          <w:rFonts w:ascii="Arial" w:cs="Arial" w:eastAsia="Arial" w:hAnsi="Arial"/>
          <w:sz w:val="14"/>
          <w:szCs w:val="14"/>
          <w:color w:val="auto"/>
        </w:rPr>
        <w:t>Electronics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AAPC Holdings, LLC</w:t>
      </w:r>
    </w:p>
    <w:p>
      <w:pPr>
        <w:spacing w:after="0" w:line="221" w:lineRule="auto"/>
        <w:rPr>
          <w:sz w:val="20"/>
          <w:szCs w:val="20"/>
          <w:color w:val="auto"/>
        </w:rPr>
      </w:pPr>
      <w:r>
        <w:rPr>
          <w:rFonts w:ascii="Arial" w:cs="Arial" w:eastAsia="Arial" w:hAnsi="Arial"/>
          <w:sz w:val="14"/>
          <w:szCs w:val="14"/>
          <w:color w:val="auto"/>
        </w:rPr>
        <w:t>2222 Sedwick Drive Durham, NC 27713</w:t>
      </w:r>
    </w:p>
    <w:p>
      <w:pPr>
        <w:ind w:left="300"/>
        <w:spacing w:after="0"/>
        <w:rPr>
          <w:sz w:val="20"/>
          <w:szCs w:val="20"/>
          <w:color w:val="auto"/>
        </w:rPr>
      </w:pPr>
      <w:r>
        <w:rPr>
          <w:rFonts w:ascii="Arial" w:cs="Arial" w:eastAsia="Arial" w:hAnsi="Arial"/>
          <w:sz w:val="14"/>
          <w:szCs w:val="14"/>
          <w:color w:val="auto"/>
        </w:rPr>
        <w:t>Healthcare &amp; Pharmaceuticals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Advantage Capital Holdings LLC</w:t>
      </w:r>
    </w:p>
    <w:p>
      <w:pPr>
        <w:spacing w:after="0" w:line="221" w:lineRule="auto"/>
        <w:rPr>
          <w:sz w:val="20"/>
          <w:szCs w:val="20"/>
          <w:color w:val="auto"/>
        </w:rPr>
      </w:pPr>
      <w:r>
        <w:rPr>
          <w:rFonts w:ascii="Arial" w:cs="Arial" w:eastAsia="Arial" w:hAnsi="Arial"/>
          <w:sz w:val="14"/>
          <w:szCs w:val="14"/>
          <w:color w:val="auto"/>
        </w:rPr>
        <w:t>7905 Cochran Road Suite 300 Glenwillow,</w:t>
      </w:r>
    </w:p>
    <w:p>
      <w:pPr>
        <w:ind w:left="160"/>
        <w:spacing w:after="0" w:line="221" w:lineRule="auto"/>
        <w:rPr>
          <w:sz w:val="20"/>
          <w:szCs w:val="20"/>
          <w:color w:val="auto"/>
        </w:rPr>
      </w:pPr>
      <w:r>
        <w:rPr>
          <w:rFonts w:ascii="Arial" w:cs="Arial" w:eastAsia="Arial" w:hAnsi="Arial"/>
          <w:sz w:val="14"/>
          <w:szCs w:val="14"/>
          <w:color w:val="auto"/>
        </w:rPr>
        <w:t>OH 44139</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Banking, Finance, Insurance &amp; Real Estate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Anthem Sports &amp; Entertainment Inc.</w:t>
      </w:r>
    </w:p>
    <w:p>
      <w:pPr>
        <w:spacing w:after="0" w:line="221" w:lineRule="auto"/>
        <w:rPr>
          <w:sz w:val="20"/>
          <w:szCs w:val="20"/>
          <w:color w:val="auto"/>
        </w:rPr>
      </w:pPr>
      <w:r>
        <w:rPr>
          <w:rFonts w:ascii="Arial" w:cs="Arial" w:eastAsia="Arial" w:hAnsi="Arial"/>
          <w:sz w:val="14"/>
          <w:szCs w:val="14"/>
          <w:color w:val="auto"/>
        </w:rPr>
        <w:t>8 Centennial Drive Peabody, MA 01960</w:t>
      </w:r>
    </w:p>
    <w:p>
      <w:pPr>
        <w:ind w:left="300"/>
        <w:spacing w:after="0"/>
        <w:rPr>
          <w:sz w:val="20"/>
          <w:szCs w:val="20"/>
          <w:color w:val="auto"/>
        </w:rPr>
      </w:pPr>
      <w:r>
        <w:rPr>
          <w:rFonts w:ascii="Arial" w:cs="Arial" w:eastAsia="Arial" w:hAnsi="Arial"/>
          <w:sz w:val="14"/>
          <w:szCs w:val="14"/>
          <w:color w:val="auto"/>
        </w:rPr>
        <w:t>Media: Broadcasting &amp; Subscription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Anthem Sports &amp; Entertainment Inc.</w:t>
      </w:r>
    </w:p>
    <w:p>
      <w:pPr>
        <w:spacing w:after="0" w:line="221" w:lineRule="auto"/>
        <w:rPr>
          <w:sz w:val="20"/>
          <w:szCs w:val="20"/>
          <w:color w:val="auto"/>
        </w:rPr>
      </w:pPr>
      <w:r>
        <w:rPr>
          <w:rFonts w:ascii="Arial" w:cs="Arial" w:eastAsia="Arial" w:hAnsi="Arial"/>
          <w:sz w:val="14"/>
          <w:szCs w:val="14"/>
          <w:color w:val="auto"/>
        </w:rPr>
        <w:t>8 Centennial Drive Peabody, MA 01960</w:t>
      </w:r>
    </w:p>
    <w:p>
      <w:pPr>
        <w:ind w:left="300"/>
        <w:spacing w:after="0"/>
        <w:rPr>
          <w:sz w:val="20"/>
          <w:szCs w:val="20"/>
          <w:color w:val="auto"/>
        </w:rPr>
      </w:pPr>
      <w:r>
        <w:rPr>
          <w:rFonts w:ascii="Arial" w:cs="Arial" w:eastAsia="Arial" w:hAnsi="Arial"/>
          <w:sz w:val="14"/>
          <w:szCs w:val="14"/>
          <w:color w:val="auto"/>
        </w:rPr>
        <w:t>Media: Broadcasting &amp; Subscription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Anthem Sports &amp; Entertainment Inc.</w:t>
      </w:r>
    </w:p>
    <w:p>
      <w:pPr>
        <w:spacing w:after="0" w:line="221" w:lineRule="auto"/>
        <w:rPr>
          <w:sz w:val="20"/>
          <w:szCs w:val="20"/>
          <w:color w:val="auto"/>
        </w:rPr>
      </w:pPr>
      <w:r>
        <w:rPr>
          <w:rFonts w:ascii="Arial" w:cs="Arial" w:eastAsia="Arial" w:hAnsi="Arial"/>
          <w:sz w:val="14"/>
          <w:szCs w:val="14"/>
          <w:color w:val="auto"/>
        </w:rPr>
        <w:t>8 Centennial Drive Peabody, MA 01960</w:t>
      </w:r>
    </w:p>
    <w:p>
      <w:pPr>
        <w:ind w:left="300"/>
        <w:spacing w:after="0"/>
        <w:rPr>
          <w:sz w:val="20"/>
          <w:szCs w:val="20"/>
          <w:color w:val="auto"/>
        </w:rPr>
      </w:pPr>
      <w:r>
        <w:rPr>
          <w:rFonts w:ascii="Arial" w:cs="Arial" w:eastAsia="Arial" w:hAnsi="Arial"/>
          <w:sz w:val="14"/>
          <w:szCs w:val="14"/>
          <w:color w:val="auto"/>
        </w:rPr>
        <w:t>Media: Broadcasting &amp; Subscription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ATP Oil &amp; Gas Corporation</w:t>
      </w:r>
    </w:p>
    <w:p>
      <w:pPr>
        <w:spacing w:after="0" w:line="221" w:lineRule="auto"/>
        <w:rPr>
          <w:sz w:val="20"/>
          <w:szCs w:val="20"/>
          <w:color w:val="auto"/>
        </w:rPr>
      </w:pPr>
      <w:r>
        <w:rPr>
          <w:rFonts w:ascii="Arial" w:cs="Arial" w:eastAsia="Arial" w:hAnsi="Arial"/>
          <w:sz w:val="14"/>
          <w:szCs w:val="14"/>
          <w:color w:val="auto"/>
        </w:rPr>
        <w:t>4600 Post Oak Place, Suite 100, Houston,</w:t>
      </w:r>
    </w:p>
    <w:p>
      <w:pPr>
        <w:ind w:left="160"/>
        <w:spacing w:after="0" w:line="221" w:lineRule="auto"/>
        <w:rPr>
          <w:sz w:val="20"/>
          <w:szCs w:val="20"/>
          <w:color w:val="auto"/>
        </w:rPr>
      </w:pPr>
      <w:r>
        <w:rPr>
          <w:rFonts w:ascii="Arial" w:cs="Arial" w:eastAsia="Arial" w:hAnsi="Arial"/>
          <w:sz w:val="14"/>
          <w:szCs w:val="14"/>
          <w:color w:val="auto"/>
        </w:rPr>
        <w:t>TX, 77027</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Energy: Oil &amp; Gas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BMP Slappey Holdco, LLC</w:t>
      </w:r>
    </w:p>
    <w:p>
      <w:pPr>
        <w:spacing w:after="0"/>
        <w:rPr>
          <w:sz w:val="20"/>
          <w:szCs w:val="20"/>
          <w:color w:val="auto"/>
        </w:rPr>
      </w:pPr>
      <w:r>
        <w:rPr>
          <w:rFonts w:ascii="Arial" w:cs="Arial" w:eastAsia="Arial" w:hAnsi="Arial"/>
          <w:sz w:val="13"/>
          <w:szCs w:val="13"/>
          <w:color w:val="auto"/>
        </w:rPr>
        <w:t>4260 Cahaba Heights Court, Suite 100, Birmingham, AL</w:t>
      </w:r>
    </w:p>
    <w:p>
      <w:pPr>
        <w:ind w:left="160"/>
        <w:spacing w:after="0" w:line="221" w:lineRule="auto"/>
        <w:rPr>
          <w:sz w:val="20"/>
          <w:szCs w:val="20"/>
          <w:color w:val="auto"/>
        </w:rPr>
      </w:pPr>
      <w:r>
        <w:rPr>
          <w:rFonts w:ascii="Arial" w:cs="Arial" w:eastAsia="Arial" w:hAnsi="Arial"/>
          <w:sz w:val="14"/>
          <w:szCs w:val="14"/>
          <w:color w:val="auto"/>
        </w:rPr>
        <w:t>35243</w:t>
      </w:r>
    </w:p>
    <w:p>
      <w:pPr>
        <w:ind w:left="300"/>
        <w:spacing w:after="0"/>
        <w:rPr>
          <w:sz w:val="20"/>
          <w:szCs w:val="20"/>
          <w:color w:val="auto"/>
        </w:rPr>
      </w:pPr>
      <w:r>
        <w:rPr>
          <w:rFonts w:ascii="Arial" w:cs="Arial" w:eastAsia="Arial" w:hAnsi="Arial"/>
          <w:sz w:val="14"/>
          <w:szCs w:val="14"/>
          <w:color w:val="auto"/>
        </w:rPr>
        <w:t>Telecommunications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BMP Slappey Holdco, LLC</w:t>
      </w:r>
    </w:p>
    <w:p>
      <w:pPr>
        <w:spacing w:after="0"/>
        <w:rPr>
          <w:sz w:val="20"/>
          <w:szCs w:val="20"/>
          <w:color w:val="auto"/>
        </w:rPr>
      </w:pPr>
      <w:r>
        <w:rPr>
          <w:rFonts w:ascii="Arial" w:cs="Arial" w:eastAsia="Arial" w:hAnsi="Arial"/>
          <w:sz w:val="13"/>
          <w:szCs w:val="13"/>
          <w:color w:val="auto"/>
        </w:rPr>
        <w:t>4260 Cahaba Heights Court, Suite 100, Birmingham, AL</w:t>
      </w:r>
    </w:p>
    <w:p>
      <w:pPr>
        <w:ind w:left="160"/>
        <w:spacing w:after="0" w:line="221" w:lineRule="auto"/>
        <w:rPr>
          <w:sz w:val="20"/>
          <w:szCs w:val="20"/>
          <w:color w:val="auto"/>
        </w:rPr>
      </w:pPr>
      <w:r>
        <w:rPr>
          <w:rFonts w:ascii="Arial" w:cs="Arial" w:eastAsia="Arial" w:hAnsi="Arial"/>
          <w:sz w:val="14"/>
          <w:szCs w:val="14"/>
          <w:color w:val="auto"/>
        </w:rPr>
        <w:t>35243</w:t>
      </w:r>
    </w:p>
    <w:p>
      <w:pPr>
        <w:ind w:left="300"/>
        <w:spacing w:after="0"/>
        <w:rPr>
          <w:sz w:val="20"/>
          <w:szCs w:val="20"/>
          <w:color w:val="auto"/>
        </w:rPr>
      </w:pPr>
      <w:r>
        <w:rPr>
          <w:rFonts w:ascii="Arial" w:cs="Arial" w:eastAsia="Arial" w:hAnsi="Arial"/>
          <w:sz w:val="14"/>
          <w:szCs w:val="14"/>
          <w:color w:val="auto"/>
        </w:rPr>
        <w:t>Telecommunications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Brite Media LLC</w:t>
      </w:r>
    </w:p>
    <w:p>
      <w:pPr>
        <w:jc w:val="right"/>
        <w:ind w:right="540"/>
        <w:spacing w:after="0" w:line="271" w:lineRule="auto"/>
        <w:rPr>
          <w:sz w:val="20"/>
          <w:szCs w:val="20"/>
          <w:color w:val="auto"/>
        </w:rPr>
      </w:pPr>
      <w:r>
        <w:rPr>
          <w:rFonts w:ascii="Arial" w:cs="Arial" w:eastAsia="Arial" w:hAnsi="Arial"/>
          <w:sz w:val="13"/>
          <w:szCs w:val="13"/>
          <w:color w:val="auto"/>
        </w:rPr>
        <w:t>475 14th Street, Suite 200, Oakland, CA 94612 Media: Advertising, Printing &amp; Publishing</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Centric Brands Inc.</w:t>
      </w:r>
    </w:p>
    <w:p>
      <w:pPr>
        <w:spacing w:after="0" w:line="221" w:lineRule="auto"/>
        <w:rPr>
          <w:sz w:val="20"/>
          <w:szCs w:val="20"/>
          <w:color w:val="auto"/>
        </w:rPr>
      </w:pPr>
      <w:r>
        <w:rPr>
          <w:rFonts w:ascii="Arial" w:cs="Arial" w:eastAsia="Arial" w:hAnsi="Arial"/>
          <w:sz w:val="14"/>
          <w:szCs w:val="14"/>
          <w:color w:val="auto"/>
        </w:rPr>
        <w:t>150 Verona Street, Rochester, NY 14608</w:t>
      </w:r>
    </w:p>
    <w:p>
      <w:pPr>
        <w:ind w:left="300"/>
        <w:spacing w:after="0"/>
        <w:rPr>
          <w:sz w:val="20"/>
          <w:szCs w:val="20"/>
          <w:color w:val="auto"/>
        </w:rPr>
      </w:pPr>
      <w:r>
        <w:rPr>
          <w:rFonts w:ascii="Arial" w:cs="Arial" w:eastAsia="Arial" w:hAnsi="Arial"/>
          <w:sz w:val="14"/>
          <w:szCs w:val="14"/>
          <w:color w:val="auto"/>
        </w:rPr>
        <w:t>Machinery (Non-Agrclt/Constr/Electr)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(8)(13)(19)</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(8)(13)(21)(22)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(8)(13)(19)(22)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(8)(13)(19)(21)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(8)(13)(19)(21)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(8)(13)(19)(21)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(8)(12)(13)(19)</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1"/>
          <w:szCs w:val="11"/>
          <w:color w:val="auto"/>
        </w:rPr>
        <w:t>(8)(13)(18)(19)</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(25)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(8)(13)(18)(19)</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(25)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(8)(13)(19)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(8)(13)(19)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1"/>
          <w:szCs w:val="11"/>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-1091565</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22225</wp:posOffset>
            </wp:positionV>
            <wp:extent cx="713232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Common</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Class A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175260</wp:posOffset>
            </wp:positionV>
            <wp:extent cx="7132320" cy="386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Class A Membership Units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Warrant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175260</wp:posOffset>
            </wp:positionV>
            <wp:extent cx="713232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Warrant Class B</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Warrant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175260</wp:posOffset>
            </wp:positionV>
            <wp:extent cx="7132320"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Limited Term Royalty Interest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218440</wp:posOffset>
            </wp:positionV>
            <wp:extent cx="7132320" cy="3854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175260</wp:posOffset>
            </wp:positionV>
            <wp:extent cx="713232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Common</w:t>
      </w:r>
    </w:p>
    <w:p>
      <w:pPr>
        <w:spacing w:after="0" w:line="3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Quantity/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Cost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Par /Shares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2"/>
                <w:szCs w:val="12"/>
                <w:b w:val="1"/>
                <w:bCs w:val="1"/>
                <w:color w:val="auto"/>
                <w:w w:val="99"/>
              </w:rPr>
              <w:t>2</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5/29/2020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29,416</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29,275</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67"/>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6/27/2019</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5,500,000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5,500,000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5,500,000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15"/>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2/14/2020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628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67"/>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9/9/2019</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263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46,371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20,893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67"/>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9/9/2019</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67"/>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9/9/2019</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859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16"/>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12/18/2019</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1,335,378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1,335,378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2,273,401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16"/>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200,000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466,949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471,552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15"/>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88,946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207,666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209,713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567"/>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139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150,026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171,000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567"/>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10/28/2020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36,342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33,398</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ectPr>
          <w:pgSz w:w="11900" w:h="16838" w:orient="portrait"/>
          <w:cols w:equalWidth="0" w:num="4">
            <w:col w:w="3300" w:space="300"/>
            <w:col w:w="760" w:space="280"/>
            <w:col w:w="1980" w:space="720"/>
            <w:col w:w="386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w:t>
            </w:r>
          </w:p>
        </w:tc>
        <w:tc>
          <w:tcPr>
            <w:tcW w:w="1320" w:type="dxa"/>
            <w:vAlign w:val="bottom"/>
          </w:tcPr>
          <w:p>
            <w:pPr>
              <w:spacing w:after="0"/>
              <w:rPr>
                <w:sz w:val="14"/>
                <w:szCs w:val="14"/>
                <w:color w:val="auto"/>
              </w:rPr>
            </w:pPr>
          </w:p>
        </w:tc>
        <w:tc>
          <w:tcPr>
            <w:tcW w:w="26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Principal Business</w:t>
            </w:r>
          </w:p>
        </w:tc>
        <w:tc>
          <w:tcPr>
            <w:tcW w:w="2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60" w:type="dxa"/>
            <w:vAlign w:val="bottom"/>
            <w:gridSpan w:val="2"/>
          </w:tcPr>
          <w:p>
            <w:pPr>
              <w:spacing w:after="0"/>
              <w:rPr>
                <w:sz w:val="20"/>
                <w:szCs w:val="20"/>
                <w:color w:val="auto"/>
              </w:rPr>
            </w:pPr>
            <w:r>
              <w:rPr>
                <w:rFonts w:ascii="Arial" w:cs="Arial" w:eastAsia="Arial" w:hAnsi="Arial"/>
                <w:sz w:val="14"/>
                <w:szCs w:val="14"/>
                <w:color w:val="auto"/>
              </w:rPr>
              <w:t>Coastal Screen and Rail, LLC</w:t>
            </w:r>
          </w:p>
        </w:tc>
        <w:tc>
          <w:tcPr>
            <w:tcW w:w="1320" w:type="dxa"/>
            <w:vAlign w:val="bottom"/>
          </w:tcPr>
          <w:p>
            <w:pPr>
              <w:ind w:left="200"/>
              <w:spacing w:after="0"/>
              <w:rPr>
                <w:sz w:val="20"/>
                <w:szCs w:val="20"/>
                <w:color w:val="auto"/>
              </w:rPr>
            </w:pPr>
            <w:r>
              <w:rPr>
                <w:rFonts w:ascii="Arial" w:cs="Arial" w:eastAsia="Arial" w:hAnsi="Arial"/>
                <w:sz w:val="12"/>
                <w:szCs w:val="12"/>
                <w:color w:val="auto"/>
              </w:rPr>
              <w:t>(8)(13)(19)(25)</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1127 Poinsettia Dr., Delray Beach, FL 33444</w:t>
            </w:r>
          </w:p>
        </w:tc>
        <w:tc>
          <w:tcPr>
            <w:tcW w:w="400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Preferred Stock</w:t>
            </w:r>
          </w:p>
        </w:tc>
        <w:tc>
          <w:tcPr>
            <w:tcW w:w="0" w:type="dxa"/>
            <w:vAlign w:val="bottom"/>
          </w:tcPr>
          <w:p>
            <w:pPr>
              <w:spacing w:after="0"/>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Construction &amp; Building</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eInstruction Acquisition, LLC</w:t>
            </w:r>
          </w:p>
        </w:tc>
        <w:tc>
          <w:tcPr>
            <w:tcW w:w="1320" w:type="dxa"/>
            <w:vAlign w:val="bottom"/>
          </w:tcPr>
          <w:p>
            <w:pPr>
              <w:ind w:left="20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255 W Federal St, Youngstown, OH 44503</w:t>
            </w:r>
          </w:p>
        </w:tc>
        <w:tc>
          <w:tcPr>
            <w:tcW w:w="400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Membership Units</w:t>
            </w:r>
          </w:p>
        </w:tc>
        <w:tc>
          <w:tcPr>
            <w:tcW w:w="0" w:type="dxa"/>
            <w:vAlign w:val="bottom"/>
          </w:tcPr>
          <w:p>
            <w:pPr>
              <w:spacing w:after="0"/>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EJF Investments Ltd.</w:t>
            </w:r>
          </w:p>
        </w:tc>
        <w:tc>
          <w:tcPr>
            <w:tcW w:w="1320" w:type="dxa"/>
            <w:vAlign w:val="bottom"/>
          </w:tcPr>
          <w:p>
            <w:pPr>
              <w:ind w:left="200"/>
              <w:spacing w:after="0"/>
              <w:rPr>
                <w:sz w:val="20"/>
                <w:szCs w:val="20"/>
                <w:color w:val="auto"/>
              </w:rPr>
            </w:pPr>
            <w:r>
              <w:rPr>
                <w:rFonts w:ascii="Arial" w:cs="Arial" w:eastAsia="Arial" w:hAnsi="Arial"/>
                <w:sz w:val="12"/>
                <w:szCs w:val="12"/>
                <w:color w:val="auto"/>
              </w:rPr>
              <w:t>(3)(19)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399 Park Ave, New York, NY 10043</w:t>
            </w:r>
          </w:p>
        </w:tc>
        <w:tc>
          <w:tcPr>
            <w:tcW w:w="400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Preferred Equity</w:t>
            </w:r>
          </w:p>
        </w:tc>
        <w:tc>
          <w:tcPr>
            <w:tcW w:w="0" w:type="dxa"/>
            <w:vAlign w:val="bottom"/>
          </w:tcPr>
          <w:p>
            <w:pPr>
              <w:spacing w:after="0"/>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Emtec, Inc.</w:t>
            </w:r>
          </w:p>
        </w:tc>
        <w:tc>
          <w:tcPr>
            <w:tcW w:w="1320" w:type="dxa"/>
            <w:vAlign w:val="bottom"/>
          </w:tcPr>
          <w:p>
            <w:pPr>
              <w:ind w:left="20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555 East Lancaster Ave., Suite 510 Radnor,</w:t>
            </w:r>
          </w:p>
        </w:tc>
        <w:tc>
          <w:tcPr>
            <w:tcW w:w="4000" w:type="dxa"/>
            <w:vAlign w:val="bottom"/>
            <w:gridSpan w:val="2"/>
            <w:vMerge w:val="restart"/>
          </w:tcPr>
          <w:p>
            <w:pPr>
              <w:ind w:left="1320"/>
              <w:spacing w:after="0"/>
              <w:rPr>
                <w:sz w:val="20"/>
                <w:szCs w:val="20"/>
                <w:color w:val="auto"/>
              </w:rPr>
            </w:pPr>
            <w:r>
              <w:rPr>
                <w:rFonts w:ascii="Arial" w:cs="Arial" w:eastAsia="Arial" w:hAnsi="Arial"/>
                <w:sz w:val="14"/>
                <w:szCs w:val="14"/>
                <w:color w:val="auto"/>
              </w:rPr>
              <w:t>Class A Preferred Units</w:t>
            </w:r>
          </w:p>
        </w:tc>
        <w:tc>
          <w:tcPr>
            <w:tcW w:w="0" w:type="dxa"/>
            <w:vAlign w:val="bottom"/>
          </w:tcPr>
          <w:p>
            <w:pPr>
              <w:spacing w:after="0"/>
              <w:rPr>
                <w:sz w:val="1"/>
                <w:szCs w:val="1"/>
                <w:color w:val="auto"/>
              </w:rPr>
            </w:pPr>
          </w:p>
        </w:tc>
      </w:tr>
      <w:tr>
        <w:trPr>
          <w:trHeight w:val="115"/>
        </w:trPr>
        <w:tc>
          <w:tcPr>
            <w:tcW w:w="31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PA 19087</w:t>
            </w:r>
          </w:p>
        </w:tc>
        <w:tc>
          <w:tcPr>
            <w:tcW w:w="4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160" w:type="dxa"/>
            <w:vAlign w:val="bottom"/>
            <w:gridSpan w:val="2"/>
            <w:vMerge w:val="continue"/>
          </w:tcPr>
          <w:p>
            <w:pPr>
              <w:spacing w:after="0"/>
              <w:rPr>
                <w:sz w:val="2"/>
                <w:szCs w:val="2"/>
                <w:color w:val="auto"/>
              </w:rPr>
            </w:pPr>
          </w:p>
        </w:tc>
        <w:tc>
          <w:tcPr>
            <w:tcW w:w="1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Flight Lease VII</w:t>
            </w:r>
          </w:p>
        </w:tc>
        <w:tc>
          <w:tcPr>
            <w:tcW w:w="1320" w:type="dxa"/>
            <w:vAlign w:val="bottom"/>
          </w:tcPr>
          <w:p>
            <w:pPr>
              <w:ind w:left="200"/>
              <w:spacing w:after="0"/>
              <w:rPr>
                <w:sz w:val="20"/>
                <w:szCs w:val="20"/>
                <w:color w:val="auto"/>
              </w:rPr>
            </w:pPr>
            <w:r>
              <w:rPr>
                <w:rFonts w:ascii="Arial" w:cs="Arial" w:eastAsia="Arial" w:hAnsi="Arial"/>
                <w:sz w:val="12"/>
                <w:szCs w:val="12"/>
                <w:color w:val="auto"/>
              </w:rPr>
              <w:t>(8)(13)(16)(19)(26)</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w w:val="97"/>
              </w:rPr>
              <w:t>324 Datura Street, Suite 252, West Palm Beach, FL</w:t>
            </w:r>
          </w:p>
        </w:tc>
        <w:tc>
          <w:tcPr>
            <w:tcW w:w="4000" w:type="dxa"/>
            <w:vAlign w:val="bottom"/>
            <w:gridSpan w:val="2"/>
            <w:vMerge w:val="restart"/>
          </w:tcPr>
          <w:p>
            <w:pPr>
              <w:ind w:left="1320"/>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15"/>
        </w:trPr>
        <w:tc>
          <w:tcPr>
            <w:tcW w:w="11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33401</w:t>
            </w:r>
          </w:p>
        </w:tc>
        <w:tc>
          <w:tcPr>
            <w:tcW w:w="2020" w:type="dxa"/>
            <w:vAlign w:val="bottom"/>
          </w:tcPr>
          <w:p>
            <w:pPr>
              <w:spacing w:after="0"/>
              <w:rPr>
                <w:sz w:val="9"/>
                <w:szCs w:val="9"/>
                <w:color w:val="auto"/>
              </w:rPr>
            </w:pPr>
          </w:p>
        </w:tc>
        <w:tc>
          <w:tcPr>
            <w:tcW w:w="4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40" w:type="dxa"/>
            <w:vAlign w:val="bottom"/>
            <w:vMerge w:val="continue"/>
          </w:tcPr>
          <w:p>
            <w:pPr>
              <w:spacing w:after="0"/>
              <w:rPr>
                <w:sz w:val="2"/>
                <w:szCs w:val="2"/>
                <w:color w:val="auto"/>
              </w:rPr>
            </w:pPr>
          </w:p>
        </w:tc>
        <w:tc>
          <w:tcPr>
            <w:tcW w:w="2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Aerospace and Defense</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Flight Lease XII</w:t>
            </w:r>
          </w:p>
        </w:tc>
        <w:tc>
          <w:tcPr>
            <w:tcW w:w="1320" w:type="dxa"/>
            <w:vAlign w:val="bottom"/>
          </w:tcPr>
          <w:p>
            <w:pPr>
              <w:ind w:left="200"/>
              <w:spacing w:after="0"/>
              <w:rPr>
                <w:sz w:val="20"/>
                <w:szCs w:val="20"/>
                <w:color w:val="auto"/>
              </w:rPr>
            </w:pPr>
            <w:r>
              <w:rPr>
                <w:rFonts w:ascii="Arial" w:cs="Arial" w:eastAsia="Arial" w:hAnsi="Arial"/>
                <w:sz w:val="12"/>
                <w:szCs w:val="12"/>
                <w:color w:val="auto"/>
              </w:rPr>
              <w:t>(8)(13)(18)(19)(25)</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w w:val="97"/>
              </w:rPr>
              <w:t>324 Datura Street, Suite 252, West Palm Beach, FL</w:t>
            </w:r>
          </w:p>
        </w:tc>
        <w:tc>
          <w:tcPr>
            <w:tcW w:w="4000" w:type="dxa"/>
            <w:vAlign w:val="bottom"/>
            <w:gridSpan w:val="2"/>
            <w:vMerge w:val="restart"/>
          </w:tcPr>
          <w:p>
            <w:pPr>
              <w:ind w:left="1320"/>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15"/>
        </w:trPr>
        <w:tc>
          <w:tcPr>
            <w:tcW w:w="11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33401</w:t>
            </w:r>
          </w:p>
        </w:tc>
        <w:tc>
          <w:tcPr>
            <w:tcW w:w="2020" w:type="dxa"/>
            <w:vAlign w:val="bottom"/>
          </w:tcPr>
          <w:p>
            <w:pPr>
              <w:spacing w:after="0"/>
              <w:rPr>
                <w:sz w:val="9"/>
                <w:szCs w:val="9"/>
                <w:color w:val="auto"/>
              </w:rPr>
            </w:pPr>
          </w:p>
        </w:tc>
        <w:tc>
          <w:tcPr>
            <w:tcW w:w="4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40" w:type="dxa"/>
            <w:vAlign w:val="bottom"/>
            <w:vMerge w:val="continue"/>
          </w:tcPr>
          <w:p>
            <w:pPr>
              <w:spacing w:after="0"/>
              <w:rPr>
                <w:sz w:val="2"/>
                <w:szCs w:val="2"/>
                <w:color w:val="auto"/>
              </w:rPr>
            </w:pPr>
          </w:p>
        </w:tc>
        <w:tc>
          <w:tcPr>
            <w:tcW w:w="2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Aerospace and Defense</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Oneida Group, Inc.</w:t>
            </w:r>
          </w:p>
        </w:tc>
        <w:tc>
          <w:tcPr>
            <w:tcW w:w="1320" w:type="dxa"/>
            <w:vAlign w:val="bottom"/>
          </w:tcPr>
          <w:p>
            <w:pPr>
              <w:ind w:left="20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519 N. Pierce Avenue Lancaster, OH 43130</w:t>
            </w:r>
          </w:p>
        </w:tc>
        <w:tc>
          <w:tcPr>
            <w:tcW w:w="400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Consumer goods: Durable</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FP WRCA Coinvestment Fund VII, Ltd.</w:t>
            </w:r>
          </w:p>
        </w:tc>
        <w:tc>
          <w:tcPr>
            <w:tcW w:w="1320" w:type="dxa"/>
            <w:vAlign w:val="bottom"/>
          </w:tcPr>
          <w:p>
            <w:pPr>
              <w:ind w:left="200"/>
              <w:spacing w:after="0"/>
              <w:rPr>
                <w:sz w:val="20"/>
                <w:szCs w:val="20"/>
                <w:color w:val="auto"/>
              </w:rPr>
            </w:pPr>
            <w:r>
              <w:rPr>
                <w:rFonts w:ascii="Arial" w:cs="Arial" w:eastAsia="Arial" w:hAnsi="Arial"/>
                <w:sz w:val="12"/>
                <w:szCs w:val="12"/>
                <w:color w:val="auto"/>
              </w:rPr>
              <w:t>(3)(13)(19)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2400 W75th St., Prairie Village, KS 66208</w:t>
            </w:r>
          </w:p>
        </w:tc>
        <w:tc>
          <w:tcPr>
            <w:tcW w:w="400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Class A Shares</w:t>
            </w:r>
          </w:p>
        </w:tc>
        <w:tc>
          <w:tcPr>
            <w:tcW w:w="0" w:type="dxa"/>
            <w:vAlign w:val="bottom"/>
          </w:tcPr>
          <w:p>
            <w:pPr>
              <w:spacing w:after="0"/>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Capital Equipment</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Fusion Connect, Inc.</w:t>
            </w:r>
          </w:p>
        </w:tc>
        <w:tc>
          <w:tcPr>
            <w:tcW w:w="1320" w:type="dxa"/>
            <w:vAlign w:val="bottom"/>
          </w:tcPr>
          <w:p>
            <w:pPr>
              <w:ind w:left="20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420 Lexington Ave., Suite 1718 New York,</w:t>
            </w:r>
          </w:p>
        </w:tc>
        <w:tc>
          <w:tcPr>
            <w:tcW w:w="4000" w:type="dxa"/>
            <w:vAlign w:val="bottom"/>
            <w:gridSpan w:val="2"/>
            <w:vMerge w:val="restart"/>
          </w:tcPr>
          <w:p>
            <w:pPr>
              <w:ind w:left="1320"/>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15"/>
        </w:trPr>
        <w:tc>
          <w:tcPr>
            <w:tcW w:w="31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NY 10170</w:t>
            </w:r>
          </w:p>
        </w:tc>
        <w:tc>
          <w:tcPr>
            <w:tcW w:w="4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160" w:type="dxa"/>
            <w:vAlign w:val="bottom"/>
            <w:gridSpan w:val="2"/>
            <w:vMerge w:val="continue"/>
          </w:tcPr>
          <w:p>
            <w:pPr>
              <w:spacing w:after="0"/>
              <w:rPr>
                <w:sz w:val="2"/>
                <w:szCs w:val="2"/>
                <w:color w:val="auto"/>
              </w:rPr>
            </w:pPr>
          </w:p>
        </w:tc>
        <w:tc>
          <w:tcPr>
            <w:tcW w:w="1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Telecommunications</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GIG Rooster Holdings I, LLC</w:t>
            </w:r>
          </w:p>
        </w:tc>
        <w:tc>
          <w:tcPr>
            <w:tcW w:w="1320" w:type="dxa"/>
            <w:vAlign w:val="bottom"/>
          </w:tcPr>
          <w:p>
            <w:pPr>
              <w:ind w:left="200"/>
              <w:spacing w:after="0"/>
              <w:rPr>
                <w:sz w:val="20"/>
                <w:szCs w:val="20"/>
                <w:color w:val="auto"/>
              </w:rPr>
            </w:pPr>
            <w:r>
              <w:rPr>
                <w:rFonts w:ascii="Arial" w:cs="Arial" w:eastAsia="Arial" w:hAnsi="Arial"/>
                <w:sz w:val="12"/>
                <w:szCs w:val="12"/>
                <w:color w:val="auto"/>
              </w:rPr>
              <w:t>(8)(13)(18)(19)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16285 Park Ten Place, Suite 120 Houston,</w:t>
            </w:r>
          </w:p>
        </w:tc>
        <w:tc>
          <w:tcPr>
            <w:tcW w:w="4000" w:type="dxa"/>
            <w:vAlign w:val="bottom"/>
            <w:gridSpan w:val="2"/>
            <w:vMerge w:val="restart"/>
          </w:tcPr>
          <w:p>
            <w:pPr>
              <w:ind w:left="1320"/>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15"/>
        </w:trPr>
        <w:tc>
          <w:tcPr>
            <w:tcW w:w="31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TX 77084</w:t>
            </w:r>
          </w:p>
        </w:tc>
        <w:tc>
          <w:tcPr>
            <w:tcW w:w="4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160" w:type="dxa"/>
            <w:vAlign w:val="bottom"/>
            <w:gridSpan w:val="2"/>
            <w:vMerge w:val="continue"/>
          </w:tcPr>
          <w:p>
            <w:pPr>
              <w:spacing w:after="0"/>
              <w:rPr>
                <w:sz w:val="2"/>
                <w:szCs w:val="2"/>
                <w:color w:val="auto"/>
              </w:rPr>
            </w:pPr>
          </w:p>
        </w:tc>
        <w:tc>
          <w:tcPr>
            <w:tcW w:w="1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Energy: Oil &amp; Gas</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KC Engineering &amp; Construction Services,</w:t>
            </w:r>
          </w:p>
        </w:tc>
        <w:tc>
          <w:tcPr>
            <w:tcW w:w="1320" w:type="dxa"/>
            <w:vAlign w:val="bottom"/>
          </w:tcPr>
          <w:p>
            <w:pPr>
              <w:ind w:left="200"/>
              <w:spacing w:after="0"/>
              <w:rPr>
                <w:sz w:val="20"/>
                <w:szCs w:val="20"/>
                <w:color w:val="auto"/>
              </w:rPr>
            </w:pPr>
            <w:r>
              <w:rPr>
                <w:rFonts w:ascii="Arial" w:cs="Arial" w:eastAsia="Arial" w:hAnsi="Arial"/>
                <w:sz w:val="12"/>
                <w:szCs w:val="12"/>
                <w:color w:val="auto"/>
              </w:rPr>
              <w:t>(8)(13)(19)(25)</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LLC</w:t>
            </w:r>
          </w:p>
        </w:tc>
        <w:tc>
          <w:tcPr>
            <w:tcW w:w="1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4921 Memorial Highway, Suite 300, Tampa,</w:t>
            </w:r>
          </w:p>
        </w:tc>
        <w:tc>
          <w:tcPr>
            <w:tcW w:w="400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48"/>
        </w:trPr>
        <w:tc>
          <w:tcPr>
            <w:tcW w:w="31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FL 33634</w:t>
            </w:r>
          </w:p>
        </w:tc>
        <w:tc>
          <w:tcPr>
            <w:tcW w:w="1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Environmental Industries</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4"/>
                <w:szCs w:val="14"/>
                <w:color w:val="auto"/>
              </w:rPr>
              <w:t>Kleen-Tech Acquisition, LLC</w:t>
            </w:r>
          </w:p>
        </w:tc>
        <w:tc>
          <w:tcPr>
            <w:tcW w:w="1320" w:type="dxa"/>
            <w:vAlign w:val="bottom"/>
          </w:tcPr>
          <w:p>
            <w:pPr>
              <w:ind w:left="200"/>
              <w:spacing w:after="0"/>
              <w:rPr>
                <w:sz w:val="20"/>
                <w:szCs w:val="20"/>
                <w:color w:val="auto"/>
              </w:rPr>
            </w:pPr>
            <w:r>
              <w:rPr>
                <w:rFonts w:ascii="Arial" w:cs="Arial" w:eastAsia="Arial" w:hAnsi="Arial"/>
                <w:sz w:val="12"/>
                <w:szCs w:val="12"/>
                <w:color w:val="auto"/>
              </w:rPr>
              <w:t>(8)(13)(18)(19)(25)</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7100 Broadway, Suite 6-L, Denver, CO 80221</w:t>
            </w:r>
          </w:p>
        </w:tc>
        <w:tc>
          <w:tcPr>
            <w:tcW w:w="400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82"/>
        </w:trPr>
        <w:tc>
          <w:tcPr>
            <w:tcW w:w="31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0" w:type="dxa"/>
            <w:vAlign w:val="bottom"/>
            <w:gridSpan w:val="2"/>
          </w:tcPr>
          <w:p>
            <w:pPr>
              <w:ind w:left="23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-5074285</wp:posOffset>
            </wp:positionV>
            <wp:extent cx="71323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-4354195</wp:posOffset>
            </wp:positionV>
            <wp:extent cx="713232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386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385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854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480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Quantity/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vMerge w:val="continue"/>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Cost</w:t>
            </w:r>
          </w:p>
        </w:tc>
        <w:tc>
          <w:tcPr>
            <w:tcW w:w="14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Par /Shares</w:t>
            </w:r>
          </w:p>
        </w:tc>
        <w:tc>
          <w:tcPr>
            <w:tcW w:w="16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2"/>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150,000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418,387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448,000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7/2/2007</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1,076</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1,079,617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6/17/2020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1,000,000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1,256,272</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1,549,296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715"/>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319,357</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08"/>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1,938</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280,170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300,000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16"/>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529,787</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567,285</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1,085,565</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345,834</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2,030,007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2/2/2007</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1,500,000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1,500,000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443,550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15"/>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121,871</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865,853</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816,536</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15"/>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99</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79,200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864"/>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131,081</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4,314,740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4,620,137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67"/>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250,000</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1,264,409</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1,353,904</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ectPr>
          <w:pgSz w:w="11900" w:h="16838" w:orient="portrait"/>
          <w:cols w:equalWidth="0" w:num="2">
            <w:col w:w="7160" w:space="120"/>
            <w:col w:w="390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w:t>
            </w:r>
          </w:p>
        </w:tc>
        <w:tc>
          <w:tcPr>
            <w:tcW w:w="1180" w:type="dxa"/>
            <w:vAlign w:val="bottom"/>
          </w:tcPr>
          <w:p>
            <w:pPr>
              <w:spacing w:after="0"/>
              <w:rPr>
                <w:sz w:val="14"/>
                <w:szCs w:val="14"/>
                <w:color w:val="auto"/>
              </w:rPr>
            </w:pPr>
          </w:p>
        </w:tc>
        <w:tc>
          <w:tcPr>
            <w:tcW w:w="26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Principal Business</w:t>
            </w:r>
          </w:p>
        </w:tc>
        <w:tc>
          <w:tcPr>
            <w:tcW w:w="1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60" w:type="dxa"/>
            <w:vAlign w:val="bottom"/>
            <w:gridSpan w:val="2"/>
          </w:tcPr>
          <w:p>
            <w:pPr>
              <w:spacing w:after="0"/>
              <w:rPr>
                <w:sz w:val="20"/>
                <w:szCs w:val="20"/>
                <w:color w:val="auto"/>
              </w:rPr>
            </w:pPr>
            <w:r>
              <w:rPr>
                <w:rFonts w:ascii="Arial" w:cs="Arial" w:eastAsia="Arial" w:hAnsi="Arial"/>
                <w:sz w:val="14"/>
                <w:szCs w:val="14"/>
                <w:color w:val="auto"/>
              </w:rPr>
              <w:t>New Millennium Holdco, Inc. (Millennium</w:t>
            </w:r>
          </w:p>
        </w:tc>
        <w:tc>
          <w:tcPr>
            <w:tcW w:w="1180" w:type="dxa"/>
            <w:vAlign w:val="bottom"/>
          </w:tcPr>
          <w:p>
            <w:pPr>
              <w:ind w:left="8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Health, LLC)</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16981 Via Tazon, San Diego, CA 92127</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Northeast Metal Works LLC</w:t>
            </w:r>
          </w:p>
        </w:tc>
        <w:tc>
          <w:tcPr>
            <w:tcW w:w="1180" w:type="dxa"/>
            <w:vAlign w:val="bottom"/>
          </w:tcPr>
          <w:p>
            <w:pPr>
              <w:ind w:left="80"/>
              <w:spacing w:after="0"/>
              <w:rPr>
                <w:sz w:val="20"/>
                <w:szCs w:val="20"/>
                <w:color w:val="auto"/>
              </w:rPr>
            </w:pPr>
            <w:r>
              <w:rPr>
                <w:rFonts w:ascii="Arial" w:cs="Arial" w:eastAsia="Arial" w:hAnsi="Arial"/>
                <w:sz w:val="12"/>
                <w:szCs w:val="12"/>
                <w:color w:val="auto"/>
              </w:rPr>
              <w:t>(8)(13)(18)(19)(25)</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410 John Downey Drive, New Britain,</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Preferred Stock</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CT 06051</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Metals &amp; Mining</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Ohene Holdings B.V.</w:t>
            </w:r>
          </w:p>
        </w:tc>
        <w:tc>
          <w:tcPr>
            <w:tcW w:w="1180" w:type="dxa"/>
            <w:vAlign w:val="bottom"/>
          </w:tcPr>
          <w:p>
            <w:pPr>
              <w:ind w:left="80"/>
              <w:spacing w:after="0"/>
              <w:rPr>
                <w:sz w:val="20"/>
                <w:szCs w:val="20"/>
                <w:color w:val="auto"/>
              </w:rPr>
            </w:pPr>
            <w:r>
              <w:rPr>
                <w:rFonts w:ascii="Arial" w:cs="Arial" w:eastAsia="Arial" w:hAnsi="Arial"/>
                <w:sz w:val="12"/>
                <w:szCs w:val="12"/>
                <w:color w:val="auto"/>
              </w:rPr>
              <w:t>(3)(13)(19)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w w:val="98"/>
              </w:rPr>
              <w:t>Gustav Mahlerplein 23 A Symp 5th, Amsterdam,</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1082MS</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Prosper Marketplace</w:t>
            </w:r>
          </w:p>
        </w:tc>
        <w:tc>
          <w:tcPr>
            <w:tcW w:w="1180" w:type="dxa"/>
            <w:vAlign w:val="bottom"/>
          </w:tcPr>
          <w:p>
            <w:pPr>
              <w:ind w:left="80"/>
              <w:spacing w:after="0"/>
              <w:rPr>
                <w:sz w:val="20"/>
                <w:szCs w:val="20"/>
                <w:color w:val="auto"/>
              </w:rPr>
            </w:pPr>
            <w:r>
              <w:rPr>
                <w:rFonts w:ascii="Arial" w:cs="Arial" w:eastAsia="Arial" w:hAnsi="Arial"/>
                <w:sz w:val="12"/>
                <w:szCs w:val="12"/>
                <w:color w:val="auto"/>
              </w:rPr>
              <w:t>(6)(8)(13)(19)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P.O. Box 396081 San Francisco, CA 94139</w:t>
            </w:r>
          </w:p>
        </w:tc>
        <w:tc>
          <w:tcPr>
            <w:tcW w:w="1180" w:type="dxa"/>
            <w:vAlign w:val="bottom"/>
          </w:tcPr>
          <w:p>
            <w:pPr>
              <w:spacing w:after="0"/>
              <w:rPr>
                <w:sz w:val="12"/>
                <w:szCs w:val="12"/>
                <w:color w:val="auto"/>
              </w:rPr>
            </w:pPr>
          </w:p>
        </w:tc>
        <w:tc>
          <w:tcPr>
            <w:tcW w:w="2680" w:type="dxa"/>
            <w:vAlign w:val="bottom"/>
          </w:tcPr>
          <w:p>
            <w:pPr>
              <w:spacing w:after="0" w:line="149" w:lineRule="exact"/>
              <w:rPr>
                <w:sz w:val="20"/>
                <w:szCs w:val="20"/>
                <w:color w:val="auto"/>
              </w:rPr>
            </w:pPr>
            <w:r>
              <w:rPr>
                <w:rFonts w:ascii="Arial" w:cs="Arial" w:eastAsia="Arial" w:hAnsi="Arial"/>
                <w:sz w:val="14"/>
                <w:szCs w:val="14"/>
                <w:color w:val="auto"/>
              </w:rPr>
              <w:t>Class B Preferred Units</w:t>
            </w:r>
          </w:p>
        </w:tc>
        <w:tc>
          <w:tcPr>
            <w:tcW w:w="0" w:type="dxa"/>
            <w:vAlign w:val="bottom"/>
          </w:tcPr>
          <w:p>
            <w:pPr>
              <w:spacing w:after="0"/>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Consumer goods: Durable</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Roscoe Investors, LLC</w:t>
            </w:r>
          </w:p>
        </w:tc>
        <w:tc>
          <w:tcPr>
            <w:tcW w:w="1180" w:type="dxa"/>
            <w:vAlign w:val="bottom"/>
          </w:tcPr>
          <w:p>
            <w:pPr>
              <w:ind w:left="8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21973 Commerce Parkway, Strongsville,</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Class A Units</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OH 44149</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Healthcare &amp; Pharmaceuticals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Safety Services Holdings Corporation,</w:t>
            </w:r>
          </w:p>
        </w:tc>
        <w:tc>
          <w:tcPr>
            <w:tcW w:w="1180" w:type="dxa"/>
            <w:vAlign w:val="bottom"/>
          </w:tcPr>
          <w:p>
            <w:pPr>
              <w:ind w:left="8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2626 S Roosevelt St, Suite 2 , Tempe,</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Preferred Stock</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AZ 85282</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Surge Busy Bee Holdings LLC</w:t>
            </w:r>
          </w:p>
        </w:tc>
        <w:tc>
          <w:tcPr>
            <w:tcW w:w="1180" w:type="dxa"/>
            <w:vAlign w:val="bottom"/>
          </w:tcPr>
          <w:p>
            <w:pPr>
              <w:ind w:left="80"/>
              <w:spacing w:after="0"/>
              <w:rPr>
                <w:sz w:val="20"/>
                <w:szCs w:val="20"/>
                <w:color w:val="auto"/>
              </w:rPr>
            </w:pPr>
            <w:r>
              <w:rPr>
                <w:rFonts w:ascii="Arial" w:cs="Arial" w:eastAsia="Arial" w:hAnsi="Arial"/>
                <w:sz w:val="12"/>
                <w:szCs w:val="12"/>
                <w:color w:val="auto"/>
              </w:rPr>
              <w:t>(8)(13)(19)(25)</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100 Crescent CT Suite 7061, Dallas,</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Texas 75201</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Surge Hippodrome Holdings LLC</w:t>
            </w:r>
          </w:p>
        </w:tc>
        <w:tc>
          <w:tcPr>
            <w:tcW w:w="1180" w:type="dxa"/>
            <w:vAlign w:val="bottom"/>
          </w:tcPr>
          <w:p>
            <w:pPr>
              <w:ind w:left="80"/>
              <w:spacing w:after="0"/>
              <w:rPr>
                <w:sz w:val="20"/>
                <w:szCs w:val="20"/>
                <w:color w:val="auto"/>
              </w:rPr>
            </w:pPr>
            <w:r>
              <w:rPr>
                <w:rFonts w:ascii="Arial" w:cs="Arial" w:eastAsia="Arial" w:hAnsi="Arial"/>
                <w:sz w:val="12"/>
                <w:szCs w:val="12"/>
                <w:color w:val="auto"/>
              </w:rPr>
              <w:t>(8)(13)(18)(19)(25)</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1919 McKinney Avenue, Suite 2001, Dallas,</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Texas 75201</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Surge Hippodrome Holdings LLC</w:t>
            </w:r>
          </w:p>
        </w:tc>
        <w:tc>
          <w:tcPr>
            <w:tcW w:w="1180" w:type="dxa"/>
            <w:vAlign w:val="bottom"/>
          </w:tcPr>
          <w:p>
            <w:pPr>
              <w:ind w:left="80"/>
              <w:spacing w:after="0"/>
              <w:rPr>
                <w:sz w:val="20"/>
                <w:szCs w:val="20"/>
                <w:color w:val="auto"/>
              </w:rPr>
            </w:pPr>
            <w:r>
              <w:rPr>
                <w:rFonts w:ascii="Arial" w:cs="Arial" w:eastAsia="Arial" w:hAnsi="Arial"/>
                <w:sz w:val="12"/>
                <w:szCs w:val="12"/>
                <w:color w:val="auto"/>
              </w:rPr>
              <w:t>(8)(13)(18)(19)(25)</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1919 McKinney Avenue, Suite 2001, Dallas,</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Warrants</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Texas 75201</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Services: Business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Tank Partners Equipment Holdings</w:t>
            </w:r>
          </w:p>
        </w:tc>
        <w:tc>
          <w:tcPr>
            <w:tcW w:w="1180" w:type="dxa"/>
            <w:vAlign w:val="bottom"/>
          </w:tcPr>
          <w:p>
            <w:pPr>
              <w:ind w:left="80"/>
              <w:spacing w:after="0"/>
              <w:rPr>
                <w:sz w:val="20"/>
                <w:szCs w:val="20"/>
                <w:color w:val="auto"/>
              </w:rPr>
            </w:pPr>
            <w:r>
              <w:rPr>
                <w:rFonts w:ascii="Arial" w:cs="Arial" w:eastAsia="Arial" w:hAnsi="Arial"/>
                <w:sz w:val="12"/>
                <w:szCs w:val="12"/>
                <w:color w:val="auto"/>
              </w:rPr>
              <w:t>(8)(9)(13)(16)(19)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LLC</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Class A Units</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5"/>
              </w:rPr>
              <w:t>3865 W 2400 S West Valley City, UT 84120-7212</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Energy: Oil &amp; Gas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TRSO II, Inc.</w:t>
            </w:r>
          </w:p>
        </w:tc>
        <w:tc>
          <w:tcPr>
            <w:tcW w:w="1180" w:type="dxa"/>
            <w:vAlign w:val="bottom"/>
          </w:tcPr>
          <w:p>
            <w:pPr>
              <w:ind w:left="80"/>
              <w:spacing w:after="0"/>
              <w:rPr>
                <w:sz w:val="20"/>
                <w:szCs w:val="20"/>
                <w:color w:val="auto"/>
              </w:rPr>
            </w:pPr>
            <w:r>
              <w:rPr>
                <w:rFonts w:ascii="Arial" w:cs="Arial" w:eastAsia="Arial" w:hAnsi="Arial"/>
                <w:sz w:val="12"/>
                <w:szCs w:val="12"/>
                <w:color w:val="auto"/>
              </w:rPr>
              <w:t>(8)(13)(19)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One Embarcadero Center, 39th Floor,</w:t>
            </w:r>
          </w:p>
        </w:tc>
        <w:tc>
          <w:tcPr>
            <w:tcW w:w="1180" w:type="dxa"/>
            <w:vAlign w:val="bottom"/>
          </w:tcPr>
          <w:p>
            <w:pPr>
              <w:spacing w:after="0"/>
              <w:rPr>
                <w:sz w:val="12"/>
                <w:szCs w:val="12"/>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15"/>
        </w:trPr>
        <w:tc>
          <w:tcPr>
            <w:tcW w:w="2960" w:type="dxa"/>
            <w:vAlign w:val="bottom"/>
            <w:gridSpan w:val="2"/>
            <w:vMerge w:val="restart"/>
          </w:tcPr>
          <w:p>
            <w:pPr>
              <w:ind w:left="160"/>
              <w:spacing w:after="0" w:line="149" w:lineRule="exact"/>
              <w:rPr>
                <w:sz w:val="20"/>
                <w:szCs w:val="20"/>
                <w:color w:val="auto"/>
              </w:rPr>
            </w:pPr>
            <w:r>
              <w:rPr>
                <w:rFonts w:ascii="Arial" w:cs="Arial" w:eastAsia="Arial" w:hAnsi="Arial"/>
                <w:sz w:val="14"/>
                <w:szCs w:val="14"/>
                <w:color w:val="auto"/>
              </w:rPr>
              <w:t>San Francisco, CA 94111</w:t>
            </w:r>
          </w:p>
        </w:tc>
        <w:tc>
          <w:tcPr>
            <w:tcW w:w="118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960" w:type="dxa"/>
            <w:vAlign w:val="bottom"/>
            <w:gridSpan w:val="2"/>
            <w:vMerge w:val="continue"/>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Energy: Oil &amp; Gas</w:t>
            </w: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60" w:type="dxa"/>
            <w:vAlign w:val="bottom"/>
            <w:gridSpan w:val="2"/>
          </w:tcPr>
          <w:p>
            <w:pPr>
              <w:ind w:left="25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-4996815</wp:posOffset>
            </wp:positionV>
            <wp:extent cx="7132320"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-4088130</wp:posOffset>
            </wp:positionV>
            <wp:extent cx="7132320" cy="386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132320" cy="386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386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386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386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Quantity/</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2"/>
            <w:vMerge w:val="continue"/>
          </w:tcPr>
          <w:p>
            <w:pPr>
              <w:spacing w:after="0"/>
              <w:rPr>
                <w:sz w:val="12"/>
                <w:szCs w:val="12"/>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4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Par /Shares</w:t>
            </w:r>
          </w:p>
        </w:tc>
        <w:tc>
          <w:tcPr>
            <w:tcW w:w="14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0"/>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10/7/2014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29,699</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1,953,299</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16"/>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2,368</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15"/>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3/31/2019</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567"/>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10/28/2020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912,865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278,865</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264,731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15"/>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3/26/2014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1,000,000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454,000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16"/>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100,000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43,334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50,000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608"/>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62,571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16"/>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176</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357,029</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270,000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15"/>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6/9/2021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159,322</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160,000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15"/>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8/28/2014</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49,000</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6,228,000</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715"/>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12/24/2012</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1,228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420,289</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ectPr>
          <w:pgSz w:w="11900" w:h="16838" w:orient="portrait"/>
          <w:cols w:equalWidth="0" w:num="2">
            <w:col w:w="6820" w:space="120"/>
            <w:col w:w="420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w:t>
            </w:r>
          </w:p>
        </w:tc>
        <w:tc>
          <w:tcPr>
            <w:tcW w:w="1280" w:type="dxa"/>
            <w:vAlign w:val="bottom"/>
          </w:tcPr>
          <w:p>
            <w:pPr>
              <w:spacing w:after="0"/>
              <w:rPr>
                <w:sz w:val="14"/>
                <w:szCs w:val="14"/>
                <w:color w:val="auto"/>
              </w:rPr>
            </w:pPr>
          </w:p>
        </w:tc>
        <w:tc>
          <w:tcPr>
            <w:tcW w:w="270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Principal Business</w:t>
            </w:r>
          </w:p>
        </w:tc>
        <w:tc>
          <w:tcPr>
            <w:tcW w:w="1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60" w:type="dxa"/>
            <w:vAlign w:val="bottom"/>
            <w:gridSpan w:val="2"/>
          </w:tcPr>
          <w:p>
            <w:pPr>
              <w:spacing w:after="0"/>
              <w:rPr>
                <w:sz w:val="20"/>
                <w:szCs w:val="20"/>
                <w:color w:val="auto"/>
              </w:rPr>
            </w:pPr>
            <w:r>
              <w:rPr>
                <w:rFonts w:ascii="Arial" w:cs="Arial" w:eastAsia="Arial" w:hAnsi="Arial"/>
                <w:sz w:val="14"/>
                <w:szCs w:val="14"/>
                <w:color w:val="auto"/>
              </w:rPr>
              <w:t>VTK Acquisition, Inc.</w:t>
            </w:r>
          </w:p>
        </w:tc>
        <w:tc>
          <w:tcPr>
            <w:tcW w:w="1280" w:type="dxa"/>
            <w:vAlign w:val="bottom"/>
          </w:tcPr>
          <w:p>
            <w:pPr>
              <w:ind w:left="180"/>
              <w:spacing w:after="0"/>
              <w:rPr>
                <w:sz w:val="20"/>
                <w:szCs w:val="20"/>
                <w:color w:val="auto"/>
              </w:rPr>
            </w:pPr>
            <w:r>
              <w:rPr>
                <w:rFonts w:ascii="Arial" w:cs="Arial" w:eastAsia="Arial" w:hAnsi="Arial"/>
                <w:sz w:val="12"/>
                <w:szCs w:val="12"/>
                <w:color w:val="auto"/>
              </w:rPr>
              <w:t>(8)(13)(18)(19)(25)</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751 Summit Avenue, Mankato, MN 56001</w:t>
            </w:r>
          </w:p>
        </w:tc>
        <w:tc>
          <w:tcPr>
            <w:tcW w:w="12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Capital Equipment</w:t>
            </w:r>
          </w:p>
        </w:tc>
        <w:tc>
          <w:tcPr>
            <w:tcW w:w="12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spacing w:after="0"/>
              <w:rPr>
                <w:sz w:val="20"/>
                <w:szCs w:val="20"/>
                <w:color w:val="auto"/>
              </w:rPr>
            </w:pPr>
            <w:r>
              <w:rPr>
                <w:rFonts w:ascii="Arial" w:cs="Arial" w:eastAsia="Arial" w:hAnsi="Arial"/>
                <w:sz w:val="14"/>
                <w:szCs w:val="14"/>
                <w:color w:val="auto"/>
              </w:rPr>
              <w:t>World Business Lenders, LLC</w:t>
            </w:r>
          </w:p>
        </w:tc>
        <w:tc>
          <w:tcPr>
            <w:tcW w:w="1280" w:type="dxa"/>
            <w:vAlign w:val="bottom"/>
          </w:tcPr>
          <w:p>
            <w:pPr>
              <w:ind w:left="180"/>
              <w:spacing w:after="0"/>
              <w:rPr>
                <w:sz w:val="20"/>
                <w:szCs w:val="20"/>
                <w:color w:val="auto"/>
              </w:rPr>
            </w:pPr>
            <w:r>
              <w:rPr>
                <w:rFonts w:ascii="Arial" w:cs="Arial" w:eastAsia="Arial" w:hAnsi="Arial"/>
                <w:sz w:val="12"/>
                <w:szCs w:val="12"/>
                <w:color w:val="auto"/>
              </w:rPr>
              <w:t>(13)(19)</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101 Hudson Street, 33rd Floor, Jersey City, NJ</w:t>
            </w:r>
          </w:p>
        </w:tc>
        <w:tc>
          <w:tcPr>
            <w:tcW w:w="128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15"/>
        </w:trPr>
        <w:tc>
          <w:tcPr>
            <w:tcW w:w="11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07302</w:t>
            </w:r>
          </w:p>
        </w:tc>
        <w:tc>
          <w:tcPr>
            <w:tcW w:w="1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40" w:type="dxa"/>
            <w:vAlign w:val="bottom"/>
            <w:vMerge w:val="continue"/>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2"/>
          </w:tcPr>
          <w:p>
            <w:pPr>
              <w:ind w:left="300"/>
              <w:spacing w:after="0"/>
              <w:rPr>
                <w:sz w:val="20"/>
                <w:szCs w:val="20"/>
                <w:color w:val="auto"/>
              </w:rPr>
            </w:pPr>
            <w:r>
              <w:rPr>
                <w:rFonts w:ascii="Arial" w:cs="Arial" w:eastAsia="Arial" w:hAnsi="Arial"/>
                <w:sz w:val="14"/>
                <w:szCs w:val="14"/>
                <w:color w:val="auto"/>
                <w:w w:val="98"/>
              </w:rPr>
              <w:t>Banking, Finance, Insurance &amp; Real Estate</w:t>
            </w:r>
          </w:p>
        </w:tc>
        <w:tc>
          <w:tcPr>
            <w:tcW w:w="12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Total Investment in Equity Securities</w:t>
            </w:r>
          </w:p>
        </w:tc>
        <w:tc>
          <w:tcPr>
            <w:tcW w:w="1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960" w:type="dxa"/>
            <w:vAlign w:val="bottom"/>
            <w:gridSpan w:val="2"/>
          </w:tcPr>
          <w:p>
            <w:pPr>
              <w:ind w:left="160"/>
              <w:spacing w:after="0"/>
              <w:rPr>
                <w:sz w:val="20"/>
                <w:szCs w:val="20"/>
                <w:color w:val="auto"/>
              </w:rPr>
            </w:pPr>
            <w:r>
              <w:rPr>
                <w:rFonts w:ascii="Arial" w:cs="Arial" w:eastAsia="Arial" w:hAnsi="Arial"/>
                <w:sz w:val="14"/>
                <w:szCs w:val="14"/>
                <w:b w:val="1"/>
                <w:bCs w:val="1"/>
                <w:color w:val="auto"/>
              </w:rPr>
              <w:t>(8% of net asset value at fair value)</w:t>
            </w:r>
          </w:p>
        </w:tc>
        <w:tc>
          <w:tcPr>
            <w:tcW w:w="12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80" w:type="dxa"/>
            <w:vAlign w:val="bottom"/>
            <w:gridSpan w:val="2"/>
          </w:tcPr>
          <w:p>
            <w:pPr>
              <w:jc w:val="right"/>
              <w:ind w:right="114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Quantity/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Par /Shares</w:t>
            </w:r>
          </w:p>
        </w:tc>
        <w:tc>
          <w:tcPr>
            <w:tcW w:w="14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2"/>
        </w:trPr>
        <w:tc>
          <w:tcPr>
            <w:tcW w:w="880" w:type="dxa"/>
            <w:vAlign w:val="bottom"/>
            <w:gridSpan w:val="2"/>
          </w:tcPr>
          <w:p>
            <w:pPr>
              <w:ind w:left="220"/>
              <w:spacing w:after="0"/>
              <w:rPr>
                <w:sz w:val="20"/>
                <w:szCs w:val="20"/>
                <w:color w:val="auto"/>
              </w:rPr>
            </w:pPr>
            <w:r>
              <w:rPr>
                <w:rFonts w:ascii="Arial" w:cs="Arial" w:eastAsia="Arial" w:hAnsi="Arial"/>
                <w:sz w:val="14"/>
                <w:szCs w:val="14"/>
                <w:color w:val="auto"/>
              </w:rPr>
              <w:t>6/9/2021</w:t>
            </w:r>
          </w:p>
        </w:tc>
        <w:tc>
          <w:tcPr>
            <w:tcW w:w="740" w:type="dxa"/>
            <w:vAlign w:val="bottom"/>
          </w:tcPr>
          <w:p>
            <w:pPr>
              <w:jc w:val="right"/>
              <w:spacing w:after="0"/>
              <w:rPr>
                <w:sz w:val="20"/>
                <w:szCs w:val="20"/>
                <w:color w:val="auto"/>
              </w:rPr>
            </w:pPr>
            <w:r>
              <w:rPr>
                <w:rFonts w:ascii="Arial" w:cs="Arial" w:eastAsia="Arial" w:hAnsi="Arial"/>
                <w:sz w:val="14"/>
                <w:szCs w:val="14"/>
                <w:color w:val="auto"/>
              </w:rPr>
              <w:t>90</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250,957</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268,722</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w w:val="93"/>
              </w:rPr>
              <w:t>0.1%</w:t>
            </w:r>
          </w:p>
        </w:tc>
        <w:tc>
          <w:tcPr>
            <w:tcW w:w="0" w:type="dxa"/>
            <w:vAlign w:val="bottom"/>
          </w:tcPr>
          <w:p>
            <w:pPr>
              <w:spacing w:after="0"/>
              <w:rPr>
                <w:sz w:val="1"/>
                <w:szCs w:val="1"/>
                <w:color w:val="auto"/>
              </w:rPr>
            </w:pPr>
          </w:p>
        </w:tc>
      </w:tr>
      <w:tr>
        <w:trPr>
          <w:trHeight w:val="701"/>
        </w:trPr>
        <w:tc>
          <w:tcPr>
            <w:tcW w:w="880" w:type="dxa"/>
            <w:vAlign w:val="bottom"/>
            <w:gridSpan w:val="2"/>
          </w:tcPr>
          <w:p>
            <w:pPr>
              <w:ind w:left="220"/>
              <w:spacing w:after="0"/>
              <w:rPr>
                <w:sz w:val="20"/>
                <w:szCs w:val="20"/>
                <w:color w:val="auto"/>
              </w:rPr>
            </w:pPr>
            <w:r>
              <w:rPr>
                <w:rFonts w:ascii="Arial" w:cs="Arial" w:eastAsia="Arial" w:hAnsi="Arial"/>
                <w:sz w:val="14"/>
                <w:szCs w:val="14"/>
                <w:color w:val="auto"/>
              </w:rPr>
              <w:t>6/9/2021</w:t>
            </w:r>
          </w:p>
        </w:tc>
        <w:tc>
          <w:tcPr>
            <w:tcW w:w="740" w:type="dxa"/>
            <w:vAlign w:val="bottom"/>
          </w:tcPr>
          <w:p>
            <w:pPr>
              <w:jc w:val="right"/>
              <w:spacing w:after="0"/>
              <w:rPr>
                <w:sz w:val="20"/>
                <w:szCs w:val="20"/>
                <w:color w:val="auto"/>
              </w:rPr>
            </w:pPr>
            <w:r>
              <w:rPr>
                <w:rFonts w:ascii="Arial" w:cs="Arial" w:eastAsia="Arial" w:hAnsi="Arial"/>
                <w:sz w:val="14"/>
                <w:szCs w:val="14"/>
                <w:color w:val="auto"/>
              </w:rPr>
              <w:t>49,209</w:t>
            </w:r>
          </w:p>
        </w:tc>
        <w:tc>
          <w:tcPr>
            <w:tcW w:w="14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Arial" w:cs="Arial" w:eastAsia="Arial" w:hAnsi="Arial"/>
                <w:sz w:val="14"/>
                <w:szCs w:val="14"/>
                <w:color w:val="auto"/>
                <w:w w:val="93"/>
              </w:rPr>
              <w:t>0.0%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12,879,663</w:t>
            </w: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$ 30,344,541</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$ 22,386,600</w:t>
            </w:r>
          </w:p>
        </w:tc>
        <w:tc>
          <w:tcPr>
            <w:tcW w:w="540" w:type="dxa"/>
            <w:vAlign w:val="bottom"/>
            <w:gridSpan w:val="2"/>
          </w:tcPr>
          <w:p>
            <w:pPr>
              <w:ind w:left="220"/>
              <w:spacing w:after="0"/>
              <w:rPr>
                <w:sz w:val="20"/>
                <w:szCs w:val="20"/>
                <w:color w:val="auto"/>
              </w:rPr>
            </w:pPr>
            <w:r>
              <w:rPr>
                <w:rFonts w:ascii="Arial" w:cs="Arial" w:eastAsia="Arial" w:hAnsi="Arial"/>
                <w:sz w:val="14"/>
                <w:szCs w:val="14"/>
                <w:b w:val="1"/>
                <w:bCs w:val="1"/>
                <w:color w:val="auto"/>
                <w:w w:val="93"/>
              </w:rPr>
              <w:t>8.3%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940" w:space="100"/>
            <w:col w:w="4120"/>
          </w:cols>
          <w:pgMar w:left="32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Portfolio Company</w:t>
            </w:r>
          </w:p>
        </w:tc>
        <w:tc>
          <w:tcPr>
            <w:tcW w:w="2000" w:type="dxa"/>
            <w:vAlign w:val="bottom"/>
          </w:tcPr>
          <w:p>
            <w:pPr>
              <w:spacing w:after="0"/>
              <w:rPr>
                <w:sz w:val="14"/>
                <w:szCs w:val="14"/>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23"/>
        </w:trPr>
        <w:tc>
          <w:tcPr>
            <w:tcW w:w="3200" w:type="dxa"/>
            <w:vAlign w:val="bottom"/>
            <w:gridSpan w:val="2"/>
          </w:tcPr>
          <w:p>
            <w:pPr>
              <w:spacing w:after="0" w:line="123" w:lineRule="exact"/>
              <w:rPr>
                <w:sz w:val="20"/>
                <w:szCs w:val="20"/>
                <w:color w:val="auto"/>
              </w:rPr>
            </w:pPr>
            <w:r>
              <w:rPr>
                <w:rFonts w:ascii="Arial" w:cs="Arial" w:eastAsia="Arial" w:hAnsi="Arial"/>
                <w:sz w:val="14"/>
                <w:szCs w:val="14"/>
                <w:color w:val="auto"/>
              </w:rPr>
              <w:t>Catamaran CLO 2013- 1 Ltd.</w:t>
            </w: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w w:val="99"/>
              </w:rPr>
              <w:t>Boundary Hall, Cricket Square PO Box 1093 Grand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Cayman, Ky1-1102 Cayman Islands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gridSpan w:val="2"/>
          </w:tcPr>
          <w:p>
            <w:pPr>
              <w:spacing w:after="0"/>
              <w:rPr>
                <w:sz w:val="20"/>
                <w:szCs w:val="20"/>
                <w:color w:val="auto"/>
              </w:rPr>
            </w:pPr>
            <w:r>
              <w:rPr>
                <w:rFonts w:ascii="Arial" w:cs="Arial" w:eastAsia="Arial" w:hAnsi="Arial"/>
                <w:sz w:val="14"/>
                <w:szCs w:val="14"/>
                <w:color w:val="auto"/>
              </w:rPr>
              <w:t>Catamaran CLO 2014-1 Ltd.</w:t>
            </w:r>
          </w:p>
        </w:tc>
        <w:tc>
          <w:tcPr>
            <w:tcW w:w="580" w:type="dxa"/>
            <w:vAlign w:val="bottom"/>
          </w:tcPr>
          <w:p>
            <w:pPr>
              <w:ind w:left="8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w w:val="96"/>
              </w:rPr>
              <w:t>655 Broad Street 8th Floor Newark, NJ 07102 United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States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gridSpan w:val="2"/>
          </w:tcPr>
          <w:p>
            <w:pPr>
              <w:spacing w:after="0"/>
              <w:rPr>
                <w:sz w:val="20"/>
                <w:szCs w:val="20"/>
                <w:color w:val="auto"/>
              </w:rPr>
            </w:pPr>
            <w:r>
              <w:rPr>
                <w:rFonts w:ascii="Arial" w:cs="Arial" w:eastAsia="Arial" w:hAnsi="Arial"/>
                <w:sz w:val="14"/>
                <w:szCs w:val="14"/>
                <w:color w:val="auto"/>
              </w:rPr>
              <w:t>Dryden 30 Senior Loan Fund</w:t>
            </w:r>
          </w:p>
        </w:tc>
        <w:tc>
          <w:tcPr>
            <w:tcW w:w="580" w:type="dxa"/>
            <w:vAlign w:val="bottom"/>
          </w:tcPr>
          <w:p>
            <w:pPr>
              <w:ind w:left="8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w w:val="99"/>
              </w:rPr>
              <w:t>Boundary Hall, Cricket Square PO Box 1093 Grand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Cayman, Ky1-1102 Cayman Islands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gridSpan w:val="2"/>
          </w:tcPr>
          <w:p>
            <w:pPr>
              <w:spacing w:after="0"/>
              <w:rPr>
                <w:sz w:val="20"/>
                <w:szCs w:val="20"/>
                <w:color w:val="auto"/>
              </w:rPr>
            </w:pPr>
            <w:r>
              <w:rPr>
                <w:rFonts w:ascii="Arial" w:cs="Arial" w:eastAsia="Arial" w:hAnsi="Arial"/>
                <w:sz w:val="14"/>
                <w:szCs w:val="14"/>
                <w:color w:val="auto"/>
              </w:rPr>
              <w:t>Catamaran CLO 2014-2 Ltd.</w:t>
            </w:r>
          </w:p>
        </w:tc>
        <w:tc>
          <w:tcPr>
            <w:tcW w:w="580" w:type="dxa"/>
            <w:vAlign w:val="bottom"/>
          </w:tcPr>
          <w:p>
            <w:pPr>
              <w:ind w:left="80"/>
              <w:spacing w:after="0"/>
              <w:rPr>
                <w:sz w:val="20"/>
                <w:szCs w:val="20"/>
                <w:color w:val="auto"/>
              </w:rPr>
            </w:pPr>
            <w:r>
              <w:rPr>
                <w:rFonts w:ascii="Arial" w:cs="Arial" w:eastAsia="Arial" w:hAnsi="Arial"/>
                <w:sz w:val="12"/>
                <w:szCs w:val="12"/>
                <w:color w:val="auto"/>
                <w:w w:val="94"/>
              </w:rPr>
              <w:t>(3)(7)(13)</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w w:val="99"/>
              </w:rPr>
              <w:t>Boundary Hall, Cricket Square PO Box 1093 Grand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Cayman, Ky1-1102 Cayman Islands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gridSpan w:val="2"/>
          </w:tcPr>
          <w:p>
            <w:pPr>
              <w:spacing w:after="0"/>
              <w:rPr>
                <w:sz w:val="20"/>
                <w:szCs w:val="20"/>
                <w:color w:val="auto"/>
              </w:rPr>
            </w:pPr>
            <w:r>
              <w:rPr>
                <w:rFonts w:ascii="Arial" w:cs="Arial" w:eastAsia="Arial" w:hAnsi="Arial"/>
                <w:sz w:val="14"/>
                <w:szCs w:val="14"/>
                <w:color w:val="auto"/>
              </w:rPr>
              <w:t>Catamaran CLO 2015-1 Ltd.</w:t>
            </w:r>
          </w:p>
        </w:tc>
        <w:tc>
          <w:tcPr>
            <w:tcW w:w="580" w:type="dxa"/>
            <w:vAlign w:val="bottom"/>
          </w:tcPr>
          <w:p>
            <w:pPr>
              <w:ind w:left="8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w w:val="99"/>
              </w:rPr>
              <w:t>Boundary Hall, Cricket Square PO Box 1093 Grand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Cayman, Ky1-1102 Cayman Islands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gridSpan w:val="2"/>
          </w:tcPr>
          <w:p>
            <w:pPr>
              <w:spacing w:after="0"/>
              <w:rPr>
                <w:sz w:val="20"/>
                <w:szCs w:val="20"/>
                <w:color w:val="auto"/>
              </w:rPr>
            </w:pPr>
            <w:r>
              <w:rPr>
                <w:rFonts w:ascii="Arial" w:cs="Arial" w:eastAsia="Arial" w:hAnsi="Arial"/>
                <w:sz w:val="14"/>
                <w:szCs w:val="14"/>
                <w:color w:val="auto"/>
              </w:rPr>
              <w:t>Catamaran CLO 2018-1 Ltd</w:t>
            </w:r>
          </w:p>
        </w:tc>
        <w:tc>
          <w:tcPr>
            <w:tcW w:w="580" w:type="dxa"/>
            <w:vAlign w:val="bottom"/>
          </w:tcPr>
          <w:p>
            <w:pPr>
              <w:ind w:left="8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w w:val="99"/>
              </w:rPr>
              <w:t>Boundary Hall, Cricket Square PO Box 1093 Grand</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160"/>
              <w:spacing w:after="0"/>
              <w:rPr>
                <w:sz w:val="20"/>
                <w:szCs w:val="20"/>
                <w:color w:val="auto"/>
              </w:rPr>
            </w:pPr>
            <w:r>
              <w:rPr>
                <w:rFonts w:ascii="Arial" w:cs="Arial" w:eastAsia="Arial" w:hAnsi="Arial"/>
                <w:sz w:val="14"/>
                <w:szCs w:val="14"/>
                <w:color w:val="auto"/>
              </w:rPr>
              <w:t>Cayman, Ky1-1102 Cayman Islands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jc w:val="right"/>
        <w:ind w:right="1860"/>
        <w:spacing w:after="0"/>
        <w:rPr>
          <w:sz w:val="20"/>
          <w:szCs w:val="20"/>
          <w:color w:val="auto"/>
        </w:rPr>
      </w:pPr>
      <w:r>
        <w:rPr>
          <w:rFonts w:ascii="Arial" w:cs="Arial" w:eastAsia="Arial" w:hAnsi="Arial"/>
          <w:sz w:val="13"/>
          <w:szCs w:val="13"/>
          <w:b w:val="1"/>
          <w:bCs w:val="1"/>
          <w:color w:val="auto"/>
        </w:rPr>
        <w:t>Total Investment in CLO Fund</w:t>
      </w:r>
    </w:p>
    <w:p>
      <w:pPr>
        <w:spacing w:after="0" w:line="3" w:lineRule="exact"/>
        <w:rPr>
          <w:sz w:val="20"/>
          <w:szCs w:val="20"/>
          <w:color w:val="auto"/>
        </w:rPr>
      </w:pPr>
    </w:p>
    <w:p>
      <w:pPr>
        <w:jc w:val="right"/>
        <w:ind w:right="1860"/>
        <w:spacing w:after="0"/>
        <w:rPr>
          <w:sz w:val="20"/>
          <w:szCs w:val="20"/>
          <w:color w:val="auto"/>
        </w:rPr>
      </w:pPr>
      <w:r>
        <w:rPr>
          <w:rFonts w:ascii="Arial" w:cs="Arial" w:eastAsia="Arial" w:hAnsi="Arial"/>
          <w:sz w:val="14"/>
          <w:szCs w:val="14"/>
          <w:b w:val="1"/>
          <w:bCs w:val="1"/>
          <w:color w:val="auto"/>
        </w:rPr>
        <w:t>Securities (6% of net asset</w:t>
      </w:r>
    </w:p>
    <w:p>
      <w:pPr>
        <w:ind w:left="440"/>
        <w:spacing w:after="0"/>
        <w:rPr>
          <w:sz w:val="20"/>
          <w:szCs w:val="20"/>
          <w:color w:val="auto"/>
        </w:rPr>
      </w:pPr>
      <w:r>
        <w:rPr>
          <w:rFonts w:ascii="Arial" w:cs="Arial" w:eastAsia="Arial" w:hAnsi="Arial"/>
          <w:sz w:val="14"/>
          <w:szCs w:val="14"/>
          <w:b w:val="1"/>
          <w:bCs w:val="1"/>
          <w:color w:val="auto"/>
        </w:rPr>
        <w:t>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7"/>
              </w:rPr>
              <w:t>Percentage</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94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15,11</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94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Ownership</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3"/>
        </w:trPr>
        <w:tc>
          <w:tcPr>
            <w:tcW w:w="28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4"/>
              </w:rPr>
              <w:t>Subordinated Securities, effective interest 8.0%,</w:t>
            </w: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1/28 maturity</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6/4/2013</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23.3%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5,766,803</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3,198,642</w:t>
            </w: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w w:val="93"/>
              </w:rPr>
              <w:t>1.2%</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4"/>
                <w:szCs w:val="14"/>
                <w:color w:val="auto"/>
                <w:w w:val="97"/>
              </w:rPr>
              <w:t>Subordinated Securities, effective interest 5.5%,</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4/30 maturity</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5/6/2014</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22.2%</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9,735,921</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5,435,075</w:t>
            </w: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w w:val="93"/>
              </w:rPr>
              <w:t>2.0%</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4"/>
                <w:szCs w:val="14"/>
                <w:color w:val="auto"/>
                <w:w w:val="95"/>
              </w:rPr>
              <w:t>Subordinated Securities, effective interest 20.5%,</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11/28 maturity</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9"/>
              </w:rPr>
              <w:t>10/10/2013</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6.8%</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1,138,560</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1,305,200</w:t>
            </w: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w w:val="93"/>
              </w:rPr>
              <w:t>0.5%</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4"/>
                <w:szCs w:val="14"/>
                <w:color w:val="auto"/>
                <w:w w:val="97"/>
              </w:rPr>
              <w:t>Subordinated Securities, effective interest 0.0%,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10/26 maturity</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8/15/2014</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24.9%</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6,065,598</w:t>
            </w:r>
          </w:p>
        </w:tc>
        <w:tc>
          <w:tcPr>
            <w:tcW w:w="140" w:type="dxa"/>
            <w:vAlign w:val="bottom"/>
          </w:tcPr>
          <w:p>
            <w:pPr>
              <w:spacing w:after="0"/>
              <w:rPr>
                <w:sz w:val="15"/>
                <w:szCs w:val="15"/>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w w:val="93"/>
              </w:rPr>
              <w:t>0.0%</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4"/>
                <w:szCs w:val="14"/>
                <w:color w:val="auto"/>
                <w:w w:val="97"/>
              </w:rPr>
              <w:t>Subordinated Securities, effective interest 8.7%,</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4/27 maturity</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5/5/2015</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9.9%</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3,012,589</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477,373</w:t>
            </w: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w w:val="93"/>
              </w:rPr>
              <w:t>0.2%</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4"/>
                <w:szCs w:val="14"/>
                <w:color w:val="auto"/>
                <w:w w:val="97"/>
              </w:rPr>
              <w:t>Subordinated Securities, effective interest 8.7%,</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10/31 maturity</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9/27/2018</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24.8%</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8,842,357</w:t>
            </w:r>
          </w:p>
        </w:tc>
        <w:tc>
          <w:tcPr>
            <w:tcW w:w="140" w:type="dxa"/>
            <w:vAlign w:val="bottom"/>
            <w:vMerge w:val="restart"/>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6,648,000</w:t>
            </w:r>
          </w:p>
        </w:tc>
        <w:tc>
          <w:tcPr>
            <w:tcW w:w="540" w:type="dxa"/>
            <w:vAlign w:val="bottom"/>
            <w:gridSpan w:val="2"/>
            <w:vMerge w:val="restart"/>
          </w:tcPr>
          <w:p>
            <w:pPr>
              <w:ind w:left="220"/>
              <w:spacing w:after="0"/>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34,561,828</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17,064,290</w:t>
            </w:r>
          </w:p>
        </w:tc>
        <w:tc>
          <w:tcPr>
            <w:tcW w:w="540" w:type="dxa"/>
            <w:vAlign w:val="bottom"/>
            <w:gridSpan w:val="2"/>
          </w:tcPr>
          <w:p>
            <w:pPr>
              <w:ind w:left="220"/>
              <w:spacing w:after="0"/>
              <w:rPr>
                <w:sz w:val="20"/>
                <w:szCs w:val="20"/>
                <w:color w:val="auto"/>
              </w:rPr>
            </w:pPr>
            <w:r>
              <w:rPr>
                <w:rFonts w:ascii="Arial" w:cs="Arial" w:eastAsia="Arial" w:hAnsi="Arial"/>
                <w:sz w:val="14"/>
                <w:szCs w:val="14"/>
                <w:b w:val="1"/>
                <w:bCs w:val="1"/>
                <w:color w:val="auto"/>
                <w:w w:val="93"/>
              </w:rPr>
              <w:t>6.4%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-3522345</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-2407920</wp:posOffset>
            </wp:positionV>
            <wp:extent cx="71323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-1687830</wp:posOffset>
            </wp:positionV>
            <wp:extent cx="7132320"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-968375</wp:posOffset>
            </wp:positionV>
            <wp:extent cx="7132320" cy="291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-299720</wp:posOffset>
            </wp:positionV>
            <wp:extent cx="713232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420"/>
            <w:col w:w="7000"/>
          </w:cols>
          <w:pgMar w:left="320" w:top="459" w:right="37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Principal Business</w:t>
      </w:r>
    </w:p>
    <w:p>
      <w:pPr>
        <w:spacing w:after="0" w:line="222" w:lineRule="auto"/>
        <w:rPr>
          <w:sz w:val="20"/>
          <w:szCs w:val="20"/>
          <w:color w:val="auto"/>
        </w:rPr>
      </w:pPr>
      <w:r>
        <w:rPr>
          <w:rFonts w:ascii="Arial" w:cs="Arial" w:eastAsia="Arial" w:hAnsi="Arial"/>
          <w:sz w:val="14"/>
          <w:szCs w:val="14"/>
          <w:color w:val="auto"/>
        </w:rPr>
        <w:t>Asset Manager Affiliates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650 Madison Ave FL23, New York, NY 10022</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 in Asset Manager</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Affiliates (0% of net asset value at fair value)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Principal Business</w:t>
      </w:r>
    </w:p>
    <w:p>
      <w:pPr>
        <w:spacing w:after="0" w:line="222" w:lineRule="auto"/>
        <w:rPr>
          <w:sz w:val="20"/>
          <w:szCs w:val="20"/>
          <w:color w:val="auto"/>
        </w:rPr>
      </w:pPr>
      <w:r>
        <w:rPr>
          <w:rFonts w:ascii="Arial" w:cs="Arial" w:eastAsia="Arial" w:hAnsi="Arial"/>
          <w:sz w:val="14"/>
          <w:szCs w:val="14"/>
          <w:color w:val="auto"/>
        </w:rPr>
        <w:t>Advantage Capital Holdings Holdings LLC.</w:t>
      </w:r>
    </w:p>
    <w:p>
      <w:pPr>
        <w:spacing w:after="0" w:line="222" w:lineRule="auto"/>
        <w:rPr>
          <w:sz w:val="20"/>
          <w:szCs w:val="20"/>
          <w:color w:val="auto"/>
        </w:rPr>
      </w:pPr>
      <w:r>
        <w:rPr>
          <w:rFonts w:ascii="Arial" w:cs="Arial" w:eastAsia="Arial" w:hAnsi="Arial"/>
          <w:sz w:val="14"/>
          <w:szCs w:val="14"/>
          <w:color w:val="auto"/>
        </w:rPr>
        <w:t>415 Bedford Road — Suite 102,</w:t>
      </w:r>
    </w:p>
    <w:p>
      <w:pPr>
        <w:spacing w:after="0" w:line="221" w:lineRule="auto"/>
        <w:rPr>
          <w:sz w:val="20"/>
          <w:szCs w:val="20"/>
          <w:color w:val="auto"/>
        </w:rPr>
      </w:pPr>
      <w:r>
        <w:rPr>
          <w:rFonts w:ascii="Arial" w:cs="Arial" w:eastAsia="Arial" w:hAnsi="Arial"/>
          <w:sz w:val="14"/>
          <w:szCs w:val="14"/>
          <w:color w:val="auto"/>
        </w:rPr>
        <w:t>Pleasantville, NY, 10570</w:t>
      </w:r>
    </w:p>
    <w:p>
      <w:pPr>
        <w:ind w:left="300"/>
        <w:spacing w:after="0"/>
        <w:rPr>
          <w:sz w:val="20"/>
          <w:szCs w:val="20"/>
          <w:color w:val="auto"/>
        </w:rPr>
      </w:pPr>
      <w:r>
        <w:rPr>
          <w:rFonts w:ascii="Arial" w:cs="Arial" w:eastAsia="Arial" w:hAnsi="Arial"/>
          <w:sz w:val="14"/>
          <w:szCs w:val="14"/>
          <w:color w:val="auto"/>
        </w:rPr>
        <w:t>Banking, Finance, Insurance &amp; Real Estate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HDNet Holdco LLC</w:t>
      </w:r>
    </w:p>
    <w:p>
      <w:pPr>
        <w:spacing w:after="0" w:line="221" w:lineRule="auto"/>
        <w:rPr>
          <w:sz w:val="20"/>
          <w:szCs w:val="20"/>
          <w:color w:val="auto"/>
        </w:rPr>
      </w:pPr>
      <w:r>
        <w:rPr>
          <w:rFonts w:ascii="Arial" w:cs="Arial" w:eastAsia="Arial" w:hAnsi="Arial"/>
          <w:sz w:val="14"/>
          <w:szCs w:val="14"/>
          <w:color w:val="auto"/>
        </w:rPr>
        <w:t>8269 E. 23rd Ave Denver, CO 80238</w:t>
      </w:r>
    </w:p>
    <w:p>
      <w:pPr>
        <w:ind w:left="300"/>
        <w:spacing w:after="0"/>
        <w:rPr>
          <w:sz w:val="20"/>
          <w:szCs w:val="20"/>
          <w:color w:val="auto"/>
        </w:rPr>
      </w:pPr>
      <w:r>
        <w:rPr>
          <w:rFonts w:ascii="Arial" w:cs="Arial" w:eastAsia="Arial" w:hAnsi="Arial"/>
          <w:sz w:val="14"/>
          <w:szCs w:val="14"/>
          <w:color w:val="auto"/>
        </w:rPr>
        <w:t>Media: Broadcasting &amp; Subscription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Derivatives (0%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30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Percentage</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4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w:t>
            </w:r>
          </w:p>
        </w:tc>
        <w:tc>
          <w:tcPr>
            <w:tcW w:w="120" w:type="dxa"/>
            <w:vAlign w:val="bottom"/>
            <w:vMerge w:val="restart"/>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Ownership</w:t>
            </w: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77"/>
              </w:rPr>
              <w:t>Value</w:t>
            </w:r>
            <w:r>
              <w:rPr>
                <w:rFonts w:ascii="Arial" w:cs="Arial" w:eastAsia="Arial" w:hAnsi="Arial"/>
                <w:sz w:val="12"/>
                <w:szCs w:val="12"/>
                <w:b w:val="1"/>
                <w:bCs w:val="1"/>
                <w:color w:val="auto"/>
                <w:w w:val="77"/>
              </w:rPr>
              <w:t>2</w:t>
            </w:r>
          </w:p>
        </w:tc>
        <w:tc>
          <w:tcPr>
            <w:tcW w:w="14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12/11/2006</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720" w:type="dxa"/>
            <w:vAlign w:val="bottom"/>
          </w:tcPr>
          <w:p>
            <w:pPr>
              <w:jc w:val="center"/>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17,791,230</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360"/>
              <w:spacing w:after="0"/>
              <w:rPr>
                <w:sz w:val="20"/>
                <w:szCs w:val="20"/>
                <w:color w:val="auto"/>
              </w:rPr>
            </w:pPr>
            <w:r>
              <w:rPr>
                <w:rFonts w:ascii="Arial" w:cs="Arial" w:eastAsia="Arial" w:hAnsi="Arial"/>
                <w:sz w:val="14"/>
                <w:szCs w:val="14"/>
                <w:color w:val="auto"/>
                <w:w w:val="93"/>
              </w:rPr>
              <w:t>0.0%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17,791,230</w:t>
            </w:r>
          </w:p>
        </w:tc>
        <w:tc>
          <w:tcPr>
            <w:tcW w:w="220" w:type="dxa"/>
            <w:vAlign w:val="bottom"/>
          </w:tcPr>
          <w:p>
            <w:pPr>
              <w:ind w:left="160"/>
              <w:spacing w:after="0"/>
              <w:rPr>
                <w:sz w:val="20"/>
                <w:szCs w:val="20"/>
                <w:color w:val="auto"/>
              </w:rPr>
            </w:pPr>
            <w:r>
              <w:rPr>
                <w:rFonts w:ascii="Arial" w:cs="Arial" w:eastAsia="Arial" w:hAnsi="Arial"/>
                <w:sz w:val="5"/>
                <w:szCs w:val="5"/>
                <w:b w:val="1"/>
                <w:bCs w:val="1"/>
                <w:color w:val="auto"/>
                <w:w w:val="70"/>
              </w:rPr>
              <w:t>$</w:t>
            </w:r>
          </w:p>
        </w:tc>
        <w:tc>
          <w:tcPr>
            <w:tcW w:w="3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tcPr>
          <w:p>
            <w:pPr>
              <w:ind w:left="360"/>
              <w:spacing w:after="0"/>
              <w:rPr>
                <w:sz w:val="20"/>
                <w:szCs w:val="20"/>
                <w:color w:val="auto"/>
              </w:rPr>
            </w:pPr>
            <w:r>
              <w:rPr>
                <w:rFonts w:ascii="Arial" w:cs="Arial" w:eastAsia="Arial" w:hAnsi="Arial"/>
                <w:sz w:val="14"/>
                <w:szCs w:val="14"/>
                <w:b w:val="1"/>
                <w:bCs w:val="1"/>
                <w:color w:val="auto"/>
                <w:w w:val="93"/>
              </w:rPr>
              <w:t>0.0%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-419735</wp:posOffset>
            </wp:positionV>
            <wp:extent cx="7132320"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8"/>
              </w:rPr>
              <w:t>Initial</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379"/>
              <w:spacing w:after="0"/>
              <w:rPr>
                <w:sz w:val="20"/>
                <w:szCs w:val="20"/>
                <w:color w:val="auto"/>
              </w:rPr>
            </w:pPr>
            <w:r>
              <w:rPr>
                <w:rFonts w:ascii="Arial" w:cs="Arial" w:eastAsia="Arial" w:hAnsi="Arial"/>
                <w:sz w:val="14"/>
                <w:szCs w:val="14"/>
                <w:b w:val="1"/>
                <w:bCs w:val="1"/>
                <w:color w:val="auto"/>
              </w:rPr>
              <w:t>Fair</w:t>
            </w: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6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w:t>
            </w:r>
          </w:p>
        </w:tc>
        <w:tc>
          <w:tcPr>
            <w:tcW w:w="94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Acquisition</w:t>
            </w:r>
          </w:p>
        </w:tc>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1000" w:type="dxa"/>
            <w:vAlign w:val="bottom"/>
            <w:vMerge w:val="restart"/>
          </w:tcPr>
          <w:p>
            <w:pPr>
              <w:jc w:val="right"/>
              <w:ind w:right="333"/>
              <w:spacing w:after="0"/>
              <w:rPr>
                <w:sz w:val="20"/>
                <w:szCs w:val="20"/>
                <w:color w:val="auto"/>
              </w:rPr>
            </w:pPr>
            <w:r>
              <w:rPr>
                <w:rFonts w:ascii="Arial" w:cs="Arial" w:eastAsia="Arial" w:hAnsi="Arial"/>
                <w:sz w:val="12"/>
                <w:szCs w:val="12"/>
                <w:color w:val="auto"/>
                <w:w w:val="90"/>
              </w:rPr>
              <w:t>(13)(21)(22)</w:t>
            </w:r>
          </w:p>
        </w:tc>
        <w:tc>
          <w:tcPr>
            <w:tcW w:w="2680" w:type="dxa"/>
            <w:vAlign w:val="bottom"/>
            <w:gridSpan w:val="2"/>
            <w:vMerge w:val="continue"/>
          </w:tcPr>
          <w:p>
            <w:pPr>
              <w:spacing w:after="0"/>
              <w:rPr>
                <w:sz w:val="14"/>
                <w:szCs w:val="14"/>
                <w:color w:val="auto"/>
              </w:rPr>
            </w:pPr>
          </w:p>
        </w:tc>
        <w:tc>
          <w:tcPr>
            <w:tcW w:w="94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4"/>
        </w:trPr>
        <w:tc>
          <w:tcPr>
            <w:tcW w:w="1000" w:type="dxa"/>
            <w:vAlign w:val="bottom"/>
            <w:vMerge w:val="continue"/>
          </w:tcPr>
          <w:p>
            <w:pPr>
              <w:spacing w:after="0"/>
              <w:rPr>
                <w:sz w:val="10"/>
                <w:szCs w:val="10"/>
                <w:color w:val="auto"/>
              </w:rPr>
            </w:pPr>
          </w:p>
        </w:tc>
        <w:tc>
          <w:tcPr>
            <w:tcW w:w="2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9"/>
        </w:trPr>
        <w:tc>
          <w:tcPr>
            <w:tcW w:w="3680" w:type="dxa"/>
            <w:vAlign w:val="bottom"/>
            <w:gridSpan w:val="3"/>
          </w:tcPr>
          <w:p>
            <w:pPr>
              <w:ind w:left="1000"/>
              <w:spacing w:after="0"/>
              <w:rPr>
                <w:sz w:val="20"/>
                <w:szCs w:val="20"/>
                <w:color w:val="auto"/>
              </w:rPr>
            </w:pPr>
            <w:r>
              <w:rPr>
                <w:rFonts w:ascii="Arial" w:cs="Arial" w:eastAsia="Arial" w:hAnsi="Arial"/>
                <w:sz w:val="14"/>
                <w:szCs w:val="14"/>
                <w:color w:val="auto"/>
              </w:rPr>
              <w:t>Securities Swap and Option Agreement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9/30/2019  $</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19"/>
              <w:spacing w:after="0"/>
              <w:rPr>
                <w:sz w:val="20"/>
                <w:szCs w:val="20"/>
                <w:color w:val="auto"/>
              </w:rPr>
            </w:pPr>
            <w:r>
              <w:rPr>
                <w:rFonts w:ascii="Arial" w:cs="Arial" w:eastAsia="Arial" w:hAnsi="Arial"/>
                <w:sz w:val="14"/>
                <w:szCs w:val="14"/>
                <w:color w:val="auto"/>
              </w:rPr>
              <w:t>$ (1,808,195)</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37"/>
        </w:trPr>
        <w:tc>
          <w:tcPr>
            <w:tcW w:w="1000" w:type="dxa"/>
            <w:vAlign w:val="bottom"/>
          </w:tcPr>
          <w:p>
            <w:pPr>
              <w:jc w:val="right"/>
              <w:ind w:right="333"/>
              <w:spacing w:after="0"/>
              <w:rPr>
                <w:sz w:val="20"/>
                <w:szCs w:val="20"/>
                <w:color w:val="auto"/>
              </w:rPr>
            </w:pPr>
            <w:r>
              <w:rPr>
                <w:rFonts w:ascii="Arial" w:cs="Arial" w:eastAsia="Arial" w:hAnsi="Arial"/>
                <w:sz w:val="12"/>
                <w:szCs w:val="12"/>
                <w:color w:val="auto"/>
                <w:w w:val="90"/>
              </w:rPr>
              <w:t>(13)(21)(22)</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680" w:type="dxa"/>
            <w:vAlign w:val="bottom"/>
            <w:gridSpan w:val="3"/>
          </w:tcPr>
          <w:p>
            <w:pPr>
              <w:ind w:left="1000"/>
              <w:spacing w:after="0"/>
              <w:rPr>
                <w:sz w:val="20"/>
                <w:szCs w:val="20"/>
                <w:color w:val="auto"/>
              </w:rPr>
            </w:pPr>
            <w:r>
              <w:rPr>
                <w:rFonts w:ascii="Arial" w:cs="Arial" w:eastAsia="Arial" w:hAnsi="Arial"/>
                <w:sz w:val="14"/>
                <w:szCs w:val="14"/>
                <w:color w:val="auto"/>
              </w:rPr>
              <w:t>Call Option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9/9/2019</w:t>
            </w:r>
          </w:p>
        </w:tc>
        <w:tc>
          <w:tcPr>
            <w:tcW w:w="8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w w:val="88"/>
              </w:rPr>
              <w:t>30,609</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5,520</w:t>
            </w:r>
          </w:p>
        </w:tc>
        <w:tc>
          <w:tcPr>
            <w:tcW w:w="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42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88"/>
              </w:rPr>
              <w:t>30,609</w:t>
            </w:r>
          </w:p>
        </w:tc>
        <w:tc>
          <w:tcPr>
            <w:tcW w:w="14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 (1,802,675</w:t>
            </w:r>
          </w:p>
        </w:tc>
        <w:tc>
          <w:tcPr>
            <w:tcW w:w="200" w:type="dxa"/>
            <w:vAlign w:val="bottom"/>
            <w:vMerge w:val="continue"/>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-865505</wp:posOffset>
            </wp:positionV>
            <wp:extent cx="7132320" cy="386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-102235</wp:posOffset>
            </wp:positionV>
            <wp:extent cx="7132320" cy="93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3840" w:space="720"/>
            <w:col w:w="6640"/>
          </w:cols>
          <w:pgMar w:left="320" w:top="459" w:right="37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ectPr>
          <w:pgSz w:w="11900" w:h="16838" w:orient="portrait"/>
          <w:cols w:equalWidth="0" w:num="1">
            <w:col w:w="11240"/>
          </w:cols>
          <w:pgMar w:left="320" w:top="459" w:right="339" w:bottom="1440" w:gutter="0" w:footer="0" w:header="0"/>
        </w:sect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Principal Business</w:t>
      </w:r>
    </w:p>
    <w:p>
      <w:pPr>
        <w:spacing w:after="0" w:line="222" w:lineRule="auto"/>
        <w:rPr>
          <w:sz w:val="20"/>
          <w:szCs w:val="20"/>
          <w:color w:val="auto"/>
        </w:rPr>
      </w:pPr>
      <w:r>
        <w:rPr>
          <w:rFonts w:ascii="Arial" w:cs="Arial" w:eastAsia="Arial" w:hAnsi="Arial"/>
          <w:sz w:val="14"/>
          <w:szCs w:val="14"/>
          <w:color w:val="auto"/>
        </w:rPr>
        <w:t>KCAP Freedom 3 LLC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650 Madison Ave FL23, New York, NY 10022</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BCP Great Lakes Holdings LP</w:t>
      </w:r>
    </w:p>
    <w:p>
      <w:pPr>
        <w:spacing w:after="0"/>
        <w:rPr>
          <w:sz w:val="20"/>
          <w:szCs w:val="20"/>
          <w:color w:val="auto"/>
        </w:rPr>
      </w:pPr>
      <w:r>
        <w:rPr>
          <w:rFonts w:ascii="Arial" w:cs="Arial" w:eastAsia="Arial" w:hAnsi="Arial"/>
          <w:sz w:val="13"/>
          <w:szCs w:val="13"/>
          <w:color w:val="auto"/>
        </w:rPr>
        <w:t>650 Madison Ave FL23, New York, NY 10022</w:t>
      </w:r>
    </w:p>
    <w:p>
      <w:pPr>
        <w:spacing w:after="0"/>
        <w:rPr>
          <w:sz w:val="20"/>
          <w:szCs w:val="20"/>
          <w:color w:val="auto"/>
        </w:rPr>
      </w:pPr>
      <w:r>
        <w:rPr>
          <w:rFonts w:ascii="Arial" w:cs="Arial" w:eastAsia="Arial" w:hAnsi="Arial"/>
          <w:sz w:val="14"/>
          <w:szCs w:val="14"/>
          <w:color w:val="auto"/>
        </w:rPr>
        <w:t>Limited Partnership</w:t>
      </w:r>
    </w:p>
    <w:p>
      <w:pPr>
        <w:spacing w:after="0" w:line="1" w:lineRule="exact"/>
        <w:rPr>
          <w:sz w:val="20"/>
          <w:szCs w:val="20"/>
          <w:color w:val="auto"/>
        </w:rPr>
      </w:pPr>
    </w:p>
    <w:p>
      <w:pPr>
        <w:ind w:left="300" w:right="320" w:hanging="287"/>
        <w:spacing w:after="0" w:line="271" w:lineRule="auto"/>
        <w:rPr>
          <w:sz w:val="20"/>
          <w:szCs w:val="20"/>
          <w:color w:val="auto"/>
        </w:rPr>
      </w:pPr>
      <w:r>
        <w:rPr>
          <w:rFonts w:ascii="Arial" w:cs="Arial" w:eastAsia="Arial" w:hAnsi="Arial"/>
          <w:sz w:val="13"/>
          <w:szCs w:val="13"/>
          <w:b w:val="1"/>
          <w:bCs w:val="1"/>
          <w:color w:val="auto"/>
        </w:rPr>
        <w:t>Total Investment in Joint Ventures (23% of net asset value at fair value)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0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w w:val="87"/>
              </w:rPr>
              <w:t>Percentage</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w:t>
            </w: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w:t>
            </w:r>
          </w:p>
        </w:tc>
        <w:tc>
          <w:tcPr>
            <w:tcW w:w="100" w:type="dxa"/>
            <w:vAlign w:val="bottom"/>
            <w:vMerge w:val="restart"/>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40" w:type="dxa"/>
            <w:vAlign w:val="bottom"/>
            <w:gridSpan w:val="3"/>
            <w:vMerge w:val="continue"/>
          </w:tcPr>
          <w:p>
            <w:pPr>
              <w:spacing w:after="0"/>
              <w:rPr>
                <w:sz w:val="12"/>
                <w:szCs w:val="12"/>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760" w:type="dxa"/>
            <w:vAlign w:val="bottom"/>
            <w:vMerge w:val="restart"/>
          </w:tcPr>
          <w:p>
            <w:pPr>
              <w:spacing w:after="0"/>
              <w:rPr>
                <w:sz w:val="20"/>
                <w:szCs w:val="20"/>
                <w:color w:val="auto"/>
              </w:rPr>
            </w:pPr>
            <w:r>
              <w:rPr>
                <w:rFonts w:ascii="Arial" w:cs="Arial" w:eastAsia="Arial" w:hAnsi="Arial"/>
                <w:sz w:val="12"/>
                <w:szCs w:val="12"/>
                <w:color w:val="auto"/>
              </w:rPr>
              <w:t>(9)(13)(16)</w:t>
            </w:r>
          </w:p>
        </w:tc>
        <w:tc>
          <w:tcPr>
            <w:tcW w:w="160" w:type="dxa"/>
            <w:vAlign w:val="bottom"/>
          </w:tcPr>
          <w:p>
            <w:pPr>
              <w:spacing w:after="0"/>
              <w:rPr>
                <w:sz w:val="14"/>
                <w:szCs w:val="14"/>
                <w:color w:val="auto"/>
              </w:rPr>
            </w:pPr>
          </w:p>
        </w:tc>
        <w:tc>
          <w:tcPr>
            <w:tcW w:w="2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Ownership</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Joint Venture</w:t>
            </w:r>
          </w:p>
        </w:tc>
        <w:tc>
          <w:tcPr>
            <w:tcW w:w="10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7/19/2017</w:t>
            </w: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60%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27,414,858</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22,422,334</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0"/>
        </w:trPr>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20"/>
                <w:szCs w:val="20"/>
                <w:color w:val="auto"/>
              </w:rPr>
            </w:pPr>
            <w:r>
              <w:rPr>
                <w:rFonts w:ascii="Arial" w:cs="Arial" w:eastAsia="Arial" w:hAnsi="Arial"/>
                <w:sz w:val="12"/>
                <w:szCs w:val="12"/>
                <w:color w:val="auto"/>
              </w:rPr>
              <w:t>(10)(17)(18)</w:t>
            </w:r>
          </w:p>
        </w:tc>
        <w:tc>
          <w:tcPr>
            <w:tcW w:w="2580" w:type="dxa"/>
            <w:vAlign w:val="bottom"/>
            <w:gridSpan w:val="3"/>
          </w:tcPr>
          <w:p>
            <w:pPr>
              <w:ind w:left="160"/>
              <w:spacing w:after="0"/>
              <w:rPr>
                <w:sz w:val="20"/>
                <w:szCs w:val="20"/>
                <w:color w:val="auto"/>
              </w:rPr>
            </w:pPr>
            <w:r>
              <w:rPr>
                <w:rFonts w:ascii="Arial" w:cs="Arial" w:eastAsia="Arial" w:hAnsi="Arial"/>
                <w:sz w:val="14"/>
                <w:szCs w:val="14"/>
                <w:color w:val="auto"/>
              </w:rPr>
              <w:t>Joint Venture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60" w:type="dxa"/>
            <w:vAlign w:val="bottom"/>
          </w:tcPr>
          <w:p>
            <w:pPr>
              <w:jc w:val="right"/>
              <w:ind w:right="339"/>
              <w:spacing w:after="0"/>
              <w:rPr>
                <w:sz w:val="20"/>
                <w:szCs w:val="20"/>
                <w:color w:val="auto"/>
              </w:rPr>
            </w:pPr>
            <w:r>
              <w:rPr>
                <w:rFonts w:ascii="Arial" w:cs="Arial" w:eastAsia="Arial" w:hAnsi="Arial"/>
                <w:sz w:val="12"/>
                <w:szCs w:val="12"/>
                <w:color w:val="auto"/>
              </w:rPr>
              <w:t>(23)</w:t>
            </w: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12/11/2018</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38,647,542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38,647,542</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96"/>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66,062,400</w:t>
            </w: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61,069,876</w:t>
            </w:r>
          </w:p>
        </w:tc>
        <w:tc>
          <w:tcPr>
            <w:tcW w:w="1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2"/>
              </w:rPr>
              <w:t>559,510,244</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2"/>
              </w:rPr>
              <w:t>518,365,644</w:t>
            </w:r>
          </w:p>
        </w:tc>
        <w:tc>
          <w:tcPr>
            <w:tcW w:w="1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-959485</wp:posOffset>
            </wp:positionV>
            <wp:extent cx="7132320"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-401955</wp:posOffset>
            </wp:positionV>
            <wp:extent cx="7132320"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2860" w:space="720"/>
            <w:col w:w="7660"/>
          </w:cols>
          <w:pgMar w:left="320" w:top="459" w:right="339" w:bottom="1440" w:gutter="0" w:footer="0" w:header="0"/>
          <w:type w:val="continuous"/>
        </w:sectPr>
      </w:pPr>
    </w:p>
    <w:p>
      <w:pPr>
        <w:ind w:left="460" w:right="40" w:hanging="452"/>
        <w:spacing w:after="0" w:line="248" w:lineRule="auto"/>
        <w:tabs>
          <w:tab w:leader="none" w:pos="460" w:val="left"/>
        </w:tabs>
        <w:numPr>
          <w:ilvl w:val="0"/>
          <w:numId w:val="19"/>
        </w:numPr>
        <w:rPr>
          <w:rFonts w:ascii="Arial" w:cs="Arial" w:eastAsia="Arial" w:hAnsi="Arial"/>
          <w:sz w:val="11"/>
          <w:szCs w:val="11"/>
          <w:color w:val="auto"/>
        </w:rPr>
      </w:pPr>
      <w:r>
        <w:rPr>
          <w:rFonts w:ascii="Arial" w:cs="Arial" w:eastAsia="Arial" w:hAnsi="Arial"/>
          <w:sz w:val="13"/>
          <w:szCs w:val="13"/>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w:t>
      </w:r>
    </w:p>
    <w:p>
      <w:pPr>
        <w:ind w:left="460" w:right="200"/>
        <w:spacing w:after="0" w:line="221" w:lineRule="auto"/>
        <w:rPr>
          <w:sz w:val="20"/>
          <w:szCs w:val="20"/>
          <w:color w:val="auto"/>
        </w:rPr>
      </w:pPr>
      <w:r>
        <w:rPr>
          <w:rFonts w:ascii="Arial" w:cs="Arial" w:eastAsia="Arial" w:hAnsi="Arial"/>
          <w:sz w:val="14"/>
          <w:szCs w:val="14"/>
          <w:color w:val="auto"/>
        </w:rPr>
        <w:t>multiple interest reset periods for each June 30, 2021 loan. For each such loan, the Company has provided the weighted average annual stated interest rate in effect at June 30, 2021. As noted in the table above 71.8% (based on par) of debt securities contain floors which range between 0.25% and 2.25%.</w:t>
      </w:r>
    </w:p>
    <w:p>
      <w:pPr>
        <w:ind w:left="460" w:hanging="452"/>
        <w:spacing w:after="0" w:line="222" w:lineRule="auto"/>
        <w:tabs>
          <w:tab w:leader="none" w:pos="460" w:val="left"/>
        </w:tabs>
        <w:numPr>
          <w:ilvl w:val="0"/>
          <w:numId w:val="20"/>
        </w:numPr>
        <w:rPr>
          <w:rFonts w:ascii="Arial" w:cs="Arial" w:eastAsia="Arial" w:hAnsi="Arial"/>
          <w:sz w:val="12"/>
          <w:szCs w:val="12"/>
          <w:color w:val="auto"/>
        </w:rPr>
      </w:pPr>
      <w:r>
        <w:rPr>
          <w:rFonts w:ascii="Arial" w:cs="Arial" w:eastAsia="Arial" w:hAnsi="Arial"/>
          <w:sz w:val="14"/>
          <w:szCs w:val="14"/>
          <w:color w:val="auto"/>
        </w:rPr>
        <w:t>Reflects the fair market value of all investments as of June 30, 2021 as determined by the Company’s Board of Directors.</w:t>
      </w:r>
    </w:p>
    <w:p>
      <w:pPr>
        <w:spacing w:after="0"/>
        <w:rPr>
          <w:rFonts w:ascii="Arial" w:cs="Arial" w:eastAsia="Arial" w:hAnsi="Arial"/>
          <w:sz w:val="12"/>
          <w:szCs w:val="12"/>
          <w:color w:val="auto"/>
        </w:rPr>
      </w:pPr>
      <w:r>
        <w:rPr>
          <w:rFonts w:ascii="Arial" w:cs="Arial" w:eastAsia="Arial" w:hAnsi="Arial"/>
          <w:sz w:val="12"/>
          <w:szCs w:val="12"/>
          <w:color w:val="auto"/>
        </w:rPr>
        <w:t>3</w:t>
      </w:r>
      <w:r>
        <w:rPr>
          <w:rFonts w:ascii="Arial" w:cs="Arial" w:eastAsia="Arial" w:hAnsi="Arial"/>
          <w:sz w:val="13"/>
          <w:szCs w:val="13"/>
          <w:color w:val="auto"/>
        </w:rPr>
        <w:t>Non-U.S. company or principal place of business outside the U.S.</w:t>
      </w:r>
    </w:p>
    <w:p>
      <w:pPr>
        <w:ind w:left="460" w:right="40" w:hanging="445"/>
        <w:spacing w:after="0" w:line="221" w:lineRule="auto"/>
        <w:rPr>
          <w:rFonts w:ascii="Arial" w:cs="Arial" w:eastAsia="Arial" w:hAnsi="Arial"/>
          <w:sz w:val="12"/>
          <w:szCs w:val="12"/>
          <w:color w:val="auto"/>
        </w:rPr>
      </w:pPr>
      <w:r>
        <w:rPr>
          <w:rFonts w:ascii="Arial" w:cs="Arial" w:eastAsia="Arial" w:hAnsi="Arial"/>
          <w:sz w:val="12"/>
          <w:szCs w:val="12"/>
          <w:color w:val="auto"/>
        </w:rPr>
        <w:t>4</w:t>
      </w:r>
      <w:r>
        <w:rPr>
          <w:rFonts w:ascii="Arial" w:cs="Arial" w:eastAsia="Arial" w:hAnsi="Arial"/>
          <w:sz w:val="14"/>
          <w:szCs w:val="14"/>
          <w:color w:val="auto"/>
        </w:rPr>
        <w:t>The aggregate cost of investments for federal income tax purposes is approximately $586 million. The aggregate gross unrealized appreciation is approximately $54 million, the aggregate gross unrealized depreciation is approximately $121 million, and the net unrealized depreciation is approximately $68 million.</w:t>
      </w:r>
    </w:p>
    <w:p>
      <w:pPr>
        <w:spacing w:after="0"/>
        <w:rPr>
          <w:rFonts w:ascii="Arial" w:cs="Arial" w:eastAsia="Arial" w:hAnsi="Arial"/>
          <w:sz w:val="12"/>
          <w:szCs w:val="12"/>
          <w:color w:val="auto"/>
        </w:rPr>
      </w:pPr>
      <w:r>
        <w:rPr>
          <w:rFonts w:ascii="Arial" w:cs="Arial" w:eastAsia="Arial" w:hAnsi="Arial"/>
          <w:sz w:val="12"/>
          <w:szCs w:val="12"/>
          <w:color w:val="auto"/>
        </w:rPr>
        <w:t>5Loan or debt security is on non-accrual status and therefore is considered non-income producing.</w:t>
      </w:r>
    </w:p>
    <w:p>
      <w:pPr>
        <w:spacing w:after="0" w:line="10" w:lineRule="exact"/>
        <w:rPr>
          <w:rFonts w:ascii="Arial" w:cs="Arial" w:eastAsia="Arial" w:hAnsi="Arial"/>
          <w:sz w:val="12"/>
          <w:szCs w:val="12"/>
          <w:color w:val="auto"/>
        </w:rPr>
      </w:pPr>
    </w:p>
    <w:p>
      <w:pPr>
        <w:ind w:left="460" w:right="560" w:hanging="445"/>
        <w:spacing w:after="0" w:line="221" w:lineRule="auto"/>
        <w:rPr>
          <w:rFonts w:ascii="Arial" w:cs="Arial" w:eastAsia="Arial" w:hAnsi="Arial"/>
          <w:sz w:val="12"/>
          <w:szCs w:val="12"/>
          <w:color w:val="auto"/>
        </w:rPr>
      </w:pPr>
      <w:r>
        <w:rPr>
          <w:rFonts w:ascii="Arial" w:cs="Arial" w:eastAsia="Arial" w:hAnsi="Arial"/>
          <w:sz w:val="12"/>
          <w:szCs w:val="12"/>
          <w:color w:val="auto"/>
        </w:rPr>
        <w:t>6</w:t>
      </w:r>
      <w:r>
        <w:rPr>
          <w:rFonts w:ascii="Arial" w:cs="Arial" w:eastAsia="Arial" w:hAnsi="Arial"/>
          <w:sz w:val="14"/>
          <w:szCs w:val="14"/>
          <w:color w:val="auto"/>
        </w:rPr>
        <w:t>Held through Garrison Capital Equity Holdings II LLC and net of non-controlling member’s interest of 17.5% pursuant to the Amended and Restated Limited Liability Company Agreement of Garrison Capital Equity Holdings II LLC.</w:t>
      </w:r>
    </w:p>
    <w:p>
      <w:pPr>
        <w:spacing w:after="0"/>
        <w:rPr>
          <w:rFonts w:ascii="Arial" w:cs="Arial" w:eastAsia="Arial" w:hAnsi="Arial"/>
          <w:sz w:val="12"/>
          <w:szCs w:val="12"/>
          <w:color w:val="auto"/>
        </w:rPr>
      </w:pPr>
      <w:r>
        <w:rPr>
          <w:rFonts w:ascii="Arial" w:cs="Arial" w:eastAsia="Arial" w:hAnsi="Arial"/>
          <w:sz w:val="12"/>
          <w:szCs w:val="12"/>
          <w:color w:val="auto"/>
        </w:rPr>
        <w:t>7</w:t>
      </w:r>
      <w:r>
        <w:rPr>
          <w:rFonts w:ascii="Arial" w:cs="Arial" w:eastAsia="Arial" w:hAnsi="Arial"/>
          <w:sz w:val="13"/>
          <w:szCs w:val="13"/>
          <w:color w:val="auto"/>
        </w:rPr>
        <w:t>During the second quarter of 2020, the Company was notified that this CLO Fund security will cease making distributions to the Company.</w:t>
      </w:r>
    </w:p>
    <w:p>
      <w:pPr>
        <w:ind w:left="460" w:right="60" w:hanging="445"/>
        <w:spacing w:after="0" w:line="221" w:lineRule="auto"/>
        <w:rPr>
          <w:rFonts w:ascii="Arial" w:cs="Arial" w:eastAsia="Arial" w:hAnsi="Arial"/>
          <w:sz w:val="12"/>
          <w:szCs w:val="12"/>
          <w:color w:val="auto"/>
        </w:rPr>
      </w:pPr>
      <w:r>
        <w:rPr>
          <w:rFonts w:ascii="Arial" w:cs="Arial" w:eastAsia="Arial" w:hAnsi="Arial"/>
          <w:sz w:val="12"/>
          <w:szCs w:val="12"/>
          <w:color w:val="auto"/>
        </w:rPr>
        <w:t>8</w:t>
      </w:r>
      <w:r>
        <w:rPr>
          <w:rFonts w:ascii="Arial" w:cs="Arial" w:eastAsia="Arial" w:hAnsi="Arial"/>
          <w:sz w:val="14"/>
          <w:szCs w:val="14"/>
          <w:color w:val="auto"/>
        </w:rPr>
        <w:t>Qualified asset for purposes of section 55(a) of the Investment Company Act of 1940, as amended (the “1940 Act”). Qualifying assets represent approximately 86.6% of the total assets at June 30, 2021.</w:t>
      </w:r>
    </w:p>
    <w:p>
      <w:pPr>
        <w:ind w:left="460" w:right="60" w:hanging="445"/>
        <w:spacing w:after="0" w:line="221" w:lineRule="auto"/>
        <w:rPr>
          <w:rFonts w:ascii="Arial" w:cs="Arial" w:eastAsia="Arial" w:hAnsi="Arial"/>
          <w:sz w:val="12"/>
          <w:szCs w:val="12"/>
          <w:color w:val="auto"/>
        </w:rPr>
      </w:pPr>
      <w:r>
        <w:rPr>
          <w:rFonts w:ascii="Arial" w:cs="Arial" w:eastAsia="Arial" w:hAnsi="Arial"/>
          <w:sz w:val="12"/>
          <w:szCs w:val="12"/>
          <w:color w:val="auto"/>
        </w:rPr>
        <w:t>9</w:t>
      </w: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ind w:left="460" w:hanging="452"/>
        <w:spacing w:after="0" w:line="222"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Non-voting.</w:t>
      </w:r>
    </w:p>
    <w:p>
      <w:pPr>
        <w:ind w:left="460" w:right="6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460" w:right="24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This investment is on non-accrual status and receives a 5% royalty interest on oil being produced on certain fields. All production payments received are being applied to the cost basis and are considered return of capital.</w:t>
      </w:r>
    </w:p>
    <w:p>
      <w:pPr>
        <w:ind w:left="46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Fair value of this investment was determined using significant unobservable inputs.</w:t>
      </w:r>
    </w:p>
    <w:p>
      <w:pPr>
        <w:ind w:left="46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As of June 30, 2021, is investment is pledged to secure the Company’s debt obligations.</w:t>
      </w:r>
    </w:p>
    <w:p>
      <w:pPr>
        <w:ind w:left="460" w:right="4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ind w:left="460" w:right="14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46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Ownership of LP interest held through the holding company BCP Great Lakes Fund, L.P, a non-U.S. company or principal place of business outside the U.S.</w:t>
      </w:r>
    </w:p>
    <w:p>
      <w:pPr>
        <w:ind w:left="460" w:hanging="452"/>
        <w:spacing w:after="0" w:line="221"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ind w:left="460" w:hanging="452"/>
        <w:spacing w:after="0"/>
        <w:tabs>
          <w:tab w:leader="none" w:pos="460" w:val="left"/>
        </w:tabs>
        <w:numPr>
          <w:ilvl w:val="0"/>
          <w:numId w:val="21"/>
        </w:numPr>
        <w:rPr>
          <w:rFonts w:ascii="Arial" w:cs="Arial" w:eastAsia="Arial" w:hAnsi="Arial"/>
          <w:sz w:val="12"/>
          <w:szCs w:val="12"/>
          <w:color w:val="auto"/>
        </w:rPr>
      </w:pPr>
      <w:r>
        <w:rPr>
          <w:rFonts w:ascii="Arial" w:cs="Arial" w:eastAsia="Arial" w:hAnsi="Arial"/>
          <w:sz w:val="14"/>
          <w:szCs w:val="14"/>
          <w:color w:val="auto"/>
        </w:rPr>
        <w:t>Non-income producing.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452"/>
        <w:spacing w:after="0" w:line="244" w:lineRule="auto"/>
        <w:tabs>
          <w:tab w:leader="none" w:pos="460" w:val="left"/>
        </w:tabs>
        <w:numPr>
          <w:ilvl w:val="0"/>
          <w:numId w:val="22"/>
        </w:numPr>
        <w:rPr>
          <w:rFonts w:ascii="Arial" w:cs="Arial" w:eastAsia="Arial" w:hAnsi="Arial"/>
          <w:sz w:val="11"/>
          <w:szCs w:val="11"/>
          <w:color w:val="auto"/>
        </w:rPr>
      </w:pPr>
      <w:r>
        <w:rPr>
          <w:rFonts w:ascii="Arial" w:cs="Arial" w:eastAsia="Arial" w:hAnsi="Arial"/>
          <w:sz w:val="13"/>
          <w:szCs w:val="13"/>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1" w:lineRule="exact"/>
        <w:rPr>
          <w:rFonts w:ascii="Arial" w:cs="Arial" w:eastAsia="Arial" w:hAnsi="Arial"/>
          <w:sz w:val="11"/>
          <w:szCs w:val="11"/>
          <w:color w:val="auto"/>
        </w:rPr>
      </w:pPr>
    </w:p>
    <w:p>
      <w:pPr>
        <w:ind w:left="460" w:hanging="452"/>
        <w:spacing w:after="0" w:line="221" w:lineRule="auto"/>
        <w:tabs>
          <w:tab w:leader="none" w:pos="460" w:val="left"/>
        </w:tabs>
        <w:numPr>
          <w:ilvl w:val="0"/>
          <w:numId w:val="22"/>
        </w:numPr>
        <w:rPr>
          <w:rFonts w:ascii="Arial" w:cs="Arial" w:eastAsia="Arial" w:hAnsi="Arial"/>
          <w:sz w:val="12"/>
          <w:szCs w:val="12"/>
          <w:color w:val="auto"/>
        </w:rPr>
      </w:pPr>
      <w:r>
        <w:rPr>
          <w:rFonts w:ascii="Arial" w:cs="Arial" w:eastAsia="Arial" w:hAnsi="Arial"/>
          <w:sz w:val="14"/>
          <w:szCs w:val="14"/>
          <w:color w:val="auto"/>
        </w:rPr>
        <w:t>Represents co-investment made with the Company’s affiliates in accordance with the terms of the exemptive relief that the Company received.</w:t>
      </w:r>
    </w:p>
    <w:p>
      <w:pPr>
        <w:ind w:left="460" w:hanging="452"/>
        <w:spacing w:after="0"/>
        <w:tabs>
          <w:tab w:leader="none" w:pos="460" w:val="left"/>
        </w:tabs>
        <w:numPr>
          <w:ilvl w:val="0"/>
          <w:numId w:val="22"/>
        </w:numPr>
        <w:rPr>
          <w:rFonts w:ascii="Arial" w:cs="Arial" w:eastAsia="Arial" w:hAnsi="Arial"/>
          <w:sz w:val="12"/>
          <w:szCs w:val="12"/>
          <w:color w:val="auto"/>
        </w:rPr>
      </w:pPr>
      <w:r>
        <w:rPr>
          <w:rFonts w:ascii="Arial" w:cs="Arial" w:eastAsia="Arial" w:hAnsi="Arial"/>
          <w:sz w:val="14"/>
          <w:szCs w:val="14"/>
          <w:color w:val="auto"/>
        </w:rPr>
        <w:t>Information related to the Company’s derivatives is presented below as of June 30,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Payments</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Payments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Notional</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Upfront</w:t>
            </w:r>
          </w:p>
        </w:tc>
        <w:tc>
          <w:tcPr>
            <w:tcW w:w="9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32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Counterparty</w:t>
            </w: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payments/</w:t>
            </w:r>
          </w:p>
        </w:tc>
        <w:tc>
          <w:tcPr>
            <w:tcW w:w="9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made</w:t>
            </w:r>
          </w:p>
        </w:tc>
        <w:tc>
          <w:tcPr>
            <w:tcW w:w="72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received</w:t>
            </w: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70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5"/>
                <w:szCs w:val="15"/>
                <w:color w:val="auto"/>
              </w:rPr>
            </w:pPr>
          </w:p>
        </w:tc>
        <w:tc>
          <w:tcPr>
            <w:tcW w:w="8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receipts</w:t>
            </w:r>
          </w:p>
        </w:tc>
        <w:tc>
          <w:tcPr>
            <w:tcW w:w="900" w:type="dxa"/>
            <w:vAlign w:val="bottom"/>
            <w:gridSpan w:val="6"/>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gain (loss)</w:t>
            </w:r>
          </w:p>
        </w:tc>
        <w:tc>
          <w:tcPr>
            <w:tcW w:w="0" w:type="dxa"/>
            <w:vAlign w:val="bottom"/>
          </w:tcPr>
          <w:p>
            <w:pPr>
              <w:spacing w:after="0"/>
              <w:rPr>
                <w:sz w:val="1"/>
                <w:szCs w:val="1"/>
                <w:color w:val="auto"/>
              </w:rPr>
            </w:pPr>
          </w:p>
        </w:tc>
      </w:tr>
      <w:tr>
        <w:trPr>
          <w:trHeight w:val="117"/>
        </w:trPr>
        <w:tc>
          <w:tcPr>
            <w:tcW w:w="404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Securities Swap and Option Agreement</w:t>
            </w:r>
          </w:p>
        </w:tc>
        <w:tc>
          <w:tcPr>
            <w:tcW w:w="640" w:type="dxa"/>
            <w:vAlign w:val="bottom"/>
            <w:tcBorders>
              <w:top w:val="single" w:sz="8" w:color="auto"/>
            </w:tcBorders>
            <w:shd w:val="clear" w:color="auto" w:fill="CCEEFF"/>
          </w:tcPr>
          <w:p>
            <w:pPr>
              <w:ind w:left="100"/>
              <w:spacing w:after="0" w:line="117" w:lineRule="exact"/>
              <w:rPr>
                <w:sz w:val="20"/>
                <w:szCs w:val="20"/>
                <w:color w:val="auto"/>
              </w:rPr>
            </w:pPr>
            <w:r>
              <w:rPr>
                <w:rFonts w:ascii="Arial" w:cs="Arial" w:eastAsia="Arial" w:hAnsi="Arial"/>
                <w:sz w:val="13"/>
                <w:szCs w:val="13"/>
                <w:color w:val="auto"/>
              </w:rPr>
              <w:t>18% PIK</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ind w:left="80"/>
              <w:spacing w:after="0" w:line="117" w:lineRule="exact"/>
              <w:rPr>
                <w:sz w:val="20"/>
                <w:szCs w:val="20"/>
                <w:color w:val="auto"/>
              </w:rPr>
            </w:pPr>
            <w:r>
              <w:rPr>
                <w:rFonts w:ascii="Arial" w:cs="Arial" w:eastAsia="Arial" w:hAnsi="Arial"/>
                <w:sz w:val="13"/>
                <w:szCs w:val="13"/>
                <w:color w:val="auto"/>
                <w:w w:val="93"/>
              </w:rPr>
              <w:t>16% Cash</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Advantage Capital</w:t>
            </w: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140"/>
              <w:spacing w:after="0" w:line="117" w:lineRule="exact"/>
              <w:rPr>
                <w:sz w:val="20"/>
                <w:szCs w:val="20"/>
                <w:color w:val="auto"/>
              </w:rPr>
            </w:pPr>
            <w:r>
              <w:rPr>
                <w:rFonts w:ascii="Arial" w:cs="Arial" w:eastAsia="Arial" w:hAnsi="Arial"/>
                <w:sz w:val="13"/>
                <w:szCs w:val="13"/>
                <w:color w:val="auto"/>
                <w:w w:val="96"/>
              </w:rPr>
              <w:t>9/15/24</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gridSpan w:val="2"/>
            <w:shd w:val="clear" w:color="auto" w:fill="CCEEFF"/>
          </w:tcPr>
          <w:p>
            <w:pPr>
              <w:jc w:val="center"/>
              <w:spacing w:after="0" w:line="117" w:lineRule="exact"/>
              <w:rPr>
                <w:sz w:val="20"/>
                <w:szCs w:val="20"/>
                <w:color w:val="auto"/>
              </w:rPr>
            </w:pPr>
            <w:r>
              <w:rPr>
                <w:rFonts w:ascii="Arial" w:cs="Arial" w:eastAsia="Arial" w:hAnsi="Arial"/>
                <w:sz w:val="13"/>
                <w:szCs w:val="13"/>
                <w:color w:val="auto"/>
                <w:w w:val="98"/>
              </w:rPr>
              <w:t>$ 5,500,000</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w w:val="98"/>
              </w:rPr>
              <w:t>$ (1,808,195</w:t>
            </w:r>
          </w:p>
        </w:tc>
        <w:tc>
          <w:tcPr>
            <w:tcW w:w="120" w:type="dxa"/>
            <w:vAlign w:val="bottom"/>
            <w:tcBorders>
              <w:top w:val="single" w:sz="8" w:color="CCEEFF"/>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ind w:left="220"/>
              <w:spacing w:after="0" w:line="117"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(1,808,195</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Holdings LLC.</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320" w:type="dxa"/>
            <w:vAlign w:val="bottom"/>
            <w:vMerge w:val="restart"/>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Counterparty</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Notional</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24"/>
                <w:szCs w:val="24"/>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700" w:type="dxa"/>
            <w:vAlign w:val="bottom"/>
            <w:gridSpan w:val="3"/>
          </w:tcPr>
          <w:p>
            <w:pPr>
              <w:ind w:left="140"/>
              <w:spacing w:after="0" w:line="158"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price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4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Call option</w:t>
            </w: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gridSpan w:val="4"/>
            <w:shd w:val="clear" w:color="auto" w:fill="CCEEFF"/>
          </w:tcPr>
          <w:p>
            <w:pPr>
              <w:jc w:val="right"/>
              <w:spacing w:after="0" w:line="135" w:lineRule="exact"/>
              <w:rPr>
                <w:sz w:val="20"/>
                <w:szCs w:val="20"/>
                <w:color w:val="auto"/>
              </w:rPr>
            </w:pPr>
            <w:r>
              <w:rPr>
                <w:rFonts w:ascii="Arial" w:cs="Arial" w:eastAsia="Arial" w:hAnsi="Arial"/>
                <w:sz w:val="14"/>
                <w:szCs w:val="14"/>
                <w:color w:val="auto"/>
              </w:rPr>
              <w:t>HDNet Holdco LLC</w:t>
            </w:r>
          </w:p>
        </w:tc>
        <w:tc>
          <w:tcPr>
            <w:tcW w:w="360" w:type="dxa"/>
            <w:vAlign w:val="bottom"/>
            <w:tcBorders>
              <w:top w:val="single" w:sz="8" w:color="CCEEFF"/>
            </w:tcBorders>
            <w:gridSpan w:val="2"/>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0.2</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rPr>
              <w:t>$  7,656</w:t>
            </w:r>
          </w:p>
        </w:tc>
        <w:tc>
          <w:tcPr>
            <w:tcW w:w="360" w:type="dxa"/>
            <w:vAlign w:val="bottom"/>
            <w:tcBorders>
              <w:top w:val="single" w:sz="8" w:color="CCEEFF"/>
            </w:tcBorders>
            <w:gridSpan w:val="2"/>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center"/>
              <w:spacing w:after="0" w:line="135" w:lineRule="exact"/>
              <w:rPr>
                <w:sz w:val="20"/>
                <w:szCs w:val="20"/>
                <w:color w:val="auto"/>
              </w:rPr>
            </w:pPr>
            <w:r>
              <w:rPr>
                <w:rFonts w:ascii="Arial" w:cs="Arial" w:eastAsia="Arial" w:hAnsi="Arial"/>
                <w:sz w:val="14"/>
                <w:szCs w:val="14"/>
                <w:color w:val="auto"/>
              </w:rPr>
              <w:t>$   0.01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4"/>
                <w:szCs w:val="14"/>
                <w:color w:val="auto"/>
              </w:rPr>
              <w:t>N/A</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88"/>
              </w:rPr>
              <w:t>$5,520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60" w:right="400" w:hanging="452"/>
        <w:spacing w:after="0" w:line="230"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4"/>
          <w:szCs w:val="14"/>
          <w:color w:val="auto"/>
        </w:rPr>
        <w:t>Debt security has an unfunded commitment in addition to the amounts shown in the Consolidated Schedule of Investments. See Note 8 for additional information on the Company’s commitments and contingencies.</w:t>
      </w:r>
    </w:p>
    <w:p>
      <w:pPr>
        <w:ind w:left="460" w:hanging="452"/>
        <w:spacing w:after="0" w:line="221"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4"/>
          <w:szCs w:val="14"/>
          <w:color w:val="auto"/>
        </w:rPr>
        <w:t>The cash coupon and/or PIK coupon on the loan is subject to a pricing grid based on certain leverage ratios of the portfolio company.</w:t>
      </w:r>
    </w:p>
    <w:p>
      <w:pPr>
        <w:ind w:left="460" w:hanging="452"/>
        <w:spacing w:after="0" w:line="221"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4"/>
          <w:szCs w:val="14"/>
          <w:color w:val="auto"/>
        </w:rPr>
        <w:t>This investment is owned by HCAP Equity Holdings, LLC, one of the Company’s taxable blocker subsidiaries.</w:t>
      </w:r>
    </w:p>
    <w:p>
      <w:pPr>
        <w:ind w:left="460" w:right="60" w:hanging="452"/>
        <w:spacing w:after="0" w:line="232" w:lineRule="auto"/>
        <w:tabs>
          <w:tab w:leader="none" w:pos="460" w:val="left"/>
        </w:tabs>
        <w:numPr>
          <w:ilvl w:val="0"/>
          <w:numId w:val="23"/>
        </w:numPr>
        <w:rPr>
          <w:rFonts w:ascii="Arial" w:cs="Arial" w:eastAsia="Arial" w:hAnsi="Arial"/>
          <w:sz w:val="12"/>
          <w:szCs w:val="12"/>
          <w:color w:val="auto"/>
        </w:rPr>
      </w:pPr>
      <w:r>
        <w:rPr>
          <w:rFonts w:ascii="Arial" w:cs="Arial" w:eastAsia="Arial" w:hAnsi="Arial"/>
          <w:sz w:val="14"/>
          <w:szCs w:val="14"/>
          <w:color w:val="auto"/>
        </w:rPr>
        <w:t>This is an equity investment that receives a cash flow stream based on lease payments received by Flight Lease VII, LLC. Flight Lease VII, LLC owns an aircraft that was leased to one lessee. The lessee had been in arrears on its lease payments and in June of 2018, Flight Lease VII, LLC terminated the lease. As a result of the cessation of cash flows, future payments on this equity investment will resume only if Flight Lease VII, LLC is successful in obtaining a new lessee or sells the aircraft.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information in “Consolidated Financial Statements and Supplementary Data” in Part II, Item 8 of the Company’s Annual Report on Form 10-K for the fiscal year ended December 31, 2020 and “Financial Statements” in Part I, Item 1 of the Company’s Quarterly Report on Form 10-Q for the period ended June 30, 2021 is incorporated herein by reference. The financial data should be read in conjunction with the Company’s consolidated financial statements and related notes thereto and “Management’s Discussion and Analysis of Financial Condition and Results of Operations” as incorporated by reference herein.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information in “Director and Executive Officer Information,” “Director Compensation,” “Executive Compensation,” and “Security Ownership of Certain Beneficial Owners and Management” in the Company’s Definitive Proxy on Schedule 14A are incorporated herein by reference.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management of our investment portfolio is the responsibility of Sierra Crest and our investment team (the “PTMN Investment Team”). All investment decisions require the majority approval of the PTMN investment committee (the “PTMN Investment Committee”). The PTMN Investment Team sources, identifies and diligences investment opportunities and presents the opportunity to the PTMN Investment Committee for approval. The PTMN Investment Committee is currently comprised of three members of BC Partners Credit (“BCP Credit”) (Ted Goldthorpe, Matthias Ederer and Henry Wang), and one member of BCP PE, or BC Partners Private Equity, Raymond Svider. The PTMN Investment Committee meets regularly to review the opportunities presented by the PTMN Investment Team. Follow-on investments in existing portfolio companies may require the PTMN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PTMN Investment Committee. Our Board, including a majority of the Independent Directors, oversees and monitors the investment performance and, beginning with the second anniversary of the effective date of the Investment Advisory Agreement, will annually review the compensation we pay to Sierra Crest.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Sierra Crest’s investment professionals receive any direct compensation from us in connection with the management of our portfolio.</w:t>
      </w:r>
    </w:p>
    <w:p>
      <w:pPr>
        <w:spacing w:after="0" w:line="237" w:lineRule="exact"/>
        <w:rPr>
          <w:sz w:val="20"/>
          <w:szCs w:val="20"/>
          <w:color w:val="auto"/>
        </w:rPr>
      </w:pPr>
    </w:p>
    <w:p>
      <w:pPr>
        <w:ind w:right="620" w:firstLine="449"/>
        <w:spacing w:after="0" w:line="263" w:lineRule="auto"/>
        <w:rPr>
          <w:sz w:val="20"/>
          <w:szCs w:val="20"/>
          <w:color w:val="auto"/>
        </w:rPr>
      </w:pPr>
      <w:r>
        <w:rPr>
          <w:rFonts w:ascii="Arial" w:cs="Arial" w:eastAsia="Arial" w:hAnsi="Arial"/>
          <w:sz w:val="18"/>
          <w:szCs w:val="18"/>
          <w:color w:val="auto"/>
        </w:rPr>
        <w:t>The following individuals (the “PTMN Portfolio Managers”) have senior responsibility for the management of our investment portfolio: Ted Goldthorpe, Matthias Ederer Henry Wang, Raymond Svider, and Patrick Schafer. Mr. Schafer is our Chief Investment Officer and has primary responsibility for the day-to-day implementation and management of our investment portfolio.</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Biographical information regarding senior members of the PTMN Portfolio Managers who are not directors or executive officers is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Matthias Ederer</w:t>
      </w:r>
    </w:p>
    <w:p>
      <w:pPr>
        <w:spacing w:after="0" w:line="12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Mr. Ederer is a founding partner of BCP Credit, having previously been a partner and founding team member of Wingspan Investment Management, which he joined in 2013. Prior to Wingspan, he spent seven years in Goldman Sachs’ Special Situations Group and Bank Loan Distressed Investing Group in New York and London.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Raymond Svider</w:t>
      </w:r>
    </w:p>
    <w:p>
      <w:pPr>
        <w:spacing w:after="0" w:line="12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Mr. Svider is a Partner and Chairman of BC Partners. He joined BC Partners in Paris in 1992 before moving to the London office in 2000 to lead its investments in the technology and telecoms industries. Mr. Svider then relocated to New York in 2008. Previously, Mr. Svider worked in investment banking at Wasserstein Perella in New York and Paris, and at the Boston Consulting Group in Chicago.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Henry Wang</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Mr. Wang is a founding partner of BCP Credit, having formerly been a Partner at Stonerise Capital Partners where he spent over five years. Previously, he worked for over seven years at Goldman Sachs in its Special Situations Group and Investment Banking Division. Mr. Wang also worked for Vulcan Capital (Paul Allen’s investment firm, co-founder of Microsoft) and Thomas Weisel Partners.</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Material conflicts of interest that may arise in connection with the PTMN Portfolio Managers’ management of our investments, on the one hand, and the investments of the other accounts managed by Sierra Crest and its affiliates, on the other. See “</w:t>
      </w:r>
      <w:r>
        <w:rPr>
          <w:rFonts w:ascii="Arial" w:cs="Arial" w:eastAsia="Arial" w:hAnsi="Arial"/>
          <w:sz w:val="18"/>
          <w:szCs w:val="18"/>
          <w:i w:val="1"/>
          <w:iCs w:val="1"/>
          <w:color w:val="auto"/>
        </w:rPr>
        <w:t>Risk Factors—Risks related to our business—There may</w:t>
      </w:r>
      <w:r>
        <w:rPr>
          <w:rFonts w:ascii="Arial" w:cs="Arial" w:eastAsia="Arial" w:hAnsi="Arial"/>
          <w:sz w:val="18"/>
          <w:szCs w:val="18"/>
          <w:color w:val="auto"/>
        </w:rPr>
        <w:t xml:space="preserve"> </w:t>
      </w:r>
      <w:r>
        <w:rPr>
          <w:rFonts w:ascii="Arial" w:cs="Arial" w:eastAsia="Arial" w:hAnsi="Arial"/>
          <w:sz w:val="18"/>
          <w:szCs w:val="18"/>
          <w:i w:val="1"/>
          <w:iCs w:val="1"/>
          <w:color w:val="auto"/>
        </w:rPr>
        <w:t>be conflicts of interest related to obligations that Sierra Crest’s senior management and investment team has to other clients</w:t>
      </w:r>
      <w:r>
        <w:rPr>
          <w:rFonts w:ascii="Arial" w:cs="Arial" w:eastAsia="Arial" w:hAnsi="Arial"/>
          <w:sz w:val="18"/>
          <w:szCs w:val="18"/>
          <w:color w:val="auto"/>
        </w:rPr>
        <w:t>” in our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2020 incorporated by reference herein.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dollar range of equity securities in us beneficially owned at June 30, 2021 by each portfolio manager is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Dollar Range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6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Securities in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2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PTMN</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Matthias Ederer</w:t>
            </w:r>
          </w:p>
        </w:tc>
        <w:tc>
          <w:tcPr>
            <w:tcW w:w="22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Ted Goldthorpe</w:t>
            </w:r>
          </w:p>
        </w:tc>
        <w:tc>
          <w:tcPr>
            <w:tcW w:w="4200" w:type="dxa"/>
            <w:vAlign w:val="bottom"/>
            <w:gridSpan w:val="2"/>
          </w:tcPr>
          <w:p>
            <w:pPr>
              <w:ind w:left="2200"/>
              <w:spacing w:after="0"/>
              <w:rPr>
                <w:sz w:val="20"/>
                <w:szCs w:val="20"/>
                <w:color w:val="auto"/>
              </w:rPr>
            </w:pPr>
            <w:r>
              <w:rPr>
                <w:rFonts w:ascii="Arial" w:cs="Arial" w:eastAsia="Arial" w:hAnsi="Arial"/>
                <w:sz w:val="18"/>
                <w:szCs w:val="18"/>
                <w:color w:val="auto"/>
              </w:rPr>
              <w:t>$100,001—$500,000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Schafer</w:t>
            </w:r>
          </w:p>
        </w:tc>
        <w:tc>
          <w:tcPr>
            <w:tcW w:w="42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$100,001—$500,000</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Raymond Svider</w:t>
            </w:r>
          </w:p>
        </w:tc>
        <w:tc>
          <w:tcPr>
            <w:tcW w:w="4200" w:type="dxa"/>
            <w:vAlign w:val="bottom"/>
            <w:gridSpan w:val="2"/>
          </w:tcPr>
          <w:p>
            <w:pPr>
              <w:ind w:left="2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Wang</w:t>
            </w:r>
          </w:p>
        </w:tc>
        <w:tc>
          <w:tcPr>
            <w:tcW w:w="420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8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Accounts Managed</w:t>
      </w:r>
    </w:p>
    <w:p>
      <w:pPr>
        <w:spacing w:after="0" w:line="121" w:lineRule="exact"/>
        <w:rPr>
          <w:sz w:val="20"/>
          <w:szCs w:val="20"/>
          <w:color w:val="auto"/>
        </w:rPr>
      </w:pPr>
    </w:p>
    <w:p>
      <w:pPr>
        <w:ind w:right="940" w:firstLine="449"/>
        <w:spacing w:after="0" w:line="277" w:lineRule="auto"/>
        <w:rPr>
          <w:sz w:val="20"/>
          <w:szCs w:val="20"/>
          <w:color w:val="auto"/>
        </w:rPr>
      </w:pPr>
      <w:r>
        <w:rPr>
          <w:rFonts w:ascii="Arial" w:cs="Arial" w:eastAsia="Arial" w:hAnsi="Arial"/>
          <w:sz w:val="18"/>
          <w:szCs w:val="18"/>
          <w:color w:val="auto"/>
        </w:rPr>
        <w:t>The information below lists the number of other accounts for which each portfolio manager was primarily responsible for the day-to-day management as of the fiscal year ended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No. of Other</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 Other</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Accounts</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where</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No.</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Total</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where</w:t>
            </w: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Advisory Fee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Advisory</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48"/>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Name of PTMN Portfolio</w:t>
            </w:r>
          </w:p>
        </w:tc>
        <w:tc>
          <w:tcPr>
            <w:tcW w:w="4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 Other</w:t>
            </w:r>
          </w:p>
        </w:tc>
        <w:tc>
          <w:tcPr>
            <w:tcW w:w="18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Fee</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Based on</w:t>
            </w:r>
          </w:p>
        </w:tc>
        <w:tc>
          <w:tcPr>
            <w:tcW w:w="0" w:type="dxa"/>
            <w:vAlign w:val="bottom"/>
          </w:tcPr>
          <w:p>
            <w:pPr>
              <w:spacing w:after="0"/>
              <w:rPr>
                <w:sz w:val="1"/>
                <w:szCs w:val="1"/>
                <w:color w:val="auto"/>
              </w:rPr>
            </w:pPr>
          </w:p>
        </w:tc>
      </w:tr>
      <w:tr>
        <w:trPr>
          <w:trHeight w:val="144"/>
        </w:trPr>
        <w:tc>
          <w:tcPr>
            <w:tcW w:w="1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4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Type of Accounts</w:t>
            </w:r>
          </w:p>
        </w:tc>
        <w:tc>
          <w:tcPr>
            <w:tcW w:w="1040" w:type="dxa"/>
            <w:vAlign w:val="bottom"/>
            <w:gridSpan w:val="2"/>
          </w:tcPr>
          <w:p>
            <w:pPr>
              <w:jc w:val="right"/>
              <w:ind w:right="460"/>
              <w:spacing w:after="0" w:line="145" w:lineRule="exact"/>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2"/>
                <w:szCs w:val="12"/>
                <w:color w:val="auto"/>
              </w:rPr>
            </w:pPr>
          </w:p>
        </w:tc>
        <w:tc>
          <w:tcPr>
            <w:tcW w:w="1200" w:type="dxa"/>
            <w:vAlign w:val="bottom"/>
            <w:gridSpan w:val="2"/>
          </w:tcPr>
          <w:p>
            <w:pPr>
              <w:jc w:val="center"/>
              <w:ind w:right="660"/>
              <w:spacing w:after="0" w:line="145" w:lineRule="exact"/>
              <w:rPr>
                <w:sz w:val="20"/>
                <w:szCs w:val="20"/>
                <w:color w:val="auto"/>
              </w:rPr>
            </w:pPr>
            <w:r>
              <w:rPr>
                <w:rFonts w:ascii="Arial" w:cs="Arial" w:eastAsia="Arial" w:hAnsi="Arial"/>
                <w:sz w:val="14"/>
                <w:szCs w:val="14"/>
                <w:b w:val="1"/>
                <w:bCs w:val="1"/>
                <w:color w:val="auto"/>
                <w:w w:val="82"/>
              </w:rPr>
              <w:t>Assets</w:t>
            </w:r>
          </w:p>
        </w:tc>
        <w:tc>
          <w:tcPr>
            <w:tcW w:w="128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86"/>
              </w:rPr>
              <w:t>is Based on</w:t>
            </w:r>
          </w:p>
        </w:tc>
        <w:tc>
          <w:tcPr>
            <w:tcW w:w="94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20"/>
                <w:szCs w:val="20"/>
                <w:color w:val="auto"/>
              </w:rPr>
            </w:pPr>
            <w:r>
              <w:rPr>
                <w:rFonts w:ascii="Arial" w:cs="Arial" w:eastAsia="Arial" w:hAnsi="Arial"/>
                <w:sz w:val="14"/>
                <w:szCs w:val="14"/>
                <w:b w:val="1"/>
                <w:bCs w:val="1"/>
                <w:color w:val="auto"/>
              </w:rPr>
              <w:t>Manager</w:t>
            </w:r>
          </w:p>
        </w:tc>
        <w:tc>
          <w:tcPr>
            <w:tcW w:w="400" w:type="dxa"/>
            <w:vAlign w:val="bottom"/>
          </w:tcPr>
          <w:p>
            <w:pPr>
              <w:spacing w:after="0"/>
              <w:rPr>
                <w:sz w:val="15"/>
                <w:szCs w:val="15"/>
                <w:color w:val="auto"/>
              </w:rPr>
            </w:pPr>
          </w:p>
        </w:tc>
        <w:tc>
          <w:tcPr>
            <w:tcW w:w="4240" w:type="dxa"/>
            <w:vAlign w:val="bottom"/>
            <w:gridSpan w:val="2"/>
            <w:vMerge w:val="continue"/>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Managed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r>
              <w:rPr>
                <w:rFonts w:ascii="Arial" w:cs="Arial" w:eastAsia="Arial" w:hAnsi="Arial"/>
                <w:sz w:val="12"/>
                <w:szCs w:val="12"/>
                <w:b w:val="1"/>
                <w:bCs w:val="1"/>
                <w:color w:val="auto"/>
              </w:rPr>
              <w:t>(1)</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Performance</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8"/>
              </w:rPr>
              <w:t>(in millions)</w:t>
            </w:r>
            <w:r>
              <w:rPr>
                <w:rFonts w:ascii="Arial" w:cs="Arial" w:eastAsia="Arial" w:hAnsi="Arial"/>
                <w:sz w:val="12"/>
                <w:szCs w:val="12"/>
                <w:b w:val="1"/>
                <w:bCs w:val="1"/>
                <w:color w:val="auto"/>
                <w:w w:val="98"/>
              </w:rPr>
              <w:t>(2)</w:t>
            </w: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Matthias Ederer</w:t>
            </w:r>
          </w:p>
        </w:tc>
        <w:tc>
          <w:tcPr>
            <w:tcW w:w="40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Pooled Investment Vehicles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1,007</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Ted Goldthorpe</w:t>
            </w:r>
          </w:p>
        </w:tc>
        <w:tc>
          <w:tcPr>
            <w:tcW w:w="40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Registered Investment Companies</w:t>
            </w:r>
          </w:p>
        </w:tc>
        <w:tc>
          <w:tcPr>
            <w:tcW w:w="104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2</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369</w:t>
            </w:r>
          </w:p>
        </w:tc>
        <w:tc>
          <w:tcPr>
            <w:tcW w:w="12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2</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Pooled Investment Vehicles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1,444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Accounts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1,007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Patrick Schafer</w:t>
            </w: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Pooled Investment Vehicles</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Raymond Svider</w:t>
            </w:r>
          </w:p>
        </w:tc>
        <w:tc>
          <w:tcPr>
            <w:tcW w:w="40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Registered Investment Companies</w:t>
            </w:r>
          </w:p>
        </w:tc>
        <w:tc>
          <w:tcPr>
            <w:tcW w:w="104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rPr>
              <w:t>2</w:t>
            </w: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369</w:t>
            </w:r>
          </w:p>
        </w:tc>
        <w:tc>
          <w:tcPr>
            <w:tcW w:w="12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2</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Pooled Investment Vehicles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1,444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Other Accounts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1,007</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Henry Wang</w:t>
            </w: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369</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Pooled Investment Vehicles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1,444</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1,007</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Other Assets as defined by BCP, which includes undrawn commitments.</w:t>
      </w:r>
    </w:p>
    <w:p>
      <w:pPr>
        <w:spacing w:after="0" w:line="23" w:lineRule="exact"/>
        <w:rPr>
          <w:rFonts w:ascii="Arial" w:cs="Arial" w:eastAsia="Arial" w:hAnsi="Arial"/>
          <w:sz w:val="18"/>
          <w:szCs w:val="18"/>
          <w:color w:val="auto"/>
        </w:rPr>
      </w:pPr>
    </w:p>
    <w:p>
      <w:pPr>
        <w:ind w:left="460" w:right="220" w:hanging="452"/>
        <w:spacing w:after="0" w:line="26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assets under management of the accounts managed that have the potential to generate fees in addition to management fees based on total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BCP’s financial arrangements with the portfolio managers, its competitive compensation and its career path emphasis at all levels reflect the value senior management places on key resources. Compensation may include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variety of components and may vary from year to year based on a number of factors. The principal components of compensation include base compensation and performance-based, discretionary compensation.</w:t>
      </w:r>
    </w:p>
    <w:p>
      <w:pPr>
        <w:spacing w:after="0" w:line="170"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i w:val="1"/>
          <w:iCs w:val="1"/>
          <w:u w:val="single" w:color="auto"/>
          <w:color w:val="auto"/>
        </w:rPr>
        <w:t>Base Compensation</w:t>
      </w:r>
      <w:r>
        <w:rPr>
          <w:rFonts w:ascii="Arial" w:cs="Arial" w:eastAsia="Arial" w:hAnsi="Arial"/>
          <w:sz w:val="18"/>
          <w:szCs w:val="18"/>
          <w:color w:val="auto"/>
        </w:rPr>
        <w:t>: Generally, the portfolio managers receive base compensation based on their position with the firm that is 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rate of annual salaries paid to similarly situated investment professionals.</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i w:val="1"/>
          <w:iCs w:val="1"/>
          <w:u w:val="single" w:color="auto"/>
          <w:color w:val="auto"/>
        </w:rPr>
        <w:t>Discretionary Compensation</w:t>
      </w:r>
      <w:r>
        <w:rPr>
          <w:rFonts w:ascii="Arial" w:cs="Arial" w:eastAsia="Arial" w:hAnsi="Arial"/>
          <w:sz w:val="18"/>
          <w:szCs w:val="18"/>
          <w:color w:val="auto"/>
        </w:rPr>
        <w:t>: The PTMN Portfolio Managers also receive discretionary compensation generally consisting of two components: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bonus and carried interest.</w:t>
      </w:r>
    </w:p>
    <w:p>
      <w:pPr>
        <w:spacing w:after="0" w:line="76" w:lineRule="exact"/>
        <w:rPr>
          <w:sz w:val="20"/>
          <w:szCs w:val="20"/>
          <w:color w:val="auto"/>
        </w:rPr>
      </w:pPr>
    </w:p>
    <w:p>
      <w:pPr>
        <w:ind w:left="1000" w:hanging="439"/>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Generally, a PTMN Portfolio Manager receives an annual bonus based on the performance of BCP, the performance of the PTMN Portfolio Manager’s group within BCP and the individual’s performance, achievement of certain internal objectives and contribution to the overall performance of these portfolios and BCP as a whole.</w:t>
      </w:r>
    </w:p>
    <w:p>
      <w:pPr>
        <w:spacing w:after="0" w:line="89"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Carried Interest</w:t>
      </w:r>
      <w:r>
        <w:rPr>
          <w:rFonts w:ascii="Arial" w:cs="Arial" w:eastAsia="Arial" w:hAnsi="Arial"/>
          <w:sz w:val="18"/>
          <w:szCs w:val="18"/>
          <w:color w:val="auto"/>
        </w:rPr>
        <w:t>: Generally, a PTMN Portfolio Manager receives carried interests with respect to the BCP-advised funds, subject to standard terms and conditions, including vesting.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information contained under the caption “Certain Relationships and Related Transactions” in our most recent Definitive Proxy Statement on Schedule 14A is incorporated by reference herein.</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320" w:top="459" w:right="6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24, 2021, there were 9,115,291 shares of our Common Stock outstanding.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is deemed to control us, as such term is defined in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as of the date of this prospectus, information with respect to the beneficial ownership of our Common Stock by:</w:t>
      </w:r>
    </w:p>
    <w:p>
      <w:pPr>
        <w:spacing w:after="0" w:line="154" w:lineRule="exact"/>
        <w:rPr>
          <w:sz w:val="20"/>
          <w:szCs w:val="20"/>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the outstanding shares of our Common Stock;</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directors and each named executive officer;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Such shares, however, are not deemed outstanding for the purposes of computing the percentage ownership of any other person. Percentage of beneficial ownership is based on 9,115,291 shares of our Common Stock outstanding as of September 24, 2021.</w:t>
      </w:r>
    </w:p>
    <w:p>
      <w:pPr>
        <w:spacing w:after="0" w:line="184"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Unless otherwise indicated, to our knowledge, each stockholder listed below has sole voting and investment power with respect to the shares beneficially owned by the stockholder, except to the extent authority is shared by spouses under applicable law. Unless otherwise indicated, each stockholder maintains an address of c/o Portman Ridge, 650 Madison Avenue, 23rd Floor, New York, New York 10022.</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and Address</w:t>
            </w:r>
          </w:p>
        </w:tc>
        <w:tc>
          <w:tcPr>
            <w:tcW w:w="6140" w:type="dxa"/>
            <w:vAlign w:val="bottom"/>
            <w:vMerge w:val="restart"/>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12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w w:val="90"/>
              </w:rPr>
              <w:t>of Shares</w:t>
            </w:r>
          </w:p>
        </w:tc>
        <w:tc>
          <w:tcPr>
            <w:tcW w:w="9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0"/>
        </w:trPr>
        <w:tc>
          <w:tcPr>
            <w:tcW w:w="7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 and Executive Officers:</w:t>
            </w: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Duka</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George Grunebaum</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Lacovara</w:t>
            </w:r>
            <w:r>
              <w:rPr>
                <w:rFonts w:ascii="Arial" w:cs="Arial" w:eastAsia="Arial" w:hAnsi="Arial"/>
                <w:sz w:val="15"/>
                <w:szCs w:val="15"/>
                <w:color w:val="auto"/>
              </w:rPr>
              <w:t>(1)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21,263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Dean C. Kehler</w:t>
            </w:r>
            <w:r>
              <w:rPr>
                <w:rFonts w:ascii="Arial" w:cs="Arial" w:eastAsia="Arial" w:hAnsi="Arial"/>
                <w:sz w:val="15"/>
                <w:szCs w:val="15"/>
                <w:color w:val="auto"/>
              </w:rPr>
              <w:t>(2)</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167,400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Warshauer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Matthew Westwood</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4,326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Morea</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1,821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Non-Independent Directors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Ted Goldthorpe</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9,765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T. Roos</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Andrew Devine</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Schafer</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4,950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 as a Group (11 persons)</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212,525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Holders</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Sarpa Holdings LLC</w:t>
            </w:r>
            <w:r>
              <w:rPr>
                <w:rFonts w:ascii="Arial" w:cs="Arial" w:eastAsia="Arial" w:hAnsi="Arial"/>
                <w:sz w:val="15"/>
                <w:szCs w:val="15"/>
                <w:color w:val="auto"/>
              </w:rPr>
              <w:t>(3)</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559,868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Creek Capital Management</w:t>
            </w:r>
            <w:r>
              <w:rPr>
                <w:rFonts w:ascii="Arial" w:cs="Arial" w:eastAsia="Arial" w:hAnsi="Arial"/>
                <w:sz w:val="15"/>
                <w:szCs w:val="15"/>
                <w:color w:val="auto"/>
              </w:rPr>
              <w:t>(4)</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384,687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10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shares of common stock held by KKAT Acquisition Company III, LLC, KKAT Acquisition Company IV, LLC, KKAT Acquisition Company V, LLC, KKAT Acquisition Company VII, LLC and KKAT Acquisition Company VIII, LLC (the “KKAT Entities”). Mr. Lacovara is a member of the KKAT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320" w:top="459" w:right="5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40"/>
        <w:spacing w:after="0" w:line="258" w:lineRule="auto"/>
        <w:rPr>
          <w:sz w:val="20"/>
          <w:szCs w:val="20"/>
          <w:color w:val="auto"/>
        </w:rPr>
      </w:pPr>
      <w:r>
        <w:rPr>
          <w:rFonts w:ascii="Arial" w:cs="Arial" w:eastAsia="Arial" w:hAnsi="Arial"/>
          <w:sz w:val="18"/>
          <w:szCs w:val="18"/>
          <w:color w:val="auto"/>
        </w:rPr>
        <w:t>entities and therefore may have a pecuniary interest in certain of the shares held by the KKAT entities. Mr. Lacovara disclaims beneficial ownership of the shares held by the KKAT entities except to the extent of their respective pecuniary interests therein.</w:t>
      </w:r>
    </w:p>
    <w:p>
      <w:pPr>
        <w:spacing w:after="0" w:line="1" w:lineRule="exact"/>
        <w:rPr>
          <w:sz w:val="20"/>
          <w:szCs w:val="20"/>
          <w:color w:val="auto"/>
        </w:rPr>
      </w:pPr>
    </w:p>
    <w:p>
      <w:pPr>
        <w:ind w:left="460" w:right="18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180,000 (as adjusted for the reverse stock split) shares acquired by Mr. Kehler as consideration for his indirect sale of certain property and limited liability company interests in Trimaran Advisors, L.L.C. to PTMN on February 29, 2012. Mr. Kehler indicated that he has sole dispositive and voting power over 72,500 (as adjusted for the reverse stock split) of such shares which were delivered at the closing of the transaction.</w:t>
      </w:r>
    </w:p>
    <w:p>
      <w:pPr>
        <w:spacing w:after="0" w:line="1"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reported on a Schedule 13G filed by Sarpa Holdings LLC (“Sarpa”) on February 17, 2021. The principal address of Sarpa is 1870 Ogden Drive, Burlingame, CA 94010.</w:t>
      </w:r>
    </w:p>
    <w:p>
      <w:pPr>
        <w:ind w:left="460" w:right="400" w:hanging="452"/>
        <w:spacing w:after="0" w:line="26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reported on a Schedule 13G filed by Silver Creek Capital Management LLC (“Silver Creek”) on February 18, 2021. The principal address of Silver Creek is 1301 Fifth Avenue, 40th Floor, Seattle, Washington 98101.</w:t>
      </w:r>
    </w:p>
    <w:p>
      <w:pPr>
        <w:spacing w:after="0" w:line="18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following table sets forth the dollar range of PTMN’s equity securities beneficially owned by each of our directors as of September 24, 2021. We are not part of a “family of investment companies,” as that term is defined in Schedule 14A.</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8"/>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Director</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8"/>
        </w:trPr>
        <w:tc>
          <w:tcPr>
            <w:tcW w:w="5860" w:type="dxa"/>
            <w:vAlign w:val="bottom"/>
            <w:gridSpan w:val="3"/>
            <w:vMerge w:val="continue"/>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Securities($)</w:t>
            </w:r>
            <w:r>
              <w:rPr>
                <w:rFonts w:ascii="Arial" w:cs="Arial" w:eastAsia="Arial" w:hAnsi="Arial"/>
                <w:sz w:val="12"/>
                <w:szCs w:val="12"/>
                <w:b w:val="1"/>
                <w:bCs w:val="1"/>
                <w:color w:val="auto"/>
                <w:w w:val="93"/>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Alexander Duka</w:t>
            </w:r>
          </w:p>
        </w:tc>
        <w:tc>
          <w:tcPr>
            <w:tcW w:w="1680" w:type="dxa"/>
            <w:vAlign w:val="bottom"/>
          </w:tcPr>
          <w:p>
            <w:pPr>
              <w:jc w:val="right"/>
              <w:spacing w:after="0"/>
              <w:rPr>
                <w:sz w:val="20"/>
                <w:szCs w:val="20"/>
                <w:color w:val="auto"/>
              </w:rPr>
            </w:pPr>
            <w:r>
              <w:rPr>
                <w:rFonts w:ascii="Arial" w:cs="Arial" w:eastAsia="Arial" w:hAnsi="Arial"/>
                <w:sz w:val="18"/>
                <w:szCs w:val="18"/>
                <w:color w:val="auto"/>
              </w:rPr>
              <w:t>$10,001-$50,000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Grunebaum</w:t>
            </w:r>
          </w:p>
        </w:tc>
        <w:tc>
          <w:tcPr>
            <w:tcW w:w="1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Christopher Lacovara</w:t>
            </w:r>
          </w:p>
        </w:tc>
        <w:tc>
          <w:tcPr>
            <w:tcW w:w="1680" w:type="dxa"/>
            <w:vAlign w:val="bottom"/>
          </w:tcPr>
          <w:p>
            <w:pPr>
              <w:jc w:val="right"/>
              <w:spacing w:after="0"/>
              <w:rPr>
                <w:sz w:val="20"/>
                <w:szCs w:val="20"/>
                <w:color w:val="auto"/>
              </w:rPr>
            </w:pPr>
            <w:r>
              <w:rPr>
                <w:rFonts w:ascii="Arial" w:cs="Arial" w:eastAsia="Arial" w:hAnsi="Arial"/>
                <w:sz w:val="18"/>
                <w:szCs w:val="18"/>
                <w:color w:val="auto"/>
              </w:rPr>
              <w:t>&gt;$100,000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C. Kehler</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Robert Warshauer</w:t>
            </w:r>
          </w:p>
        </w:tc>
        <w:tc>
          <w:tcPr>
            <w:tcW w:w="1680" w:type="dxa"/>
            <w:vAlign w:val="bottom"/>
          </w:tcPr>
          <w:p>
            <w:pPr>
              <w:jc w:val="right"/>
              <w:spacing w:after="0"/>
              <w:rPr>
                <w:sz w:val="20"/>
                <w:szCs w:val="20"/>
                <w:color w:val="auto"/>
              </w:rPr>
            </w:pPr>
            <w:r>
              <w:rPr>
                <w:rFonts w:ascii="Arial" w:cs="Arial" w:eastAsia="Arial" w:hAnsi="Arial"/>
                <w:sz w:val="18"/>
                <w:szCs w:val="18"/>
                <w:color w:val="auto"/>
              </w:rPr>
              <w:t>$10,001-$50,000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Non-Independent Directors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Ted Goldthorpe</w:t>
            </w:r>
          </w:p>
        </w:tc>
        <w:tc>
          <w:tcPr>
            <w:tcW w:w="1680" w:type="dxa"/>
            <w:vAlign w:val="bottom"/>
          </w:tcPr>
          <w:p>
            <w:pPr>
              <w:jc w:val="right"/>
              <w:spacing w:after="0"/>
              <w:rPr>
                <w:sz w:val="20"/>
                <w:szCs w:val="20"/>
                <w:color w:val="auto"/>
              </w:rPr>
            </w:pPr>
            <w:r>
              <w:rPr>
                <w:rFonts w:ascii="Arial" w:cs="Arial" w:eastAsia="Arial" w:hAnsi="Arial"/>
                <w:sz w:val="18"/>
                <w:szCs w:val="18"/>
                <w:color w:val="auto"/>
              </w:rPr>
              <w:t>&gt;$100,000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Westwood</w:t>
            </w:r>
            <w:r>
              <w:rPr>
                <w:rFonts w:ascii="Arial" w:cs="Arial" w:eastAsia="Arial" w:hAnsi="Arial"/>
                <w:sz w:val="15"/>
                <w:szCs w:val="15"/>
                <w:b w:val="1"/>
                <w:bCs w:val="1"/>
                <w:color w:val="auto"/>
              </w:rPr>
              <w:t>(3)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Joseph Morea</w:t>
            </w:r>
            <w:r>
              <w:rPr>
                <w:rFonts w:ascii="Arial" w:cs="Arial" w:eastAsia="Arial" w:hAnsi="Arial"/>
                <w:sz w:val="15"/>
                <w:szCs w:val="15"/>
                <w:b w:val="1"/>
                <w:bCs w:val="1"/>
                <w:color w:val="auto"/>
              </w:rPr>
              <w:t>(4)</w:t>
            </w:r>
          </w:p>
        </w:tc>
        <w:tc>
          <w:tcPr>
            <w:tcW w:w="1680" w:type="dxa"/>
            <w:vAlign w:val="bottom"/>
          </w:tcPr>
          <w:p>
            <w:pPr>
              <w:jc w:val="right"/>
              <w:spacing w:after="0"/>
              <w:rPr>
                <w:sz w:val="20"/>
                <w:szCs w:val="20"/>
                <w:color w:val="auto"/>
              </w:rPr>
            </w:pPr>
            <w:r>
              <w:rPr>
                <w:rFonts w:ascii="Arial" w:cs="Arial" w:eastAsia="Arial" w:hAnsi="Arial"/>
                <w:sz w:val="18"/>
                <w:szCs w:val="18"/>
                <w:color w:val="auto"/>
              </w:rPr>
              <w:t>$10,001-$50,000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0" w:hanging="452"/>
        <w:spacing w:after="0" w:line="25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the closing price of our Common Stock on Nasdaq on September 24, 2021 of $24.17. The dollar range of equity securities beneficially owned are: none, $1 – $10,000, $10,001 – $50,000, $50,001 – $100,000, or &gt; $100,000.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16a-1(a)(2) of the Exchange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Westwood joined the Board on October, 26, 2020.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Morea joined the Board on October, 26, 2020.</w:t>
      </w:r>
    </w:p>
    <w:p>
      <w:pPr>
        <w:spacing w:after="0" w:line="103"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following table sets forth the dollar range of equity interests beneficially owned by any of our independent directors and his or her immediate family as of December 31, 2020 in other funds managed by the Adviser or its affiliates.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1960" w:type="dxa"/>
            <w:vAlign w:val="bottom"/>
            <w:vMerge w:val="restart"/>
          </w:tcPr>
          <w:p>
            <w:pPr>
              <w:spacing w:after="0"/>
              <w:rPr>
                <w:sz w:val="14"/>
                <w:szCs w:val="14"/>
                <w:color w:val="auto"/>
              </w:rPr>
            </w:pPr>
          </w:p>
        </w:tc>
        <w:tc>
          <w:tcPr>
            <w:tcW w:w="25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 of Owners</w:t>
            </w:r>
          </w:p>
        </w:tc>
        <w:tc>
          <w:tcPr>
            <w:tcW w:w="100" w:type="dxa"/>
            <w:vAlign w:val="bottom"/>
          </w:tcPr>
          <w:p>
            <w:pPr>
              <w:spacing w:after="0"/>
              <w:rPr>
                <w:sz w:val="14"/>
                <w:szCs w:val="14"/>
                <w:color w:val="auto"/>
              </w:rPr>
            </w:pPr>
          </w:p>
        </w:tc>
        <w:tc>
          <w:tcPr>
            <w:tcW w:w="25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Title of Class</w:t>
            </w:r>
          </w:p>
        </w:tc>
        <w:tc>
          <w:tcPr>
            <w:tcW w:w="1560" w:type="dxa"/>
            <w:vAlign w:val="bottom"/>
          </w:tcPr>
          <w:p>
            <w:pPr>
              <w:ind w:left="52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91"/>
        </w:trPr>
        <w:tc>
          <w:tcPr>
            <w:tcW w:w="1080" w:type="dxa"/>
            <w:vAlign w:val="bottom"/>
            <w:tcBorders>
              <w:bottom w:val="single" w:sz="8" w:color="auto"/>
            </w:tcBorders>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2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tcPr>
          <w:p>
            <w:pPr>
              <w:ind w:left="400"/>
              <w:spacing w:after="0"/>
              <w:rPr>
                <w:sz w:val="20"/>
                <w:szCs w:val="20"/>
                <w:color w:val="auto"/>
              </w:rPr>
            </w:pPr>
            <w:r>
              <w:rPr>
                <w:rFonts w:ascii="Arial" w:cs="Arial" w:eastAsia="Arial" w:hAnsi="Arial"/>
                <w:sz w:val="14"/>
                <w:szCs w:val="14"/>
                <w:b w:val="1"/>
                <w:bCs w:val="1"/>
                <w:color w:val="auto"/>
              </w:rPr>
              <w:t>Securities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89"/>
        </w:trPr>
        <w:tc>
          <w:tcPr>
            <w:tcW w:w="3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Alexander Duka</w:t>
            </w:r>
          </w:p>
        </w:tc>
        <w:tc>
          <w:tcPr>
            <w:tcW w:w="2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Alexander Duka and Barbara Duka</w:t>
            </w:r>
          </w:p>
        </w:tc>
        <w:tc>
          <w:tcPr>
            <w:tcW w:w="10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BC Partners Special Opportunities</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Limited</w:t>
            </w:r>
          </w:p>
        </w:tc>
        <w:tc>
          <w:tcPr>
            <w:tcW w:w="1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Over $ 100,000</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Fund I LP</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Partnership</w:t>
            </w: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040" w:type="dxa"/>
            <w:vAlign w:val="bottom"/>
            <w:gridSpan w:val="2"/>
          </w:tcPr>
          <w:p>
            <w:pPr>
              <w:spacing w:after="0"/>
              <w:rPr>
                <w:sz w:val="20"/>
                <w:szCs w:val="20"/>
                <w:color w:val="auto"/>
              </w:rPr>
            </w:pPr>
            <w:r>
              <w:rPr>
                <w:rFonts w:ascii="Arial" w:cs="Arial" w:eastAsia="Arial" w:hAnsi="Arial"/>
                <w:sz w:val="18"/>
                <w:szCs w:val="18"/>
                <w:color w:val="auto"/>
              </w:rPr>
              <w:t>Alexander Duka</w:t>
            </w:r>
          </w:p>
        </w:tc>
        <w:tc>
          <w:tcPr>
            <w:tcW w:w="2580" w:type="dxa"/>
            <w:vAlign w:val="bottom"/>
          </w:tcPr>
          <w:p>
            <w:pPr>
              <w:spacing w:after="0"/>
              <w:rPr>
                <w:sz w:val="20"/>
                <w:szCs w:val="20"/>
                <w:color w:val="auto"/>
              </w:rPr>
            </w:pPr>
            <w:r>
              <w:rPr>
                <w:rFonts w:ascii="Arial" w:cs="Arial" w:eastAsia="Arial" w:hAnsi="Arial"/>
                <w:sz w:val="18"/>
                <w:szCs w:val="18"/>
                <w:color w:val="auto"/>
                <w:w w:val="91"/>
              </w:rPr>
              <w:t>Alexander Duka and Barbara Duka</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BC Partners Lending</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Common</w:t>
            </w:r>
          </w:p>
        </w:tc>
        <w:tc>
          <w:tcPr>
            <w:tcW w:w="1560" w:type="dxa"/>
            <w:vAlign w:val="bottom"/>
          </w:tcPr>
          <w:p>
            <w:pPr>
              <w:spacing w:after="0"/>
              <w:rPr>
                <w:sz w:val="20"/>
                <w:szCs w:val="20"/>
                <w:color w:val="auto"/>
              </w:rPr>
            </w:pPr>
            <w:r>
              <w:rPr>
                <w:rFonts w:ascii="Arial" w:cs="Arial" w:eastAsia="Arial" w:hAnsi="Arial"/>
                <w:sz w:val="18"/>
                <w:szCs w:val="18"/>
                <w:color w:val="auto"/>
              </w:rPr>
              <w:t>Over $ 100,000</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Corporation</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Stock</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George Grunebaum</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George Grunebaum</w:t>
            </w:r>
          </w:p>
        </w:tc>
        <w:tc>
          <w:tcPr>
            <w:tcW w:w="2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BC Partners Lending</w:t>
            </w:r>
          </w:p>
        </w:tc>
        <w:tc>
          <w:tcPr>
            <w:tcW w:w="1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w:t>
            </w: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Over $ 100,000</w:t>
            </w:r>
          </w:p>
        </w:tc>
        <w:tc>
          <w:tcPr>
            <w:tcW w:w="0" w:type="dxa"/>
            <w:vAlign w:val="bottom"/>
          </w:tcPr>
          <w:p>
            <w:pPr>
              <w:spacing w:after="0"/>
              <w:rPr>
                <w:sz w:val="1"/>
                <w:szCs w:val="1"/>
                <w:color w:val="auto"/>
              </w:rPr>
            </w:pPr>
          </w:p>
        </w:tc>
      </w:tr>
      <w:tr>
        <w:trPr>
          <w:trHeight w:val="244"/>
        </w:trPr>
        <w:tc>
          <w:tcPr>
            <w:tcW w:w="10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Corporation</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040" w:type="dxa"/>
            <w:vAlign w:val="bottom"/>
            <w:gridSpan w:val="2"/>
          </w:tcPr>
          <w:p>
            <w:pPr>
              <w:spacing w:after="0"/>
              <w:rPr>
                <w:sz w:val="20"/>
                <w:szCs w:val="20"/>
                <w:color w:val="auto"/>
              </w:rPr>
            </w:pPr>
            <w:r>
              <w:rPr>
                <w:rFonts w:ascii="Arial" w:cs="Arial" w:eastAsia="Arial" w:hAnsi="Arial"/>
                <w:sz w:val="18"/>
                <w:szCs w:val="18"/>
                <w:color w:val="auto"/>
              </w:rPr>
              <w:t>Robert Warshauer</w:t>
            </w:r>
          </w:p>
        </w:tc>
        <w:tc>
          <w:tcPr>
            <w:tcW w:w="2580" w:type="dxa"/>
            <w:vAlign w:val="bottom"/>
          </w:tcPr>
          <w:p>
            <w:pPr>
              <w:spacing w:after="0"/>
              <w:rPr>
                <w:sz w:val="20"/>
                <w:szCs w:val="20"/>
                <w:color w:val="auto"/>
              </w:rPr>
            </w:pPr>
            <w:r>
              <w:rPr>
                <w:rFonts w:ascii="Arial" w:cs="Arial" w:eastAsia="Arial" w:hAnsi="Arial"/>
                <w:sz w:val="18"/>
                <w:szCs w:val="18"/>
                <w:color w:val="auto"/>
              </w:rPr>
              <w:t>Robert Warshauer</w:t>
            </w: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BC Partners Lending</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Common</w:t>
            </w:r>
          </w:p>
        </w:tc>
        <w:tc>
          <w:tcPr>
            <w:tcW w:w="1560" w:type="dxa"/>
            <w:vAlign w:val="bottom"/>
          </w:tcPr>
          <w:p>
            <w:pPr>
              <w:spacing w:after="0"/>
              <w:rPr>
                <w:sz w:val="20"/>
                <w:szCs w:val="20"/>
                <w:color w:val="auto"/>
              </w:rPr>
            </w:pPr>
            <w:r>
              <w:rPr>
                <w:rFonts w:ascii="Arial" w:cs="Arial" w:eastAsia="Arial" w:hAnsi="Arial"/>
                <w:sz w:val="18"/>
                <w:szCs w:val="18"/>
                <w:color w:val="auto"/>
              </w:rPr>
              <w:t>Over $ 100,000</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Corporation</w:t>
            </w:r>
          </w:p>
        </w:tc>
        <w:tc>
          <w:tcPr>
            <w:tcW w:w="1380" w:type="dxa"/>
            <w:vAlign w:val="bottom"/>
            <w:gridSpan w:val="3"/>
          </w:tcPr>
          <w:p>
            <w:pPr>
              <w:ind w:left="120"/>
              <w:spacing w:after="0"/>
              <w:rPr>
                <w:sz w:val="20"/>
                <w:szCs w:val="20"/>
                <w:color w:val="auto"/>
              </w:rPr>
            </w:pPr>
            <w:r>
              <w:rPr>
                <w:rFonts w:ascii="Arial" w:cs="Arial" w:eastAsia="Arial" w:hAnsi="Arial"/>
                <w:sz w:val="18"/>
                <w:szCs w:val="18"/>
                <w:color w:val="auto"/>
              </w:rPr>
              <w:t>Stock</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Warshauer</w:t>
            </w: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Warshauer</w:t>
            </w:r>
          </w:p>
        </w:tc>
        <w:tc>
          <w:tcPr>
            <w:tcW w:w="2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BCP Special</w:t>
            </w:r>
          </w:p>
        </w:tc>
        <w:tc>
          <w:tcPr>
            <w:tcW w:w="13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w:t>
            </w: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Over $ 100,000</w:t>
            </w:r>
          </w:p>
        </w:tc>
        <w:tc>
          <w:tcPr>
            <w:tcW w:w="0" w:type="dxa"/>
            <w:vAlign w:val="bottom"/>
          </w:tcPr>
          <w:p>
            <w:pPr>
              <w:spacing w:after="0"/>
              <w:rPr>
                <w:sz w:val="1"/>
                <w:szCs w:val="1"/>
                <w:color w:val="auto"/>
              </w:rPr>
            </w:pPr>
          </w:p>
        </w:tc>
      </w:tr>
      <w:tr>
        <w:trPr>
          <w:trHeight w:val="244"/>
        </w:trPr>
        <w:tc>
          <w:tcPr>
            <w:tcW w:w="10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Opportunities Fund I LLP</w:t>
            </w:r>
          </w:p>
        </w:tc>
        <w:tc>
          <w:tcPr>
            <w:tcW w:w="1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Partnership</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40" w:right="2920" w:hanging="5532"/>
        <w:spacing w:after="0" w:line="449" w:lineRule="auto"/>
        <w:tabs>
          <w:tab w:leader="none" w:pos="4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 41</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We calculate the value of our investments in accordance with the procedures described in “Item 1. Business —Determination of Net Asset Value” of our most recent Annual Report on Form 10-K, which is incorporated by reference 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information in “Business—Dividend Reinvestment Plan” in Part 1, Item 1 of our Annual Report on Form 10-K for the fiscal year ended December 31, 2020 is incorporated herein by reference.</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0"/>
          </w:cols>
          <w:pgMar w:left="320" w:top="459" w:right="10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following discussion is a general summary of certain material U.S. federal income tax considerations applicable to us and to an investment in shares of our common stock. This discussion is based on the provisions of the Code, the regulations of the U.S. Department of Treasury promulgated thereunder, or “Treasury regulations,” and administrative and judicial interpretations, each as in effect as of the date of this prospectus and all of which are subject to change, possibly retroactively, which could affect the continuing validity of this discussion.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IRS regarding any matter discussed herein.</w:t>
      </w:r>
    </w:p>
    <w:p>
      <w:pPr>
        <w:spacing w:after="0" w:line="186" w:lineRule="exact"/>
        <w:rPr>
          <w:sz w:val="20"/>
          <w:szCs w:val="20"/>
          <w:color w:val="auto"/>
        </w:rPr>
      </w:pPr>
    </w:p>
    <w:p>
      <w:pPr>
        <w:ind w:right="520" w:firstLine="449"/>
        <w:spacing w:after="0" w:line="263" w:lineRule="auto"/>
        <w:rPr>
          <w:sz w:val="20"/>
          <w:szCs w:val="20"/>
          <w:color w:val="auto"/>
        </w:rPr>
      </w:pPr>
      <w:r>
        <w:rPr>
          <w:rFonts w:ascii="Arial" w:cs="Arial" w:eastAsia="Arial" w:hAnsi="Arial"/>
          <w:sz w:val="18"/>
          <w:szCs w:val="18"/>
          <w:color w:val="auto"/>
        </w:rPr>
        <w:t>This discussion does not discuss the consequences of an investment in our preferred stock, subscription rights, debt securities or warrants representing rights to purchase shares of our preferred stock, common stock, or debt securities. The U.S. federal income tax consequences of such an investment in the relevant prospectus supplement.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is generally a beneficial owner of shares of our common stock that is for U.S. federal income tax purposes:</w:t>
      </w:r>
    </w:p>
    <w:p>
      <w:pPr>
        <w:spacing w:after="0" w:line="131" w:lineRule="exact"/>
        <w:rPr>
          <w:sz w:val="20"/>
          <w:szCs w:val="20"/>
          <w:color w:val="auto"/>
        </w:rPr>
      </w:pPr>
    </w:p>
    <w:p>
      <w:pPr>
        <w:ind w:left="1000" w:hanging="439"/>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00" w:right="240" w:hanging="439"/>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U.S. tax purposes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00" w:right="280" w:hanging="439"/>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trust if a court within the United States is able to exercise primary jurisdiction over the administration of the trust and one or more U.S. persons have authority to control all substantial decisions of the trust (or a trust that has made a valid election to be treated as a U.S. trust).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generally is a beneficial owner of shares of our common stock other than a U.S. stockholder.</w:t>
      </w:r>
    </w:p>
    <w:p>
      <w:pPr>
        <w:spacing w:after="0" w:line="225"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If a partnership or other entity classified as a partnership, for U.S. federal income tax purposes, holds our shares, the U.S. tax treatment of the partnership and each partner generally depends on the status of the partner, the activities of the partnership and certain determinations made at the partner level. A partnership (and any partner in such partnership) considering an investment in our common stock should consult its own tax advisers regarding the U.S. federal income tax consequences of the acquisition, ownership and disposition of shares by the partnership.</w:t>
      </w:r>
    </w:p>
    <w:p>
      <w:pPr>
        <w:spacing w:after="0" w:line="17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i w:val="1"/>
          <w:iCs w:val="1"/>
          <w:color w:val="auto"/>
        </w:rPr>
        <w:t>Tax matters are very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740" w:firstLine="449"/>
        <w:spacing w:after="0" w:line="342" w:lineRule="auto"/>
        <w:rPr>
          <w:sz w:val="20"/>
          <w:szCs w:val="20"/>
          <w:color w:val="auto"/>
        </w:rPr>
      </w:pPr>
      <w:r>
        <w:rPr>
          <w:rFonts w:ascii="Arial" w:cs="Arial" w:eastAsia="Arial" w:hAnsi="Arial"/>
          <w:sz w:val="16"/>
          <w:szCs w:val="16"/>
          <w:color w:val="auto"/>
        </w:rPr>
        <w:t>We have elected to be treated and intend to qualify each year as a RIC under Subchapter M of the Code. As a RIC, we generally do not pay corporate-level U.S. federal income taxes on any ordinary income or capital gains that we timely distribute to our stockholders as dividends.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RIC, we must, among other things:</w:t>
      </w:r>
    </w:p>
    <w:p>
      <w:pPr>
        <w:spacing w:after="0" w:line="131" w:lineRule="exact"/>
        <w:rPr>
          <w:sz w:val="20"/>
          <w:szCs w:val="20"/>
          <w:color w:val="auto"/>
        </w:rPr>
      </w:pPr>
    </w:p>
    <w:p>
      <w:pPr>
        <w:ind w:left="1000" w:right="100" w:hanging="439"/>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pacing w:after="0" w:line="92" w:lineRule="exact"/>
        <w:rPr>
          <w:rFonts w:ascii="Arial" w:cs="Arial" w:eastAsia="Arial" w:hAnsi="Arial"/>
          <w:sz w:val="18"/>
          <w:szCs w:val="18"/>
          <w:color w:val="auto"/>
        </w:rPr>
      </w:pPr>
    </w:p>
    <w:p>
      <w:pPr>
        <w:ind w:left="1000" w:hanging="439"/>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each taxable year:</w:t>
      </w:r>
    </w:p>
    <w:p>
      <w:pPr>
        <w:spacing w:after="0" w:line="130" w:lineRule="exact"/>
        <w:rPr>
          <w:rFonts w:ascii="Arial" w:cs="Arial" w:eastAsia="Arial" w:hAnsi="Arial"/>
          <w:sz w:val="18"/>
          <w:szCs w:val="18"/>
          <w:color w:val="auto"/>
        </w:rPr>
      </w:pPr>
    </w:p>
    <w:p>
      <w:pPr>
        <w:jc w:val="both"/>
        <w:ind w:left="1460" w:right="220" w:hanging="332"/>
        <w:spacing w:after="0" w:line="286" w:lineRule="auto"/>
        <w:tabs>
          <w:tab w:leader="none" w:pos="14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70" w:lineRule="exact"/>
        <w:rPr>
          <w:rFonts w:ascii="Arial" w:cs="Arial" w:eastAsia="Arial" w:hAnsi="Arial"/>
          <w:sz w:val="17"/>
          <w:szCs w:val="17"/>
          <w:color w:val="auto"/>
        </w:rPr>
      </w:pPr>
    </w:p>
    <w:p>
      <w:pPr>
        <w:ind w:left="1460" w:right="80" w:hanging="332"/>
        <w:spacing w:after="0" w:line="259"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 more than 25% of the value of our total assets is invested in the securities of any issuer (other than U.S. Government securities and the securities of other regulated investment companies), the securities of any two or more issuers that we control and that are determined to be engaged in the same business or similar or related trades or businesses, or the securities of one or more QPTPs (the “Diversification Tests”).</w:t>
      </w:r>
    </w:p>
    <w:p>
      <w:pPr>
        <w:spacing w:after="0" w:line="187"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which we refer to as “SEC Certification.” We have not sought SEC Certification, but it is possible that we will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6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a RIC, we are generally not subject to U.S. federal income tax on investment company taxable income and net capital gains that we distribute to our stockholders in any taxable year with respect to which we distribute an amount equal to at least 90% of the sum of our (i)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net tax-exempt interest income (which is the excess of our gross tax-exempt interest income over certain disallowed deductions) (the “Annual Distribution Requirement”). We intend to distribute annually all or substantially all of such income. Generally, if we fail to meet this Annual Distribution Requirement for any taxable year, we will fail to qualify for tax treatment as a RIC for such taxable year. To the extent we meet the Annual Distribution Requirement for a taxable year, but retain our net capital gains for investment or any investment company taxable income, we are subject to U.S. federal income tax on such retained capital gains and investment company taxable income. We may choose to retain our net capital gains for investment or any investment company taxable income, and pay the associated U.S. federal corporate income tax.</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are subject to a nondeductible 4% U.S. federal excise tax on certain of our undistributed income, unless we timely distribute (or are deemed to have timely distributed) an amount equal to the sum of:</w:t>
      </w:r>
    </w:p>
    <w:p>
      <w:pPr>
        <w:spacing w:after="0" w:line="76" w:lineRule="exact"/>
        <w:rPr>
          <w:sz w:val="20"/>
          <w:szCs w:val="20"/>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130" w:lineRule="exact"/>
        <w:rPr>
          <w:rFonts w:ascii="Arial" w:cs="Arial" w:eastAsia="Arial" w:hAnsi="Arial"/>
          <w:sz w:val="18"/>
          <w:szCs w:val="18"/>
          <w:color w:val="auto"/>
        </w:rPr>
      </w:pPr>
    </w:p>
    <w:p>
      <w:pPr>
        <w:ind w:left="1000" w:right="180" w:hanging="439"/>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least 98.2% of the amount by which our capital gains exceed our capital losses (adjusted for certain ordinary losses) for a one-year period generally ending on October 31 of the calendar year (unless an election is made by us to use our taxable year); and</w:t>
      </w:r>
    </w:p>
    <w:p>
      <w:pPr>
        <w:spacing w:after="0" w:line="51" w:lineRule="exact"/>
        <w:rPr>
          <w:rFonts w:ascii="Arial" w:cs="Arial" w:eastAsia="Arial" w:hAnsi="Arial"/>
          <w:sz w:val="17"/>
          <w:szCs w:val="17"/>
          <w:color w:val="auto"/>
        </w:rPr>
      </w:pPr>
    </w:p>
    <w:p>
      <w:pPr>
        <w:ind w:left="1000" w:hanging="439"/>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undistributed amounts from previous years on which we paid no U.S. federal income tax.</w:t>
      </w:r>
    </w:p>
    <w:p>
      <w:pPr>
        <w:spacing w:after="0" w:line="225"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“Business— Regulation—Senior Securities” in our most recently filed Annual Report on Form 10-K, as well as in subsequent filings we make with the SEC.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spacing w:after="0" w:line="164"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Investments</w:t>
      </w:r>
    </w:p>
    <w:p>
      <w:pPr>
        <w:spacing w:after="0" w:line="121"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b w:val="1"/>
          <w:bCs w:val="1"/>
          <w:i w:val="1"/>
          <w:iCs w:val="1"/>
          <w:color w:val="auto"/>
        </w:rPr>
        <w:t xml:space="preserve">Debt Instruments. </w:t>
      </w:r>
      <w:r>
        <w:rPr>
          <w:rFonts w:ascii="Arial" w:cs="Arial" w:eastAsia="Arial" w:hAnsi="Arial"/>
          <w:sz w:val="18"/>
          <w:szCs w:val="18"/>
          <w:color w:val="auto"/>
        </w:rPr>
        <w:t>In certain circumstances, we may be required to recognize taxable income prior to which we receive cash. For example, if we hold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by us in the same taxable year. We may also have to include in income other amounts that we have not yet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Gain or loss realized by us from the sale or exchange of warrants acquired by us as well as any loss attributable to the lapse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generally are treated as capital gain or loss. The treatment of such gain or loss as long-term or short-term generally depends on how long we held a particular warrant.</w:t>
      </w:r>
    </w:p>
    <w:p>
      <w:pPr>
        <w:spacing w:after="0" w:line="184"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b w:val="1"/>
          <w:bCs w:val="1"/>
          <w:i w:val="1"/>
          <w:iCs w:val="1"/>
          <w:color w:val="auto"/>
        </w:rPr>
        <w:t xml:space="preserve">Foreign Investments. </w:t>
      </w:r>
      <w:r>
        <w:rPr>
          <w:rFonts w:ascii="Arial" w:cs="Arial" w:eastAsia="Arial" w:hAnsi="Arial"/>
          <w:sz w:val="17"/>
          <w:szCs w:val="17"/>
          <w:color w:val="auto"/>
        </w:rPr>
        <w:t>In the event we invest in foreign securities, we may be subject to withholding and other foreign taxes with respect to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We do not expect to satisfy the requirement to pass through to our stockholders their share of the foreign taxes paid by us.</w:t>
      </w:r>
    </w:p>
    <w:p>
      <w:pPr>
        <w:spacing w:after="0" w:line="146"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b w:val="1"/>
          <w:bCs w:val="1"/>
          <w:i w:val="1"/>
          <w:iCs w:val="1"/>
          <w:color w:val="auto"/>
        </w:rPr>
        <w:t xml:space="preserve">Passive Foreign Investment Companies. </w:t>
      </w:r>
      <w:r>
        <w:rPr>
          <w:rFonts w:ascii="Arial" w:cs="Arial" w:eastAsia="Arial" w:hAnsi="Arial"/>
          <w:sz w:val="16"/>
          <w:szCs w:val="16"/>
          <w:color w:val="auto"/>
        </w:rPr>
        <w:t>We may invest in the stock of a foreign corporation which is classified as a “passive foreign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(within the meaning of Section 1297 of the Code), or “PFIC.” In general, unless a special tax election has been made, we are required to pay tax at ordinary income rates on any gains and “excess distributions” with respect to PFIC stock as if such items had been realized ratably over the period during which we held the PFIC stock, plus an interest charge. Certain adverse tax consequences of a PFIC investment may be limited if we are eligible to elect alternative tax treatment with respect to such investment. No assurances can be given that any such election will be available or that, if available, we will make such an election. For these reasons, we intend to manage our holdings in passive foreign investment companies to minimize our tax liability.</w:t>
      </w:r>
    </w:p>
    <w:p>
      <w:pPr>
        <w:spacing w:after="0" w:line="164"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Transactions. </w:t>
      </w:r>
      <w:r>
        <w:rPr>
          <w:rFonts w:ascii="Arial" w:cs="Arial" w:eastAsia="Arial" w:hAnsi="Arial"/>
          <w:sz w:val="16"/>
          <w:szCs w:val="16"/>
          <w:color w:val="auto"/>
        </w:rPr>
        <w:t>Under the Code, gains or losses attributable to fluctuations in exchange rates which occur between the time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we were unable to qualify for treatment as a RIC, and if certain cure provisions described below are not available, we would be subject to tax on all of our taxable income (including our net capital gains)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If we fail to qualify as a RIC for a period greater than two taxable years, to qualify as a RIC in a subsequent year we may be subject to regular corporate tax on any net built-in gains with respect to certain of our assets (</w:t>
      </w:r>
      <w:r>
        <w:rPr>
          <w:rFonts w:ascii="Arial" w:cs="Arial" w:eastAsia="Arial" w:hAnsi="Arial"/>
          <w:sz w:val="17"/>
          <w:szCs w:val="17"/>
          <w:i w:val="1"/>
          <w:iCs w:val="1"/>
          <w:color w:val="auto"/>
        </w:rPr>
        <w:t>i.e.</w:t>
      </w:r>
      <w:r>
        <w:rPr>
          <w:rFonts w:ascii="Arial" w:cs="Arial" w:eastAsia="Arial" w:hAnsi="Arial"/>
          <w:sz w:val="17"/>
          <w:szCs w:val="17"/>
          <w:color w:val="auto"/>
        </w:rPr>
        <w:t>,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for tax treatment as a RIC for each taxable year.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are taxable as ordinary income to U.S. stockholders to the extent of our current or accumulated earnings and profits, whether paid in cash or reinvested in additional shares of our common stock. To the extent such distributions paid by us to non-corporate stockholders (including individuals) are attributable to dividends from U.S. corporations and certain qualified foreign corporations and if certain holding period requirements are met, such distributions generally will be treated as qualified dividend income and eligible for a maximum U.S. federal tax rate of 20%. In this regard, it is anticipated that distributions paid by us will generally not be attributable to dividends and, therefore, generally will not qualify for the 20% maximum U.S. federal tax rate.</w:t>
      </w:r>
    </w:p>
    <w:p>
      <w:pPr>
        <w:spacing w:after="0" w:line="16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Distributions of our net capital gain (which is generally our realized net long-term capital gains in excess of realized net short-term capital losses) properly reported by us as “capital gain dividends” will be taxable to a U.S. stockholder as long-term capital gains (currently at a maximum U.S. federal tax rate of 20%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Stockholders receiving dividends or distributions in the form of additional shares of our common stock purchased in the market should be treated for U.S. federal income tax purposes as receiving a distribution in an amount equal to the amount of money that the stockholders receiving cash dividends or distributions will receive, and should have a cost basis in the shares received equal to such amount. Stockholders receiving dividends in newly issued shares of our common stock will be treated as receiving a distribution equal to the value of the shares received, and should have a cost basis of such amount.</w:t>
      </w:r>
    </w:p>
    <w:p>
      <w:pPr>
        <w:spacing w:after="0" w:line="185"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An additional 3.8% Medicare tax is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Generally, you will be provided with a written notice each year reporting the amount of any (i) ordinary income dividends, and (ii) capital gain dividends. For purposes of determining (1) whether the Annual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you a dividend in January which was declared in the previous October, November or December to stockholders of record on a specified date in one of these months, then the dividend will be treated for tax purposes as being paid by us and received by you on December 31 of the year in which the dividend was declared. If an investor purchases shares of our stock shortly before the record date of a distribution, the price of the shares will include the value of the distribution and the investor will be subject to tax on the distribution even though it represents a return of its investment.</w:t>
      </w:r>
    </w:p>
    <w:p>
      <w:pPr>
        <w:spacing w:after="0" w:line="166"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b w:val="1"/>
          <w:bCs w:val="1"/>
          <w:i w:val="1"/>
          <w:iCs w:val="1"/>
          <w:color w:val="auto"/>
        </w:rPr>
        <w:t xml:space="preserve">Dividend Reinvestment Plan. </w:t>
      </w:r>
      <w:r>
        <w:rPr>
          <w:rFonts w:ascii="Arial" w:cs="Arial" w:eastAsia="Arial" w:hAnsi="Arial"/>
          <w:sz w:val="16"/>
          <w:szCs w:val="16"/>
          <w:color w:val="auto"/>
        </w:rPr>
        <w:t>Under the dividend reinvestment plan, if a U.S. stockholder owns shares of common stock registered in its own name,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 stockholder will have all cash distributions automatically reinvested in additional shares of common stock unless the U.S.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The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spacing w:after="0" w:line="164"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b w:val="1"/>
          <w:bCs w:val="1"/>
          <w:i w:val="1"/>
          <w:iCs w:val="1"/>
          <w:color w:val="auto"/>
        </w:rPr>
        <w:t xml:space="preserve">Dispositions. </w:t>
      </w:r>
      <w:r>
        <w:rPr>
          <w:rFonts w:ascii="Arial" w:cs="Arial" w:eastAsia="Arial" w:hAnsi="Arial"/>
          <w:sz w:val="16"/>
          <w:szCs w:val="16"/>
          <w:color w:val="auto"/>
        </w:rPr>
        <w:t>A U.S. stockholder generally will recognize gain or loss on the sale, exchange or other taxable disposition of shares of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in an amount equal to the difference between the U.S. stockholder’s adjusted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Any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that the shares are disposed. In this case, the basis of the shares acquired will be adjusted to reflect the disallowed loss.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Tax Shelter Reporting Regulations. </w:t>
      </w:r>
      <w:r>
        <w:rPr>
          <w:rFonts w:ascii="Arial" w:cs="Arial" w:eastAsia="Arial" w:hAnsi="Arial"/>
          <w:sz w:val="17"/>
          <w:szCs w:val="17"/>
          <w:color w:val="auto"/>
        </w:rPr>
        <w:t>Under applicable Treasury regulations, if a U.S. stockholder recognizes a loss with respect to shares of</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spacing w:after="0" w:line="178"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b w:val="1"/>
          <w:bCs w:val="1"/>
          <w:i w:val="1"/>
          <w:iCs w:val="1"/>
          <w:color w:val="auto"/>
        </w:rPr>
        <w:t xml:space="preserve">Backup Withholding. </w:t>
      </w:r>
      <w:r>
        <w:rPr>
          <w:rFonts w:ascii="Arial" w:cs="Arial" w:eastAsia="Arial" w:hAnsi="Arial"/>
          <w:sz w:val="18"/>
          <w:szCs w:val="18"/>
          <w:color w:val="auto"/>
        </w:rPr>
        <w:t>We are required in certain circumstances to backup withhold on taxable dividends or distributions paid to non-corporate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who do not furnish us or the dividend-paying agent with their correct taxpayer identification number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timely furnished to the IRS.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220" w:firstLine="449"/>
        <w:spacing w:after="0" w:line="311" w:lineRule="auto"/>
        <w:rPr>
          <w:sz w:val="20"/>
          <w:szCs w:val="20"/>
          <w:color w:val="auto"/>
        </w:rPr>
      </w:pPr>
      <w:r>
        <w:rPr>
          <w:rFonts w:ascii="Arial" w:cs="Arial" w:eastAsia="Arial" w:hAnsi="Arial"/>
          <w:sz w:val="16"/>
          <w:szCs w:val="16"/>
          <w:color w:val="auto"/>
        </w:rPr>
        <w:t>The following discussion only applies to certain non-U.S. stockholders. Whether an investment in shares of our common stock is appropriate for a non-U.S. stockholder depends upon that person’s particular circumstances. An investment in shares of our common stock by a non-U.S. stockholder may have adverse tax consequences. Non-U.S. stockholders should consult their own tax advisers before investing in shares of our common stock.</w:t>
      </w:r>
    </w:p>
    <w:p>
      <w:pPr>
        <w:spacing w:after="0" w:line="14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b w:val="1"/>
          <w:bCs w:val="1"/>
          <w:i w:val="1"/>
          <w:iCs w:val="1"/>
          <w:color w:val="auto"/>
        </w:rPr>
        <w:t xml:space="preserve">Actual and Deemed Distributions; Dispositions. </w:t>
      </w:r>
      <w:r>
        <w:rPr>
          <w:rFonts w:ascii="Arial" w:cs="Arial" w:eastAsia="Arial" w:hAnsi="Arial"/>
          <w:sz w:val="18"/>
          <w:szCs w:val="18"/>
          <w:color w:val="auto"/>
        </w:rPr>
        <w:t>Distributions of ordinary income dividends to non-U.S. stockholders, subject to the discussion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are generally subject to withholding of U.S. federal tax at a 30% rate (or lower rate provided by an applicable treaty) to the extent of our current or accumulated earnings and profits even if they are funded by income or gains (such as portfolio interest, short-term capital gains, or foreign-source dividend and interest income) that, if paid to a non-U.S. stockholder directly, would not be subject to withholding.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spacing w:after="0" w:line="192"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were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we distribute our net capital gains in the form of deemed rather than actual distributions,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is not otherwise required to obtain a U.S. taxpayer identification number or file a federal income tax return. For a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tax treaty). Accordingly, investment in shares of our common stock may not be appropriate for certain non-U.S. stockholders.</w:t>
      </w:r>
    </w:p>
    <w:p>
      <w:pPr>
        <w:spacing w:after="0" w:line="17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b w:val="1"/>
          <w:bCs w:val="1"/>
          <w:i w:val="1"/>
          <w:iCs w:val="1"/>
          <w:color w:val="auto"/>
        </w:rPr>
        <w:t xml:space="preserve">Dividend Reinvestment Plan. </w:t>
      </w:r>
      <w:r>
        <w:rPr>
          <w:rFonts w:ascii="Arial" w:cs="Arial" w:eastAsia="Arial" w:hAnsi="Arial"/>
          <w:sz w:val="17"/>
          <w:szCs w:val="17"/>
          <w:color w:val="auto"/>
        </w:rPr>
        <w:t>Under our dividend reinvestment plan, if a non-U.S. stockholder owns shares of common stock registered in its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 the non-U.S. stockholder will have all cash distributions automatically reinvested in additional shares of common stock unless it opts out of our dividend reinvestment plan by delivering a written notice to our dividend paying agent prior to the record date of the next dividend or distribution. See “Dividend Reinvestment Plan.” If the distribution is a distribution of our investment company taxable income, is not reported by us as a short-term capital gains dividend or interest-related dividend and it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U.S. federal income tax at a 30% rate (or lower rate provided by an applicable treaty) and only the net after-tax amount will be reinvested in common shares. The non-U.S. stockholder will have an adjusted basis in the additional common shares purchased through the plan equal to the amount reinvested. The additional shares will have a new holding period commencing on the day following the day on which the shares are credited to the non-U.S. stockholder’s account.</w:t>
      </w:r>
    </w:p>
    <w:p>
      <w:pPr>
        <w:spacing w:after="0" w:line="18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b w:val="1"/>
          <w:bCs w:val="1"/>
          <w:i w:val="1"/>
          <w:iCs w:val="1"/>
          <w:color w:val="auto"/>
        </w:rPr>
        <w:t xml:space="preserve">Backup Withholding. </w:t>
      </w:r>
      <w:r>
        <w:rPr>
          <w:rFonts w:ascii="Arial" w:cs="Arial" w:eastAsia="Arial" w:hAnsi="Arial"/>
          <w:sz w:val="18"/>
          <w:szCs w:val="18"/>
          <w:color w:val="auto"/>
        </w:rPr>
        <w:t>A non-U.S. stockholder who is a nonresident alien individual, and who is otherwise subject to withholding of federal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will be subject to information reporting, but may not be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backup withholding of federal income tax on taxable dividends or distributions if the non-U.S. stockholder provides us or the dividend paying agent with an IRS Form W-8BEN, IRS Form W-8BEN-E, or an acceptable substitute form. Backup withholding is not an additional tax. Any amounts withheld from payments made to you may be refunded or credited against your U.S. federal income tax liability, if any, provided that the required information is timely furnished to the IRS.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Legislation commonly referred to as the “Foreign Account Tax Compliance Act,” or “FATCA”, and the Treasury regulations promulgated thereunder, generally impose a withholding tax of 30% on certain payments of U.S. source interest, dividends and other fixed or determinable annual or periodical gains, profits, and income to foreign financial institutions (“FFIs”) unless such FFIs enter into an agreement with the U.S. Treasury to report certain required information with respect to accounts held by U.S. persons (or held by foreign entities that have U.S. persons as substantial owners), or such FFIs reside in a jurisdiction that has entered into an intergovernmental agreement with the IRS to provide such information and such FFIs comply with the terms of such intergovernmental agreement and any enabling legislation or administrative authority with respect to such intergovernmental agreement.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financial institutions unless such foreign entities certify that they do not have any greater than 10% U.S. owner or provides the withholding agent with identifying information on each greater than 10% U.S. owner. Depending on the status of a Non-U.S. Holder and the status of the intermediaries through which they hold their shares, Non-U.S. Holders could be subject to this 30% withholding tax with respect to distributions on their shares of our common stock and proceeds from the sale of their shares of our common stock. Under certain circumstances, a Non-U.S. Holder might be eligible for refunds or credits of such taxes.</w:t>
      </w:r>
    </w:p>
    <w:p>
      <w:pPr>
        <w:spacing w:after="0" w:line="18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Each prospective investor is urged to consult its tax adviser regarding the applicability of FATCA and any other reporting requirements with respect to the prospective investor’s own situation, including investments through an intermediary.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Please refer to Exhibit 4.9 to our Annual Report on Form 10-K for the fiscal year ended December 31, 2020, as filed with the SEC on March 11, 2021, which is incorporated by reference into this prospectus, for a description of our common stock. We urge you to read the applicable prospectus supplement and any related free writing prospectus that we may authorize to be provided to you related to any shares of our capital stock being offered.</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00"/>
          </w:cols>
          <w:pgMar w:left="320" w:top="459" w:right="6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260" w:firstLine="449"/>
        <w:spacing w:after="0" w:line="255" w:lineRule="auto"/>
        <w:rPr>
          <w:sz w:val="20"/>
          <w:szCs w:val="20"/>
          <w:color w:val="auto"/>
        </w:rPr>
      </w:pPr>
      <w:r>
        <w:rPr>
          <w:rFonts w:ascii="Arial" w:cs="Arial" w:eastAsia="Arial" w:hAnsi="Arial"/>
          <w:sz w:val="18"/>
          <w:szCs w:val="18"/>
          <w:color w:val="auto"/>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charter to set the terms, preferences, conversion or other rights, voting powers, restrictions, limitations as to dividends or other distributions, qualifications and terms or conditions of redemption for each class or series. Any such an issuance must adhere to the requirements of the 1940 Act, Delaware law and any other limitations imposed by law.</w:t>
      </w:r>
    </w:p>
    <w:p>
      <w:pPr>
        <w:spacing w:after="0" w:line="192"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following is a general description of the terms of the preferred stock we may issue from time to time. Particular terms of any preferred stock we offer will be described in the prospectus supplement relating to such preferred stock.</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If we issue preferred stock, it will pay dividends to the holders of the preferred stock at either a fixed rate or a rate that will be reset frequently based on short-term interest rates, as described in a prospectus supplement accompanying each preferred share offering.</w:t>
      </w:r>
    </w:p>
    <w:p>
      <w:pPr>
        <w:spacing w:after="0" w:line="170" w:lineRule="exact"/>
        <w:rPr>
          <w:sz w:val="20"/>
          <w:szCs w:val="20"/>
          <w:color w:val="auto"/>
        </w:rPr>
      </w:pPr>
    </w:p>
    <w:p>
      <w:pPr>
        <w:jc w:val="both"/>
        <w:ind w:right="20" w:firstLine="449"/>
        <w:spacing w:after="0" w:line="287" w:lineRule="auto"/>
        <w:rPr>
          <w:sz w:val="20"/>
          <w:szCs w:val="20"/>
          <w:color w:val="auto"/>
        </w:rPr>
      </w:pPr>
      <w:r>
        <w:rPr>
          <w:rFonts w:ascii="Arial" w:cs="Arial" w:eastAsia="Arial" w:hAnsi="Arial"/>
          <w:sz w:val="16"/>
          <w:szCs w:val="16"/>
          <w:color w:val="auto"/>
        </w:rPr>
        <w:t>You should note that any issuance of preferred stock must comply with the requirements of the 1940 Act. The 1940 Act requires, among other things, that (1) immediately after issuance and before any cash dividend or other distribution is made with respect to our common stock and before any purchase of common stock is made, the liquidation preference of any preferred stock, together with all other senior securities, must not exceed an amount equal to</w:t>
      </w:r>
    </w:p>
    <w:p>
      <w:pPr>
        <w:spacing w:after="0" w:line="1"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total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In addition, under the 1940 Act, shares of preferred stock must be cumulative as to dividends and have a complete preference over our common stock to payment of their liquidation preference in the event of a dissolution</w:t>
      </w:r>
    </w:p>
    <w:p>
      <w:pPr>
        <w:spacing w:after="0" w:line="159"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provides us with increased flexibility in structuring future financings and acquisitions. However, we do not currently have any plans to issue preferred stock.</w:t>
      </w:r>
    </w:p>
    <w:p>
      <w:pPr>
        <w:spacing w:after="0" w:line="18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For any class or series of preferred stock that we may issue, our Board will determine and the articles supplementary and prospectus supplement relating to such class or series will describe:</w:t>
      </w:r>
    </w:p>
    <w:p>
      <w:pPr>
        <w:spacing w:after="0" w:line="76" w:lineRule="exact"/>
        <w:rPr>
          <w:sz w:val="20"/>
          <w:szCs w:val="20"/>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number of shares of such class or series;</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rate, whether fixed or variable, and time at which, and the preferences and conditions under which, any dividends will be paid on shares of such class or series, as well as whether such dividends are participating or non-participating;</w:t>
      </w:r>
    </w:p>
    <w:p>
      <w:pPr>
        <w:spacing w:after="0" w:line="75"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class or series, including adjustments to the conversion price of such class or series;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rights and preferences, if any, of holders of shares of such class or series upon our liquidation, dissolution or winding up of our affairs;</w:t>
      </w:r>
    </w:p>
    <w:p>
      <w:pPr>
        <w:spacing w:after="0" w:line="153" w:lineRule="exact"/>
        <w:rPr>
          <w:rFonts w:ascii="Arial" w:cs="Arial" w:eastAsia="Arial" w:hAnsi="Arial"/>
          <w:sz w:val="16"/>
          <w:szCs w:val="16"/>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class or series;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class or series;</w:t>
      </w:r>
    </w:p>
    <w:p>
      <w:pPr>
        <w:spacing w:after="0" w:line="130" w:lineRule="exact"/>
        <w:rPr>
          <w:rFonts w:ascii="Arial" w:cs="Arial" w:eastAsia="Arial" w:hAnsi="Arial"/>
          <w:sz w:val="18"/>
          <w:szCs w:val="18"/>
          <w:color w:val="auto"/>
        </w:rPr>
      </w:pPr>
    </w:p>
    <w:p>
      <w:pPr>
        <w:ind w:left="1000" w:right="260" w:hanging="439"/>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class or series are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4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class or series or other securities;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00" w:right="300" w:hanging="439"/>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class or series, and the qualifications, limitations or restrictions thereof.</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We urge you to read the applicable prospectus supplement and any free writing prospectus that we may authorize to be provided to you related to any preferred stock being offered, as well as the complete articles supplementary that contain the terms of the applicable class or series of preferred stock.</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32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You should read the prospectus supplement related to any such subscription rights offering.</w:t>
      </w:r>
    </w:p>
    <w:p>
      <w:pPr>
        <w:spacing w:after="0" w:line="188"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00" w:right="320" w:hanging="439"/>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000" w:right="100" w:hanging="439"/>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1000" w:right="80" w:hanging="439"/>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000" w:right="280" w:hanging="439"/>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000" w:right="280" w:hanging="439"/>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Subscription Rights</w:t>
      </w:r>
    </w:p>
    <w:p>
      <w:pPr>
        <w:spacing w:after="0" w:line="117"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7" w:lineRule="exact"/>
        <w:rPr>
          <w:sz w:val="20"/>
          <w:szCs w:val="20"/>
          <w:color w:val="auto"/>
        </w:rPr>
      </w:pPr>
    </w:p>
    <w:p>
      <w:pPr>
        <w:jc w:val="both"/>
        <w:ind w:right="300" w:firstLine="449"/>
        <w:spacing w:after="0" w:line="311"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Dilutive Effects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The following is a general description of the terms of the warrants we may issue from time to time. Particular terms of any warrants we offer will be described in the prospectus supplement relating to such warrants. You should read the prospectus supplement related to any warrants offering.</w:t>
      </w:r>
    </w:p>
    <w:p>
      <w:pPr>
        <w:spacing w:after="0" w:line="124"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00" w:right="160" w:hanging="439"/>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00" w:right="160" w:hanging="439"/>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number of such warrants issued with each security;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4"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459" w:right="3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We urge you to read the applicable prospectus supplement and any free writing prospectus that we may authorize to be provided to you related to the series of debt securities being offered, as well as the complete indentures that contain the terms of the debt securities.</w:t>
      </w:r>
    </w:p>
    <w:p>
      <w:pPr>
        <w:spacing w:after="0" w:line="17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the debt securities.</w:t>
      </w:r>
    </w:p>
    <w:p>
      <w:pPr>
        <w:spacing w:after="0" w:line="16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This section includes a description of the material provisions of the indenture. Any accompanying prospectus supplement will describe any other material terms of the debt securities being offered thereunder.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“Available Information” for information on how to obtain a copy of the indenture.</w:t>
      </w:r>
    </w:p>
    <w:p>
      <w:pPr>
        <w:spacing w:after="0" w:line="192"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00" w:right="540" w:hanging="439"/>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Events of Default (as defined in “Events of Default” below);</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special federal income tax implications, including, if applicable, federal income tax considerations relating to original issue discount;</w:t>
      </w:r>
    </w:p>
    <w:p>
      <w:pPr>
        <w:spacing w:after="0" w:line="142" w:lineRule="exact"/>
        <w:rPr>
          <w:rFonts w:ascii="Arial" w:cs="Arial" w:eastAsia="Arial" w:hAnsi="Arial"/>
          <w:sz w:val="17"/>
          <w:szCs w:val="17"/>
          <w:color w:val="auto"/>
        </w:rPr>
      </w:pPr>
    </w:p>
    <w:p>
      <w:pPr>
        <w:ind w:left="1000" w:right="240" w:hanging="439"/>
        <w:spacing w:after="0" w:line="342"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as a BDC, are permitted to issue debt only in amounts such that our asset coverage, as defined in the 1940 Act, equals at least 150% after each issuance of debt, but giving effect to any exemptive relief granted to us by the SEC. For a discussion of risks involved with incurring additional leverage, see “Risk Factors” in our annual, quarterly and other reports filed with the SEC from time to time. Unless the prospectus supplement states otherwise, principal (and premium, if any) and interest, if any, will be paid by us in immediately available funds.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Except as described under “—Events of Default” and “—Merger or Consolidation” below, the indenture does not contain any provisions that give you protection in the event we issue a large amount of debt or we are acquired by another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184"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Book-Entry Holders</w:t>
      </w:r>
    </w:p>
    <w:p>
      <w:pPr>
        <w:spacing w:after="0" w:line="117"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170"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Holders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6"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Considerations for Indirect Holders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00" w:right="100" w:hanging="439"/>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or its nominee, unless special termination situations arise. We describe those situations below under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Considerations for Global Securities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00" w:right="140" w:hanging="439"/>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her or its name and cannot obtain certificates for his, her or its interest in the debt securities, except in the special situations we describe below;</w:t>
      </w:r>
    </w:p>
    <w:p>
      <w:pPr>
        <w:spacing w:after="0" w:line="75" w:lineRule="exact"/>
        <w:rPr>
          <w:rFonts w:ascii="Arial" w:cs="Arial" w:eastAsia="Arial" w:hAnsi="Arial"/>
          <w:sz w:val="18"/>
          <w:szCs w:val="18"/>
          <w:color w:val="auto"/>
        </w:rPr>
      </w:pPr>
    </w:p>
    <w:p>
      <w:pPr>
        <w:ind w:left="1000" w:hanging="439"/>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investor will be an indirect holder and must look to his, her or its own bank or broker for payments on the debt securities and protection of his, her or its legal rights relating to the debt securities, as we describe under “—Issuance of Securities in Registered Form” above;</w:t>
      </w:r>
    </w:p>
    <w:p>
      <w:pPr>
        <w:spacing w:after="0" w:line="29" w:lineRule="exact"/>
        <w:rPr>
          <w:rFonts w:ascii="Arial" w:cs="Arial" w:eastAsia="Arial" w:hAnsi="Arial"/>
          <w:sz w:val="16"/>
          <w:szCs w:val="16"/>
          <w:color w:val="auto"/>
        </w:rPr>
      </w:pPr>
    </w:p>
    <w:p>
      <w:pPr>
        <w:ind w:left="1000" w:right="60" w:hanging="439"/>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00" w:right="380" w:hanging="439"/>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investor may not be able to pledge his, her or its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ind w:left="1000" w:hanging="439"/>
        <w:spacing w:after="0" w:line="286"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000" w:right="280" w:hanging="439"/>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1000" w:right="80" w:hanging="439"/>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9" w:lineRule="exact"/>
        <w:rPr>
          <w:rFonts w:ascii="Arial" w:cs="Arial" w:eastAsia="Arial" w:hAnsi="Arial"/>
          <w:sz w:val="18"/>
          <w:szCs w:val="18"/>
          <w:color w:val="auto"/>
        </w:rPr>
      </w:pPr>
    </w:p>
    <w:p>
      <w:pPr>
        <w:ind w:left="1000" w:right="20" w:hanging="439"/>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32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439"/>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nor are we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 Global Security</w:t>
      </w:r>
    </w:p>
    <w:p>
      <w:pPr>
        <w:spacing w:after="0" w:line="117"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have described the rights of legal holders and street name investors under “—Issuance of Securities in Registered Form” above.</w:t>
      </w:r>
    </w:p>
    <w:p>
      <w:pPr>
        <w:spacing w:after="0" w:line="21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us or the applicable trustee, is responsible for deciding the investors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Since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Global Securities</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“—Special Considerations for 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Certificated Securities</w:t>
      </w:r>
    </w:p>
    <w:p>
      <w:pPr>
        <w:spacing w:after="0" w:line="117"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5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When Offices Are Closed</w:t>
      </w:r>
    </w:p>
    <w:p>
      <w:pPr>
        <w:spacing w:after="0" w:line="117" w:lineRule="exact"/>
        <w:rPr>
          <w:sz w:val="20"/>
          <w:szCs w:val="20"/>
          <w:color w:val="auto"/>
        </w:rPr>
      </w:pPr>
    </w:p>
    <w:p>
      <w:pPr>
        <w:ind w:right="520" w:firstLine="449"/>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7"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00" w:hanging="439"/>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do not pay the principal of (or premium, if any, on) a debt security of the series within five days of its due date;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within five days of its due date;</w:t>
      </w:r>
    </w:p>
    <w:p>
      <w:pPr>
        <w:spacing w:after="0" w:line="130" w:lineRule="exact"/>
        <w:rPr>
          <w:rFonts w:ascii="Arial" w:cs="Arial" w:eastAsia="Arial" w:hAnsi="Arial"/>
          <w:sz w:val="18"/>
          <w:szCs w:val="18"/>
          <w:color w:val="auto"/>
        </w:rPr>
      </w:pPr>
    </w:p>
    <w:p>
      <w:pPr>
        <w:ind w:left="1000" w:right="20" w:hanging="439"/>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25.0% of the principal amount of debt securities of the series);</w:t>
      </w:r>
    </w:p>
    <w:p>
      <w:pPr>
        <w:spacing w:after="0" w:line="29" w:lineRule="exact"/>
        <w:rPr>
          <w:rFonts w:ascii="Arial" w:cs="Arial" w:eastAsia="Arial" w:hAnsi="Arial"/>
          <w:sz w:val="16"/>
          <w:szCs w:val="16"/>
          <w:color w:val="auto"/>
        </w:rPr>
      </w:pPr>
    </w:p>
    <w:p>
      <w:pPr>
        <w:ind w:left="1000" w:hanging="439"/>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voluntarily file for bankruptcy or consent to the commencement of certain other events of bankruptcy, insolvency or reorganization;</w:t>
      </w:r>
    </w:p>
    <w:p>
      <w:pPr>
        <w:spacing w:after="0" w:line="142" w:lineRule="exact"/>
        <w:rPr>
          <w:rFonts w:ascii="Arial" w:cs="Arial" w:eastAsia="Arial" w:hAnsi="Arial"/>
          <w:sz w:val="17"/>
          <w:szCs w:val="17"/>
          <w:color w:val="auto"/>
        </w:rPr>
      </w:pPr>
    </w:p>
    <w:p>
      <w:pPr>
        <w:ind w:left="1000" w:right="180" w:hanging="439"/>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bankruptcy law that is for relief against us in an involuntary case or proceeding, adjudges us bankrupt or insolvent or orders the winding up or liquidation of us and the continuance of any such decree or order remains undischarged or unstayed for a period of 90 days;</w:t>
      </w:r>
    </w:p>
    <w:p>
      <w:pPr>
        <w:spacing w:after="0" w:line="89"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series of debt securities has an asset coverage, as such term is defined in the 1940 Act, of less than 100.0% on the last business day of each of 24 consecutive calendar months, giving effect to any exemptive relief granted to us by the SEC; or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an Event of Default has occurred and is continuing, the trustee or the holders of not less than 25.0% in principal amount of the outstanding debt securities of the affected series may (and the trustee shall at the request of such holders) declare the entire principal amount of all the outstanding debt securities of that series to be due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and immediately payable by a notice in writing to us (and to the trustee if given by such holders).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171"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6"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00" w:hanging="439"/>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with respect to the relevant series of debt securities has occurred and remains uncured;</w:t>
      </w:r>
    </w:p>
    <w:p>
      <w:pPr>
        <w:spacing w:after="0" w:line="75" w:lineRule="exact"/>
        <w:rPr>
          <w:rFonts w:ascii="Arial" w:cs="Arial" w:eastAsia="Arial" w:hAnsi="Arial"/>
          <w:sz w:val="18"/>
          <w:szCs w:val="18"/>
          <w:color w:val="auto"/>
        </w:rPr>
      </w:pPr>
    </w:p>
    <w:p>
      <w:pPr>
        <w:ind w:left="1000" w:right="140" w:hanging="439"/>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holders of at least 25.0% in principal amount of all outstanding debt securities of the relevant series must make a written request that the trustee take action because of the default and must offer indemnity, security, or both reasonably satisfactory to the trustee against the costs, expenses, and other liabilities of taking that action;</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and/or security; and</w:t>
      </w:r>
    </w:p>
    <w:p>
      <w:pPr>
        <w:spacing w:after="0" w:line="130" w:lineRule="exact"/>
        <w:rPr>
          <w:rFonts w:ascii="Arial" w:cs="Arial" w:eastAsia="Arial" w:hAnsi="Arial"/>
          <w:sz w:val="18"/>
          <w:szCs w:val="18"/>
          <w:color w:val="auto"/>
        </w:rPr>
      </w:pPr>
    </w:p>
    <w:p>
      <w:pPr>
        <w:ind w:left="1000" w:right="520" w:hanging="439"/>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that series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a majority in principal amount of the outstanding debt securities of the affected series may waive any past defaults other than a default:</w:t>
      </w:r>
    </w:p>
    <w:p>
      <w:pPr>
        <w:spacing w:after="0" w:line="154" w:lineRule="exact"/>
        <w:rPr>
          <w:sz w:val="20"/>
          <w:szCs w:val="20"/>
          <w:color w:val="auto"/>
        </w:rPr>
      </w:pPr>
    </w:p>
    <w:p>
      <w:pPr>
        <w:ind w:left="1000" w:hanging="439"/>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payment of principal, any premium or interest; or</w:t>
      </w:r>
    </w:p>
    <w:p>
      <w:pPr>
        <w:spacing w:after="0" w:line="130" w:lineRule="exact"/>
        <w:rPr>
          <w:rFonts w:ascii="Arial" w:cs="Arial" w:eastAsia="Arial" w:hAnsi="Arial"/>
          <w:sz w:val="18"/>
          <w:szCs w:val="18"/>
          <w:color w:val="auto"/>
        </w:rPr>
      </w:pPr>
    </w:p>
    <w:p>
      <w:pPr>
        <w:ind w:left="5540" w:right="3320" w:hanging="4979"/>
        <w:spacing w:after="0" w:line="449" w:lineRule="auto"/>
        <w:tabs>
          <w:tab w:leader="none" w:pos="9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 66</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720" w:firstLine="449"/>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00" w:right="220" w:hanging="439"/>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we merge out of existence or sell substantially all of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1000" w:right="180" w:hanging="439"/>
        <w:spacing w:after="0" w:line="301"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62" w:lineRule="exact"/>
        <w:rPr>
          <w:rFonts w:ascii="Arial" w:cs="Arial" w:eastAsia="Arial" w:hAnsi="Arial"/>
          <w:sz w:val="16"/>
          <w:szCs w:val="16"/>
          <w:color w:val="auto"/>
        </w:rPr>
      </w:pPr>
    </w:p>
    <w:p>
      <w:pPr>
        <w:ind w:left="1000" w:hanging="439"/>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1000" w:hanging="439"/>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or the terms of any sinking fund with respect to any security;</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00" w:right="60" w:hanging="439"/>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an original issue discount or indexed security following a default or upon the redemption thereof or the amount thereof provable in a bankruptcy proceeding;</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00" w:hanging="439"/>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00" w:right="220" w:hanging="439"/>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with the consent of holders,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00" w:hanging="439"/>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1000" w:right="80" w:hanging="439"/>
        <w:spacing w:after="0" w:line="34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the indenture, voting together as one class for this purpose, may waive our compliance with some of the covenants applicable to that series of debt securities. However, we cannot obtain a waiver of a payment default or of any of the matters covered by the bullet points included above under “—Changes Requiring Your Approval.”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00" w:right="360" w:hanging="439"/>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“—Defeasance—Full Defeasance”.</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4" w:lineRule="exact"/>
        <w:rPr>
          <w:sz w:val="20"/>
          <w:szCs w:val="20"/>
          <w:color w:val="auto"/>
        </w:rPr>
      </w:pPr>
    </w:p>
    <w:p>
      <w:pPr>
        <w:ind w:right="200" w:firstLine="449"/>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“—Indenture Provisions—Subordination”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the following must occur:</w:t>
      </w:r>
    </w:p>
    <w:p>
      <w:pPr>
        <w:spacing w:after="0" w:line="100" w:lineRule="exact"/>
        <w:rPr>
          <w:sz w:val="20"/>
          <w:szCs w:val="20"/>
          <w:color w:val="auto"/>
        </w:rPr>
      </w:pPr>
    </w:p>
    <w:p>
      <w:pPr>
        <w:ind w:left="1000" w:right="80" w:hanging="439"/>
        <w:spacing w:after="0" w:line="25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93" w:lineRule="exact"/>
        <w:rPr>
          <w:rFonts w:ascii="Arial" w:cs="Arial" w:eastAsia="Arial" w:hAnsi="Arial"/>
          <w:sz w:val="18"/>
          <w:szCs w:val="18"/>
          <w:color w:val="auto"/>
        </w:rPr>
      </w:pPr>
    </w:p>
    <w:p>
      <w:pPr>
        <w:ind w:left="1000" w:right="320" w:hanging="439"/>
        <w:spacing w:after="0" w:line="308"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51" w:lineRule="exact"/>
        <w:rPr>
          <w:rFonts w:ascii="Arial" w:cs="Arial" w:eastAsia="Arial" w:hAnsi="Arial"/>
          <w:sz w:val="17"/>
          <w:szCs w:val="17"/>
          <w:color w:val="auto"/>
        </w:rPr>
      </w:pPr>
    </w:p>
    <w:p>
      <w:pPr>
        <w:ind w:left="1000" w:right="160" w:hanging="439"/>
        <w:spacing w:after="0" w:line="342"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29" w:lineRule="exact"/>
        <w:rPr>
          <w:rFonts w:ascii="Arial" w:cs="Arial" w:eastAsia="Arial" w:hAnsi="Arial"/>
          <w:sz w:val="16"/>
          <w:szCs w:val="16"/>
          <w:color w:val="auto"/>
        </w:rPr>
      </w:pPr>
    </w:p>
    <w:p>
      <w:pPr>
        <w:ind w:left="1000" w:right="140" w:hanging="439"/>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result in a default under, of the indenture or any of our other material agreements or instruments, as applicable;</w:t>
      </w:r>
    </w:p>
    <w:p>
      <w:pPr>
        <w:spacing w:after="0" w:line="75" w:lineRule="exact"/>
        <w:rPr>
          <w:rFonts w:ascii="Arial" w:cs="Arial" w:eastAsia="Arial" w:hAnsi="Arial"/>
          <w:sz w:val="18"/>
          <w:szCs w:val="18"/>
          <w:color w:val="auto"/>
        </w:rPr>
      </w:pPr>
    </w:p>
    <w:p>
      <w:pPr>
        <w:ind w:left="1000" w:right="240" w:hanging="439"/>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satisfy the conditions for covenant defeasance contained in any supplemental indentures.</w:t>
      </w:r>
    </w:p>
    <w:p>
      <w:pPr>
        <w:spacing w:after="0" w:line="225"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If there is a change in U.S. federal tax law or we obtain an IRS ruling, as described in the second bullet below, we can legally release ourself from all payment and other obligations on the debt securities of a particular series (called “full defeasance”) if we put in place the following other arrangements for you to be repaid:</w:t>
      </w:r>
    </w:p>
    <w:p>
      <w:pPr>
        <w:spacing w:after="0" w:line="89" w:lineRule="exact"/>
        <w:rPr>
          <w:sz w:val="20"/>
          <w:szCs w:val="20"/>
          <w:color w:val="auto"/>
        </w:rPr>
      </w:pPr>
    </w:p>
    <w:p>
      <w:pPr>
        <w:ind w:left="1000" w:right="460" w:hanging="439"/>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must deposit in trust for the benefit of all holders of a series of debt securities a combination of cash (in such currency in which such securities are then specified as payable at stated maturity)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220"/>
        <w:spacing w:after="0" w:line="286" w:lineRule="auto"/>
        <w:rPr>
          <w:sz w:val="20"/>
          <w:szCs w:val="20"/>
          <w:color w:val="auto"/>
        </w:rPr>
      </w:pPr>
      <w:r>
        <w:rPr>
          <w:rFonts w:ascii="Arial" w:cs="Arial" w:eastAsia="Arial" w:hAnsi="Arial"/>
          <w:sz w:val="17"/>
          <w:szCs w:val="17"/>
          <w:color w:val="auto"/>
        </w:rPr>
        <w:t>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71" w:lineRule="exact"/>
        <w:rPr>
          <w:sz w:val="20"/>
          <w:szCs w:val="20"/>
          <w:color w:val="auto"/>
        </w:rPr>
      </w:pPr>
    </w:p>
    <w:p>
      <w:pPr>
        <w:ind w:left="1000" w:hanging="439"/>
        <w:spacing w:after="0" w:line="275"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1" w:lineRule="exact"/>
        <w:rPr>
          <w:rFonts w:ascii="Arial" w:cs="Arial" w:eastAsia="Arial" w:hAnsi="Arial"/>
          <w:sz w:val="17"/>
          <w:szCs w:val="17"/>
          <w:color w:val="auto"/>
        </w:rPr>
      </w:pPr>
    </w:p>
    <w:p>
      <w:pPr>
        <w:ind w:left="1000" w:right="140" w:hanging="439"/>
        <w:spacing w:after="0" w:line="308"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51" w:lineRule="exact"/>
        <w:rPr>
          <w:rFonts w:ascii="Arial" w:cs="Arial" w:eastAsia="Arial" w:hAnsi="Arial"/>
          <w:sz w:val="17"/>
          <w:szCs w:val="17"/>
          <w:color w:val="auto"/>
        </w:rPr>
      </w:pPr>
    </w:p>
    <w:p>
      <w:pPr>
        <w:ind w:left="1000" w:hanging="439"/>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defeasance must not result in a breach or violation of, or constitute a default under, of the indenture or any of our other material agreements or instruments, as applicable;</w:t>
      </w:r>
    </w:p>
    <w:p>
      <w:pPr>
        <w:spacing w:after="0" w:line="75" w:lineRule="exact"/>
        <w:rPr>
          <w:rFonts w:ascii="Arial" w:cs="Arial" w:eastAsia="Arial" w:hAnsi="Arial"/>
          <w:sz w:val="18"/>
          <w:szCs w:val="18"/>
          <w:color w:val="auto"/>
        </w:rPr>
      </w:pPr>
    </w:p>
    <w:p>
      <w:pPr>
        <w:ind w:left="1000" w:right="220" w:hanging="439"/>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satisfy the conditions for full defeasance contained in any supplemental indentures.</w:t>
      </w:r>
    </w:p>
    <w:p>
      <w:pPr>
        <w:spacing w:after="0" w:line="22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as applicable, if we ever became bankrupt or insolvent. If your debt securities were subordinated as described later under “—Indenture Provisions—Subordination”,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00" w:hanging="4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ourself.</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as applicable, is satisfied with the holder’s proof of legal ownership.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jc w:val="both"/>
        <w:ind w:right="60" w:firstLine="449"/>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77"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00" w:right="660" w:hanging="439"/>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that we have designated as “Senior Indebtedness”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720"/>
        <w:spacing w:after="0" w:line="277" w:lineRule="auto"/>
        <w:rPr>
          <w:sz w:val="20"/>
          <w:szCs w:val="20"/>
          <w:color w:val="auto"/>
        </w:rPr>
      </w:pPr>
      <w:r>
        <w:rPr>
          <w:rFonts w:ascii="Arial" w:cs="Arial" w:eastAsia="Arial" w:hAnsi="Arial"/>
          <w:sz w:val="18"/>
          <w:szCs w:val="18"/>
          <w:color w:val="auto"/>
        </w:rPr>
        <w:t>purposes of the indenture and in accordance with the terms of the indenture (including any indenture securities designated as Senior Indebtedness), and</w:t>
      </w:r>
    </w:p>
    <w:p>
      <w:pPr>
        <w:spacing w:after="0" w:line="76" w:lineRule="exact"/>
        <w:rPr>
          <w:sz w:val="20"/>
          <w:szCs w:val="20"/>
          <w:color w:val="auto"/>
        </w:rPr>
      </w:pPr>
    </w:p>
    <w:p>
      <w:pPr>
        <w:ind w:left="1000" w:hanging="439"/>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will rank structurally junior to all existing and future indebtedness (including trade payables) incurred by any subsidiaries, financing vehicles, or similar facilities we may have.</w:t>
      </w:r>
    </w:p>
    <w:p>
      <w:pPr>
        <w:spacing w:after="0" w:line="192"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Bank National Association serves as the trustee under the indenture.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are subject to regulation as described in “Item 1. Business—Regulation” of our most recent Annual Report on Form 10-K, which is incorporated by reference herein.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may offer from time to time, in one or more offerings or series, up to $500,000,000 of our common stock, preferred stock, debt securities, subscription rights to purchase shares of our common stock, and/or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by us,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securities offered by the prospectus supplement.</w:t>
      </w:r>
    </w:p>
    <w:p>
      <w:pPr>
        <w:spacing w:after="0" w:line="18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distribution of the securities by us may be effected from time to time in one or more transactions at a fixed price or prices, which may be changed, at prevailing market prices at the time of sale, at prices related to such prevailing market prices, or at negotiated prices, provided, however, that, in connection with a sale by us, the offering price per share of common stock, less any underwriting commissions and discounts or agency fees paid, must equal or exceed the net asset value per share of our common stock at the time of the offering except (i) in connection with a rights offering to our existing stockholders, (ii) with the prior approval of the majority (as defined in the 1940 Act) of our common stockholders, or (iii) under such other circumstances as the SEC may permit. Any offering of securities by us that requires the consent of the majority of our common stockholders, must occur, if at all, within one year after receiving such consent. The price at which the securities may be distributed may represent a discount from prevailing market prices.</w:t>
      </w:r>
    </w:p>
    <w:p>
      <w:pPr>
        <w:spacing w:after="0" w:line="166" w:lineRule="exact"/>
        <w:rPr>
          <w:sz w:val="20"/>
          <w:szCs w:val="20"/>
          <w:color w:val="auto"/>
        </w:rPr>
      </w:pPr>
    </w:p>
    <w:p>
      <w:pPr>
        <w:ind w:right="480" w:firstLine="449"/>
        <w:spacing w:after="0" w:line="259" w:lineRule="auto"/>
        <w:rPr>
          <w:sz w:val="20"/>
          <w:szCs w:val="20"/>
          <w:color w:val="auto"/>
        </w:rPr>
      </w:pPr>
      <w:r>
        <w:rPr>
          <w:rFonts w:ascii="Arial" w:cs="Arial" w:eastAsia="Arial" w:hAnsi="Arial"/>
          <w:sz w:val="18"/>
          <w:szCs w:val="18"/>
          <w:color w:val="auto"/>
        </w:rPr>
        <w:t>In connection with the sale of our securities, underwriters or agents may receive compensation from us or from purchasers of our securities, for whom they may act as agents, in the form of discounts, concessions or commissions. Our common stockholders will bear, directly or indirectly, such expenses payable by us, as well as any other fees and the expenses incurred by us in connection with any offering of the securities, including debt securities.</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w:t>
      </w:r>
    </w:p>
    <w:p>
      <w:pPr>
        <w:spacing w:after="0" w:line="192" w:lineRule="exact"/>
        <w:rPr>
          <w:sz w:val="20"/>
          <w:szCs w:val="20"/>
          <w:color w:val="auto"/>
        </w:rPr>
      </w:pPr>
    </w:p>
    <w:p>
      <w:pPr>
        <w:jc w:val="both"/>
        <w:ind w:right="40" w:firstLine="449"/>
        <w:spacing w:after="0" w:line="257"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in connection with an offering by us.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5"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Any underwriters that are qualified market makers on the NASDAQ may engage in passive market-making transactions in our common stock, preferred stock, subscription rights, warrants or debt securities, as applicable, on the NASDAQ in accordance with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8"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4"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Unless otherwise specified in the applicable prospectus supplement, each class or series of securities will be a new issue with no trading market, other than our common stock, which is listed on the NASDAQ under the symbol “PTMN”. We may elect to list any other class or series of securities on any exchanges, but we are not obligated to do so. We cannot guarantee the liquidity of the trading markets for any securities.</w:t>
      </w:r>
    </w:p>
    <w:p>
      <w:pPr>
        <w:spacing w:after="0" w:line="16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78" w:lineRule="exact"/>
        <w:rPr>
          <w:sz w:val="20"/>
          <w:szCs w:val="20"/>
          <w:color w:val="auto"/>
        </w:rPr>
      </w:pPr>
    </w:p>
    <w:p>
      <w:pPr>
        <w:jc w:val="both"/>
        <w:ind w:right="20" w:firstLine="449"/>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PTMN’s investment securities are held under a custody agreement with U.S. Bank National Association. The address of the custodian is U.S. Bank National Association, Corporate Trust Services, One Federal Street, 3rd Floor, Boston, MA 02110. The transfer agent and registrar for PTMN Common Stock, American Stock Transfer &amp; Trust Company, acts as PTMN’s transfer agent, dividend paying and reinvestment agent for PTMN Common Stock. The principal business address of the transfer agent is 59 Maiden Lane, New York, New York 10038. U.S. Bank National Association, PTMN’s trustee under an indenture and the first supplemental indenture thereto relating to the 2022 Notes, is the paying agent, registrar and transfer agent relating to the 2022 Notes. The principal business address of PTMN’s trustee is One Federal Street, 10th Floor, Boston, MA 02110.</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Since PTMN generally acquires and disposes of PTMN’s investments in privately negotiated transactions, PTMN infrequently uses brokers in the normal course of its business. Subject to policies established by the PTMN Board, PTMN generally does not execute transactions through any particular broker or dealer, but seeks to obtain the best net results for PTMN, taking into account such factors as price (including the applicable brokerage commission or dealer spread), size of order, difficulty of execution, operational facilities of the firm and the firm’s risk and skill in positioning blocks of securities. While PTMN generally seeks reasonably competitive trade execution costs, PTMN does not necessarily pay the lowest spread or commission available. Subject to applicable legal requirements, PTMN may select a broker based partly upon brokerage or research services provided to PTMN. In return for such services, PTMN may pay a higher commission than other brokers would charge if PTMN determines in good faith that such commission is reasonable in relation to the services provided, and PTMN’s management and employees are authorized to pay such commission under these circumstances.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legality of the securities offered hereby will be passed upon for the Company by Dechert LLP. Certain legal matters in connection with the offering will be passed upon for the underwriters, if any, by the counsel named in the prospectus supplement.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[The consolidated financial statements of Portman Ridge Finance Corporation appearing in Portman Ridge Finance Corporation’s Annual Report (Form 10-K) for the year ended December 31, 2020, have been audited by KPMG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consolidated financial statements of PTMN and its consolidated subsidiaries for the year ended December 31, 2018 appearing in PTMN’s Annual Report on Form 10-K for the year ended December 31, 2020 have been audited by Ernst &amp; Young LLP, independent registered public accounting firm, located at 5 Times Square, New York, NY 10036,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Harvest Capital Credit Corporation (“HCAP”) at December 31, 2020 and 2019 and for each of the two years in the period ended December 31, 2020, incorporated by reference into this prospectus, have been audited by RSM US LLP located at 151 W 42nd Street, 19th Floor, New York, NY 10036, as set forth in their report therein. Such consolidated financial statements are incorporated herein by reference in reliance upon such report given on the authority of such firm as experts in accounting and auditing.</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financial statements of HCAP for the year ended December 31, 2018 incorporated in this prospectus by reference have been so incorporated in reliance on the report of PricewaterhouseCoopers LLP, an independent registered public accounting firm, located at 405 Howard Street, Suite 600, San Francisco, CA 94105, given on the authority of such firm as experts in accounting and auditing.]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may supersede information in this prospectus, any accompanying prospectus supplement and information previously filed with the SEC.</w:t>
      </w:r>
    </w:p>
    <w:p>
      <w:pPr>
        <w:spacing w:after="0" w:line="18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incorporate by reference into this prospectus the documents listed below that we have previously filed with the SEC, and any reports and other documents we subsequently file pursuant to Section 13(a), 13(c), 14 or 15(d) of the Exchange Act prior to the termination of the offering of the securities covered by this prospectus, including all such filings we may file with the SEC after the date of the initial filing of the registration statement of which this prospectus is part and prior to its effectiveness, will also be incorporated by reference into this prospectus and deemed to be part of this prospectus from the date of the filing of such reports and documents; provided, however, that information “furnished” under Item 2.02 or Item 7.01 of Form 8-K, or other information “furnished” to the SEC, which is not deemed filed is not and will not be incorporated by reference in this prospectus and any accompanying prospectus supplement:</w:t>
      </w:r>
    </w:p>
    <w:p>
      <w:pPr>
        <w:spacing w:after="0" w:line="100" w:lineRule="exact"/>
        <w:rPr>
          <w:sz w:val="20"/>
          <w:szCs w:val="20"/>
          <w:color w:val="auto"/>
        </w:rPr>
      </w:pPr>
    </w:p>
    <w:p>
      <w:pPr>
        <w:ind w:left="1000" w:hanging="439"/>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7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11, 2021;</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7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2021, filed with the SEC on May 6, 2021 and for the quarter ended June 30, 2021 filed with the SEC on August 5, 2021;</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179">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23, 2021;</w:t>
      </w:r>
    </w:p>
    <w:p>
      <w:pPr>
        <w:spacing w:after="0" w:line="130" w:lineRule="exact"/>
        <w:rPr>
          <w:rFonts w:ascii="Arial" w:cs="Arial" w:eastAsia="Arial" w:hAnsi="Arial"/>
          <w:sz w:val="18"/>
          <w:szCs w:val="18"/>
          <w:color w:val="auto"/>
        </w:rPr>
      </w:pPr>
    </w:p>
    <w:p>
      <w:pPr>
        <w:ind w:left="1000" w:right="80" w:hanging="439"/>
        <w:spacing w:after="0" w:line="308" w:lineRule="auto"/>
        <w:tabs>
          <w:tab w:leader="none" w:pos="1000" w:val="left"/>
        </w:tabs>
        <w:numPr>
          <w:ilvl w:val="0"/>
          <w:numId w:val="58"/>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180">
        <w:r>
          <w:rPr>
            <w:rFonts w:ascii="Arial" w:cs="Arial" w:eastAsia="Arial" w:hAnsi="Arial"/>
            <w:sz w:val="17"/>
            <w:szCs w:val="17"/>
            <w:u w:val="single" w:color="auto"/>
            <w:color w:val="0000EE"/>
          </w:rPr>
          <w:t>January 11, 2021</w:t>
        </w:r>
      </w:hyperlink>
      <w:r>
        <w:rPr>
          <w:rFonts w:ascii="Arial" w:cs="Arial" w:eastAsia="Arial" w:hAnsi="Arial"/>
          <w:sz w:val="17"/>
          <w:szCs w:val="17"/>
          <w:color w:val="auto"/>
        </w:rPr>
        <w:t xml:space="preserve">, </w:t>
      </w:r>
      <w:hyperlink r:id="rId180">
        <w:r>
          <w:rPr>
            <w:rFonts w:ascii="Arial" w:cs="Arial" w:eastAsia="Arial" w:hAnsi="Arial"/>
            <w:sz w:val="17"/>
            <w:szCs w:val="17"/>
            <w:u w:val="single" w:color="auto"/>
            <w:color w:val="0000EE"/>
          </w:rPr>
          <w:t>January 12, 2021</w:t>
        </w:r>
      </w:hyperlink>
      <w:r>
        <w:rPr>
          <w:rFonts w:ascii="Arial" w:cs="Arial" w:eastAsia="Arial" w:hAnsi="Arial"/>
          <w:sz w:val="17"/>
          <w:szCs w:val="17"/>
          <w:color w:val="auto"/>
        </w:rPr>
        <w:t xml:space="preserve">, </w:t>
      </w:r>
      <w:hyperlink r:id="rId181">
        <w:r>
          <w:rPr>
            <w:rFonts w:ascii="Arial" w:cs="Arial" w:eastAsia="Arial" w:hAnsi="Arial"/>
            <w:sz w:val="17"/>
            <w:szCs w:val="17"/>
            <w:u w:val="single" w:color="auto"/>
            <w:color w:val="0000EE"/>
          </w:rPr>
          <w:t>March 16, 2021</w:t>
        </w:r>
      </w:hyperlink>
      <w:r>
        <w:rPr>
          <w:rFonts w:ascii="Arial" w:cs="Arial" w:eastAsia="Arial" w:hAnsi="Arial"/>
          <w:sz w:val="17"/>
          <w:szCs w:val="17"/>
          <w:color w:val="auto"/>
        </w:rPr>
        <w:t xml:space="preserve">, </w:t>
      </w:r>
      <w:hyperlink r:id="rId182">
        <w:r>
          <w:rPr>
            <w:rFonts w:ascii="Arial" w:cs="Arial" w:eastAsia="Arial" w:hAnsi="Arial"/>
            <w:sz w:val="17"/>
            <w:szCs w:val="17"/>
            <w:u w:val="single" w:color="auto"/>
            <w:color w:val="0000EE"/>
          </w:rPr>
          <w:t>May 3, 2021</w:t>
        </w:r>
      </w:hyperlink>
      <w:r>
        <w:rPr>
          <w:rFonts w:ascii="Arial" w:cs="Arial" w:eastAsia="Arial" w:hAnsi="Arial"/>
          <w:sz w:val="17"/>
          <w:szCs w:val="17"/>
          <w:color w:val="auto"/>
        </w:rPr>
        <w:t xml:space="preserve">, </w:t>
      </w:r>
      <w:hyperlink r:id="rId183">
        <w:r>
          <w:rPr>
            <w:rFonts w:ascii="Arial" w:cs="Arial" w:eastAsia="Arial" w:hAnsi="Arial"/>
            <w:sz w:val="17"/>
            <w:szCs w:val="17"/>
            <w:u w:val="single" w:color="auto"/>
            <w:color w:val="0000EE"/>
          </w:rPr>
          <w:t>May 12, 2021</w:t>
        </w:r>
      </w:hyperlink>
      <w:r>
        <w:rPr>
          <w:rFonts w:ascii="Arial" w:cs="Arial" w:eastAsia="Arial" w:hAnsi="Arial"/>
          <w:sz w:val="17"/>
          <w:szCs w:val="17"/>
          <w:color w:val="auto"/>
        </w:rPr>
        <w:t xml:space="preserve">, </w:t>
      </w:r>
      <w:hyperlink r:id="rId184">
        <w:r>
          <w:rPr>
            <w:rFonts w:ascii="Arial" w:cs="Arial" w:eastAsia="Arial" w:hAnsi="Arial"/>
            <w:sz w:val="17"/>
            <w:szCs w:val="17"/>
            <w:u w:val="single" w:color="auto"/>
            <w:color w:val="0000EE"/>
          </w:rPr>
          <w:t>June 8,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84">
        <w:r>
          <w:rPr>
            <w:rFonts w:ascii="Arial" w:cs="Arial" w:eastAsia="Arial" w:hAnsi="Arial"/>
            <w:sz w:val="17"/>
            <w:szCs w:val="17"/>
            <w:u w:val="single" w:color="auto"/>
            <w:color w:val="0000EE"/>
          </w:rPr>
          <w:t>June 10,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84">
        <w:r>
          <w:rPr>
            <w:rFonts w:ascii="Arial" w:cs="Arial" w:eastAsia="Arial" w:hAnsi="Arial"/>
            <w:sz w:val="17"/>
            <w:szCs w:val="17"/>
            <w:u w:val="single" w:color="auto"/>
            <w:color w:val="0000EE"/>
          </w:rPr>
          <w:t>June 24, 2021</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184">
        <w:r>
          <w:rPr>
            <w:rFonts w:ascii="Arial" w:cs="Arial" w:eastAsia="Arial" w:hAnsi="Arial"/>
            <w:sz w:val="17"/>
            <w:szCs w:val="17"/>
            <w:u w:val="single" w:color="auto"/>
            <w:color w:val="0000EE"/>
          </w:rPr>
          <w:t>July 6,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July 21, 2021, August 23, 2021 and</w:t>
      </w:r>
      <w:r>
        <w:rPr>
          <w:rFonts w:ascii="Arial" w:cs="Arial" w:eastAsia="Arial" w:hAnsi="Arial"/>
          <w:sz w:val="17"/>
          <w:szCs w:val="17"/>
          <w:color w:val="0000EE"/>
        </w:rPr>
        <w:t xml:space="preserve"> </w:t>
      </w:r>
      <w:hyperlink r:id="rId185">
        <w:r>
          <w:rPr>
            <w:rFonts w:ascii="Arial" w:cs="Arial" w:eastAsia="Arial" w:hAnsi="Arial"/>
            <w:sz w:val="17"/>
            <w:szCs w:val="17"/>
            <w:u w:val="single" w:color="auto"/>
            <w:color w:val="0000EE"/>
          </w:rPr>
          <w:t>August 26,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51" w:lineRule="exact"/>
        <w:rPr>
          <w:rFonts w:ascii="Arial" w:cs="Arial" w:eastAsia="Arial" w:hAnsi="Arial"/>
          <w:sz w:val="17"/>
          <w:szCs w:val="17"/>
          <w:color w:val="0000EE"/>
        </w:rPr>
      </w:pPr>
    </w:p>
    <w:p>
      <w:pPr>
        <w:ind w:left="1000" w:right="160" w:hanging="439"/>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description of shares of our common stock contained in a registration statement filed pursuant to the Exchange Act and any amendment or report filed for the purpose of updating such description.</w:t>
      </w:r>
    </w:p>
    <w:p>
      <w:pPr>
        <w:spacing w:after="0" w:line="170" w:lineRule="exact"/>
        <w:rPr>
          <w:rFonts w:ascii="Arial" w:cs="Arial" w:eastAsia="Arial" w:hAnsi="Arial"/>
          <w:sz w:val="17"/>
          <w:szCs w:val="17"/>
          <w:color w:val="0000EE"/>
        </w:rPr>
      </w:pPr>
    </w:p>
    <w:p>
      <w:pPr>
        <w:ind w:left="4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158" w:lineRule="exact"/>
        <w:rPr>
          <w:rFonts w:ascii="Arial" w:cs="Arial" w:eastAsia="Arial" w:hAnsi="Arial"/>
          <w:sz w:val="17"/>
          <w:szCs w:val="17"/>
          <w:color w:val="0000EE"/>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or incorporated by reference as an exhibit is qualified in all respects by such exhibit.</w:t>
      </w:r>
    </w:p>
    <w:p>
      <w:pPr>
        <w:spacing w:after="0" w:line="195"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 xml:space="preserve">We file with or submit to the SEC annual, quarterly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This information is also available free of charge by contacting us by telephone at (212) 891-2880 or on our website at </w:t>
      </w:r>
      <w:r>
        <w:rPr>
          <w:rFonts w:ascii="Arial" w:cs="Arial" w:eastAsia="Arial" w:hAnsi="Arial"/>
          <w:sz w:val="16"/>
          <w:szCs w:val="16"/>
          <w:i w:val="1"/>
          <w:iCs w:val="1"/>
          <w:color w:val="auto"/>
        </w:rPr>
        <w:t>www.portmanridge.com</w:t>
      </w:r>
      <w:r>
        <w:rPr>
          <w:rFonts w:ascii="Arial" w:cs="Arial" w:eastAsia="Arial" w:hAnsi="Arial"/>
          <w:sz w:val="16"/>
          <w:szCs w:val="16"/>
          <w:color w:val="auto"/>
        </w:rPr>
        <w:t>. Information contained on our website is not incorporated by reference into this prospectus or any prospectus supplement, and you should not consider that information to be part of this prospectus or any prospectus supplement.</w:t>
      </w:r>
    </w:p>
    <w:p>
      <w:pPr>
        <w:spacing w:after="0" w:line="161"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You can request a copy of any of our SEC filings (other than exhibits, unless the exhibits are specifically incorporated by reference into these documents), including those incorporated by reference herein, at no cost, by writing or telephoning us at the following address or telephone number:</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Portman Ridge Finance Corporation</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650 Madison Avenue, 23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both"/>
        <w:ind w:left="5080" w:right="4960" w:hanging="18"/>
        <w:spacing w:after="0" w:line="323" w:lineRule="auto"/>
        <w:tabs>
          <w:tab w:leader="none" w:pos="5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891-2880 Attn: Secretary</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$500,000,000</w:t>
      </w:r>
    </w:p>
    <w:p>
      <w:pPr>
        <w:spacing w:after="0" w:line="200" w:lineRule="exact"/>
        <w:rPr>
          <w:sz w:val="20"/>
          <w:szCs w:val="20"/>
          <w:color w:val="auto"/>
        </w:rPr>
      </w:pPr>
    </w:p>
    <w:p>
      <w:pPr>
        <w:spacing w:after="0" w:line="333" w:lineRule="exact"/>
        <w:rPr>
          <w:sz w:val="20"/>
          <w:szCs w:val="20"/>
          <w:color w:val="auto"/>
        </w:rPr>
      </w:pPr>
    </w:p>
    <w:p>
      <w:pPr>
        <w:jc w:val="right"/>
        <w:ind w:right="1119"/>
        <w:spacing w:after="0"/>
        <w:rPr>
          <w:sz w:val="20"/>
          <w:szCs w:val="20"/>
          <w:color w:val="auto"/>
        </w:rPr>
      </w:pPr>
      <w:r>
        <w:rPr>
          <w:rFonts w:ascii="Arial" w:cs="Arial" w:eastAsia="Arial" w:hAnsi="Arial"/>
          <w:sz w:val="43"/>
          <w:szCs w:val="43"/>
          <w:b w:val="1"/>
          <w:bCs w:val="1"/>
          <w:color w:val="auto"/>
        </w:rPr>
        <w:t>Portman Ridge Finance Corporation</w:t>
      </w:r>
    </w:p>
    <w:p>
      <w:pPr>
        <w:spacing w:after="0" w:line="200" w:lineRule="exact"/>
        <w:rPr>
          <w:sz w:val="20"/>
          <w:szCs w:val="20"/>
          <w:color w:val="auto"/>
        </w:rPr>
      </w:pPr>
    </w:p>
    <w:p>
      <w:pPr>
        <w:spacing w:after="0" w:line="365"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Preferred Stock</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Subscription Rights</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Warrants</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492125</wp:posOffset>
            </wp:positionV>
            <wp:extent cx="14916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242570</wp:posOffset>
            </wp:positionV>
            <wp:extent cx="1491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3491230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3551555</wp:posOffset>
            </wp:positionV>
            <wp:extent cx="71323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PORTMAN RIDGE FINANCE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25. Financial Statements and Exhibits</w:t>
      </w:r>
    </w:p>
    <w:p>
      <w:pPr>
        <w:spacing w:after="0" w:line="25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[The consolidated financial statements of Portman Ridge Finance Corporation appearing in Portman Ridge Finance Corporation’s Annual Report (Form 10-K) for the year ended December 31, 2020, have been audited by KPMG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consolidated financial statements of PTMN and its consolidated subsidiaries for the year ended December 31, 2018 appearing in PTMN’s Annual Report on Form 10-K for the year ended December 31, 2020 have been audited by Ernst &amp; Young LLP, independent registered public accounting firm, located at 5 Times Square, New York, NY 10036,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consolidated financial statements of HCAP at December 31, 2020 and 2019 and for each of the two years in the period ended December 31, 2020, incorporated by reference into this prospectus, have been audited by RSM US LLP located at 151 W 42nd Street, 19th Floor, New York, NY 10036, as set forth in their report therein. Such consolidated financial statements are incorporated herein by reference in reliance upon such report given on the authority of such firm as experts in accounting and auditing.</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financial statements of HCAP for the year ended December 31, 2018 incorporated in this prospectus by reference have been so incorporated in reliance on the report of PricewaterhouseCoopers LLP, an independent registered public accounting firm, located at 405 Howard Street, Suite 600, San Francisco, CA 94105, given on the authority of such firm as experts in accounting and auditing.]</w:t>
      </w:r>
    </w:p>
    <w:p>
      <w:pPr>
        <w:spacing w:after="0" w:line="33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860" w:right="160" w:hanging="859"/>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(a)(1)</w:t>
      </w:r>
      <w:r>
        <w:rPr>
          <w:sz w:val="20"/>
          <w:szCs w:val="20"/>
          <w:color w:val="auto"/>
        </w:rPr>
        <w:tab/>
      </w:r>
      <w:hyperlink r:id="rId195">
        <w:r>
          <w:rPr>
            <w:rFonts w:ascii="Arial" w:cs="Arial" w:eastAsia="Arial" w:hAnsi="Arial"/>
            <w:sz w:val="18"/>
            <w:szCs w:val="18"/>
            <w:u w:val="single" w:color="auto"/>
            <w:color w:val="0000EE"/>
          </w:rPr>
          <w:t>Form of Certificate of Incorporation of the Company (incorporated by reference to Exhibit A of the Pre-Effective Amendment No. 1 on Form</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N-2 filed on October 6, 2006).</w:t>
        </w:r>
      </w:hyperlink>
    </w:p>
    <w:p>
      <w:pPr>
        <w:spacing w:after="0" w:line="62" w:lineRule="exact"/>
        <w:rPr>
          <w:sz w:val="20"/>
          <w:szCs w:val="20"/>
          <w:color w:val="auto"/>
        </w:rPr>
      </w:pPr>
    </w:p>
    <w:p>
      <w:pPr>
        <w:spacing w:after="0"/>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(a)(2)</w:t>
      </w:r>
      <w:r>
        <w:rPr>
          <w:sz w:val="20"/>
          <w:szCs w:val="20"/>
          <w:color w:val="auto"/>
        </w:rPr>
        <w:tab/>
      </w:r>
      <w:hyperlink r:id="rId196">
        <w:r>
          <w:rPr>
            <w:rFonts w:ascii="Arial" w:cs="Arial" w:eastAsia="Arial" w:hAnsi="Arial"/>
            <w:sz w:val="18"/>
            <w:szCs w:val="18"/>
            <w:u w:val="single" w:color="auto"/>
            <w:color w:val="0000EE"/>
          </w:rPr>
          <w:t>Certificate of Amendment (incorporated by reference to Exhibit 3.1 of the Current Report on Form 8-K filed April 2, 2019).</w:t>
        </w:r>
      </w:hyperlink>
    </w:p>
    <w:p>
      <w:pPr>
        <w:spacing w:after="0" w:line="117" w:lineRule="exact"/>
        <w:rPr>
          <w:sz w:val="20"/>
          <w:szCs w:val="20"/>
          <w:color w:val="auto"/>
        </w:rPr>
      </w:pPr>
    </w:p>
    <w:p>
      <w:pPr>
        <w:ind w:left="860" w:right="620" w:hanging="859"/>
        <w:spacing w:after="0" w:line="308" w:lineRule="auto"/>
        <w:tabs>
          <w:tab w:leader="none" w:pos="840" w:val="left"/>
        </w:tabs>
        <w:rPr>
          <w:rFonts w:ascii="Arial" w:cs="Arial" w:eastAsia="Arial" w:hAnsi="Arial"/>
          <w:sz w:val="17"/>
          <w:szCs w:val="17"/>
          <w:u w:val="single" w:color="auto"/>
          <w:color w:val="0000EE"/>
        </w:rPr>
      </w:pPr>
      <w:r>
        <w:rPr>
          <w:rFonts w:ascii="Arial" w:cs="Arial" w:eastAsia="Arial" w:hAnsi="Arial"/>
          <w:sz w:val="17"/>
          <w:szCs w:val="17"/>
          <w:color w:val="auto"/>
        </w:rPr>
        <w:t>(a)(3)</w:t>
      </w:r>
      <w:r>
        <w:rPr>
          <w:sz w:val="20"/>
          <w:szCs w:val="20"/>
          <w:color w:val="auto"/>
        </w:rPr>
        <w:tab/>
      </w:r>
      <w:hyperlink r:id="rId197">
        <w:r>
          <w:rPr>
            <w:rFonts w:ascii="Arial" w:cs="Arial" w:eastAsia="Arial" w:hAnsi="Arial"/>
            <w:sz w:val="17"/>
            <w:szCs w:val="17"/>
            <w:u w:val="single" w:color="auto"/>
            <w:color w:val="0000EE"/>
          </w:rPr>
          <w:t>Certificate of Amendment to Certificate of Incorporation of Portman Ridge Finance Corporation (the Reverse Stock Split Certificate of</w:t>
        </w:r>
      </w:hyperlink>
      <w:r>
        <w:rPr>
          <w:rFonts w:ascii="Arial" w:cs="Arial" w:eastAsia="Arial" w:hAnsi="Arial"/>
          <w:sz w:val="17"/>
          <w:szCs w:val="17"/>
          <w:u w:val="single" w:color="auto"/>
          <w:color w:val="0000EE"/>
        </w:rPr>
        <w:t xml:space="preserve"> </w:t>
      </w:r>
      <w:hyperlink r:id="rId197">
        <w:r>
          <w:rPr>
            <w:rFonts w:ascii="Arial" w:cs="Arial" w:eastAsia="Arial" w:hAnsi="Arial"/>
            <w:sz w:val="17"/>
            <w:szCs w:val="17"/>
            <w:u w:val="single" w:color="auto"/>
            <w:color w:val="0000EE"/>
          </w:rPr>
          <w:t>Amendment) (incorporated by reference to Exhibit 3.1 of the Current Report on Form 8-K filed August 26, 2021).</w:t>
        </w:r>
      </w:hyperlink>
    </w:p>
    <w:p>
      <w:pPr>
        <w:spacing w:after="0" w:line="38" w:lineRule="exact"/>
        <w:rPr>
          <w:sz w:val="20"/>
          <w:szCs w:val="20"/>
          <w:color w:val="auto"/>
        </w:rPr>
      </w:pPr>
    </w:p>
    <w:p>
      <w:pPr>
        <w:ind w:left="860" w:right="900" w:hanging="859"/>
        <w:spacing w:after="0" w:line="308" w:lineRule="auto"/>
        <w:tabs>
          <w:tab w:leader="none" w:pos="840" w:val="left"/>
        </w:tabs>
        <w:rPr>
          <w:rFonts w:ascii="Arial" w:cs="Arial" w:eastAsia="Arial" w:hAnsi="Arial"/>
          <w:sz w:val="17"/>
          <w:szCs w:val="17"/>
          <w:u w:val="single" w:color="auto"/>
          <w:color w:val="0000EE"/>
        </w:rPr>
      </w:pPr>
      <w:r>
        <w:rPr>
          <w:rFonts w:ascii="Arial" w:cs="Arial" w:eastAsia="Arial" w:hAnsi="Arial"/>
          <w:sz w:val="17"/>
          <w:szCs w:val="17"/>
          <w:color w:val="auto"/>
        </w:rPr>
        <w:t>(a)(4)</w:t>
      </w:r>
      <w:r>
        <w:rPr>
          <w:sz w:val="20"/>
          <w:szCs w:val="20"/>
          <w:color w:val="auto"/>
        </w:rPr>
        <w:tab/>
      </w:r>
      <w:hyperlink r:id="rId198">
        <w:r>
          <w:rPr>
            <w:rFonts w:ascii="Arial" w:cs="Arial" w:eastAsia="Arial" w:hAnsi="Arial"/>
            <w:sz w:val="17"/>
            <w:szCs w:val="17"/>
            <w:u w:val="single" w:color="auto"/>
            <w:color w:val="0000EE"/>
          </w:rPr>
          <w:t>Certificate of Amendment to Certificate of Incorporation of Portman Ridge Finance Corporation (the decrease Shares Certificate of</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Amendment) (incorporated by reference to Exhibit 3.2 of the Current Report on Form 8-K filed August 26, 2021).</w:t>
        </w:r>
      </w:hyperlink>
    </w:p>
    <w:p>
      <w:pPr>
        <w:spacing w:after="0" w:line="38" w:lineRule="exact"/>
        <w:rPr>
          <w:sz w:val="20"/>
          <w:szCs w:val="20"/>
          <w:color w:val="auto"/>
        </w:rPr>
      </w:pPr>
    </w:p>
    <w:p>
      <w:pPr>
        <w:ind w:left="860" w:right="140" w:hanging="852"/>
        <w:spacing w:after="0" w:line="277" w:lineRule="auto"/>
        <w:tabs>
          <w:tab w:leader="none" w:pos="860" w:val="left"/>
        </w:tabs>
        <w:numPr>
          <w:ilvl w:val="0"/>
          <w:numId w:val="62"/>
        </w:numPr>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Third Amended and Restated Bylaws of Portman Ridge Finance Corporation, dated as of July 20, 2021 (previously filed as Exhibit 3.1 to the</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Company’s Current Report on Form 8-K filed on July 21, 2017 and herein incorporated by reference).</w:t>
        </w:r>
      </w:hyperlink>
    </w:p>
    <w:p>
      <w:pPr>
        <w:spacing w:after="0" w:line="62" w:lineRule="exact"/>
        <w:rPr>
          <w:rFonts w:ascii="Arial" w:cs="Arial" w:eastAsia="Arial" w:hAnsi="Arial"/>
          <w:sz w:val="18"/>
          <w:szCs w:val="18"/>
          <w:u w:val="single" w:color="auto"/>
          <w:color w:val="0000EE"/>
        </w:rPr>
      </w:pPr>
    </w:p>
    <w:p>
      <w:pPr>
        <w:ind w:left="860" w:hanging="852"/>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32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4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r:id="rId201">
        <w:r>
          <w:rPr>
            <w:rFonts w:ascii="Arial" w:cs="Arial" w:eastAsia="Arial" w:hAnsi="Arial"/>
            <w:sz w:val="18"/>
            <w:szCs w:val="18"/>
            <w:u w:val="single" w:color="auto"/>
            <w:color w:val="0000EE"/>
          </w:rPr>
          <w:t>Specimen certificate of the Company’s common stock, par value $0.01 per share (incorporated by reference to Exhibit D.1 of the Pre-Effective</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Amendment No. 1 on Form N-2 filed on October 6, 2006).</w:t>
        </w:r>
      </w:hyperlink>
    </w:p>
    <w:p>
      <w:pPr>
        <w:spacing w:after="0" w:line="62" w:lineRule="exact"/>
        <w:rPr>
          <w:sz w:val="20"/>
          <w:szCs w:val="20"/>
          <w:color w:val="auto"/>
        </w:rPr>
      </w:pPr>
    </w:p>
    <w:p>
      <w:pPr>
        <w:ind w:left="880" w:right="82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r:id="rId202">
        <w:r>
          <w:rPr>
            <w:rFonts w:ascii="Arial" w:cs="Arial" w:eastAsia="Arial" w:hAnsi="Arial"/>
            <w:sz w:val="18"/>
            <w:szCs w:val="18"/>
            <w:u w:val="single" w:color="auto"/>
            <w:color w:val="0000EE"/>
          </w:rPr>
          <w:t>Form of Base Indenture between the Company and U.S. Bank National Association (incorporated by reference to Exhibit D.3 of the</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Registration Statement in Form N-2 filed on October 3, 2012).</w:t>
        </w:r>
      </w:hyperlink>
    </w:p>
    <w:p>
      <w:pPr>
        <w:spacing w:after="0" w:line="62" w:lineRule="exact"/>
        <w:rPr>
          <w:sz w:val="20"/>
          <w:szCs w:val="20"/>
          <w:color w:val="auto"/>
        </w:rPr>
      </w:pPr>
    </w:p>
    <w:p>
      <w:pPr>
        <w:ind w:left="880" w:right="10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r:id="rId203">
        <w:r>
          <w:rPr>
            <w:rFonts w:ascii="Arial" w:cs="Arial" w:eastAsia="Arial" w:hAnsi="Arial"/>
            <w:sz w:val="18"/>
            <w:szCs w:val="18"/>
            <w:u w:val="single" w:color="auto"/>
            <w:color w:val="0000EE"/>
          </w:rPr>
          <w:t>Statement of Eligibility of Trustee on Form T-1 (incorporated by reference to exhibit D.3 included in the Registration Statement on Form N-2,</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as filed on June 8, 2017 (File No. 333-218596)..</w:t>
        </w:r>
      </w:hyperlink>
    </w:p>
    <w:p>
      <w:pPr>
        <w:spacing w:after="0" w:line="62" w:lineRule="exact"/>
        <w:rPr>
          <w:sz w:val="20"/>
          <w:szCs w:val="20"/>
          <w:color w:val="auto"/>
        </w:rPr>
      </w:pPr>
    </w:p>
    <w:p>
      <w:pPr>
        <w:ind w:left="880" w:hanging="879"/>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(d)(4)</w:t>
      </w:r>
      <w:r>
        <w:rPr>
          <w:sz w:val="20"/>
          <w:szCs w:val="20"/>
          <w:color w:val="auto"/>
        </w:rPr>
        <w:tab/>
      </w:r>
      <w:hyperlink r:id="rId204">
        <w:r>
          <w:rPr>
            <w:rFonts w:ascii="Arial" w:cs="Arial" w:eastAsia="Arial" w:hAnsi="Arial"/>
            <w:sz w:val="18"/>
            <w:szCs w:val="18"/>
            <w:u w:val="single" w:color="auto"/>
            <w:color w:val="0000EE"/>
          </w:rPr>
          <w:t>Third Supplemental Indenture, dated as of April 30, 2021, relating to the 4.875% Notes due 2026, by and between the Company and U.S. Bank</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National Association, as trustee (incorporated by reference to Exhibit 4.1 of the Company’s Current Report on Form 8-K, filed on May 3,</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2021)..</w:t>
        </w:r>
      </w:hyperlink>
    </w:p>
    <w:p>
      <w:pPr>
        <w:spacing w:after="0" w:line="76" w:lineRule="exact"/>
        <w:rPr>
          <w:rFonts w:ascii="Arial" w:cs="Arial" w:eastAsia="Arial" w:hAnsi="Arial"/>
          <w:sz w:val="18"/>
          <w:szCs w:val="18"/>
          <w:u w:val="single" w:color="auto"/>
          <w:color w:val="0000EE"/>
        </w:rPr>
      </w:pPr>
    </w:p>
    <w:p>
      <w:pPr>
        <w:ind w:left="880" w:right="36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r:id="rId204">
        <w:r>
          <w:rPr>
            <w:rFonts w:ascii="Arial" w:cs="Arial" w:eastAsia="Arial" w:hAnsi="Arial"/>
            <w:sz w:val="18"/>
            <w:szCs w:val="18"/>
            <w:u w:val="single" w:color="auto"/>
            <w:color w:val="0000EE"/>
          </w:rPr>
          <w:t>Form of 4.875% Notes due 2026 (previously filed as Exhibit 4.1 to the Company’s Current Report on Form 8-K, filed on May 3, 2021 and</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herein incorporated by reference).</w:t>
        </w:r>
      </w:hyperlink>
    </w:p>
    <w:p>
      <w:pPr>
        <w:spacing w:after="0" w:line="62"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6"/>
          <w:szCs w:val="16"/>
          <w:color w:val="auto"/>
        </w:rPr>
        <w:t>(d)(6)</w:t>
      </w:r>
      <w:r>
        <w:rPr>
          <w:sz w:val="20"/>
          <w:szCs w:val="20"/>
          <w:color w:val="auto"/>
        </w:rPr>
        <w:tab/>
      </w:r>
      <w:hyperlink r:id="rId205">
        <w:r>
          <w:rPr>
            <w:rFonts w:ascii="Arial" w:cs="Arial" w:eastAsia="Arial" w:hAnsi="Arial"/>
            <w:sz w:val="16"/>
            <w:szCs w:val="16"/>
            <w:u w:val="single" w:color="auto"/>
            <w:color w:val="0000EE"/>
          </w:rPr>
          <w:t>Registration Rights Agreement, dated as of April 30, 2021, by and among the Company and the Purchasers (as defined therein) (previously</w:t>
        </w:r>
      </w:hyperlink>
    </w:p>
    <w:p>
      <w:pPr>
        <w:spacing w:after="0" w:line="46" w:lineRule="exact"/>
        <w:rPr>
          <w:sz w:val="20"/>
          <w:szCs w:val="20"/>
          <w:color w:val="auto"/>
        </w:rPr>
      </w:pPr>
    </w:p>
    <w:p>
      <w:pPr>
        <w:jc w:val="center"/>
        <w:ind w:right="260"/>
        <w:spacing w:after="0"/>
        <w:rPr>
          <w:rFonts w:ascii="Arial" w:cs="Arial" w:eastAsia="Arial" w:hAnsi="Arial"/>
          <w:sz w:val="18"/>
          <w:szCs w:val="18"/>
          <w:u w:val="single" w:color="auto"/>
          <w:color w:val="0000EE"/>
        </w:rPr>
      </w:pPr>
      <w:hyperlink r:id="rId205">
        <w:r>
          <w:rPr>
            <w:rFonts w:ascii="Arial" w:cs="Arial" w:eastAsia="Arial" w:hAnsi="Arial"/>
            <w:sz w:val="18"/>
            <w:szCs w:val="18"/>
            <w:u w:val="single" w:color="auto"/>
            <w:color w:val="0000EE"/>
          </w:rPr>
          <w:t>filed as Exhibit 4.3 to the Company’s Current Report on Form 8-K filed on May 3, 2021 and herein incorporated by reference).</w:t>
        </w:r>
      </w:hyperlink>
    </w:p>
    <w:p>
      <w:pPr>
        <w:spacing w:after="0" w:line="103" w:lineRule="exact"/>
        <w:rPr>
          <w:sz w:val="20"/>
          <w:szCs w:val="20"/>
          <w:color w:val="auto"/>
        </w:rPr>
      </w:pPr>
    </w:p>
    <w:p>
      <w:pPr>
        <w:ind w:left="880" w:right="300" w:hanging="879"/>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6"/>
          <w:szCs w:val="16"/>
          <w:color w:val="auto"/>
        </w:rPr>
        <w:t>(d)(7)</w:t>
      </w:r>
      <w:r>
        <w:rPr>
          <w:sz w:val="20"/>
          <w:szCs w:val="20"/>
          <w:color w:val="auto"/>
        </w:rPr>
        <w:tab/>
      </w:r>
      <w:hyperlink r:id="rId206">
        <w:r>
          <w:rPr>
            <w:rFonts w:ascii="Arial" w:cs="Arial" w:eastAsia="Arial" w:hAnsi="Arial"/>
            <w:sz w:val="16"/>
            <w:szCs w:val="16"/>
            <w:u w:val="single" w:color="auto"/>
            <w:color w:val="0000EE"/>
          </w:rPr>
          <w:t>Registration Rights Agreement, dated as of June 23, 2021, by and among the Company and the Purchasers (as defined therein) (previously</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filed as Exhibit 4.3 to the Company’s Current Report on Form 8-K filed on June 24, 2021 and herein incorporated by reference).</w:t>
        </w:r>
      </w:hyperlink>
    </w:p>
    <w:p>
      <w:pPr>
        <w:spacing w:after="0" w:line="16"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6"/>
          <w:szCs w:val="16"/>
          <w:color w:val="auto"/>
        </w:rPr>
        <w:t>(d)(8)</w:t>
      </w:r>
      <w:r>
        <w:rPr>
          <w:sz w:val="20"/>
          <w:szCs w:val="20"/>
          <w:color w:val="auto"/>
        </w:rPr>
        <w:tab/>
      </w:r>
      <w:hyperlink r:id="rId207">
        <w:r>
          <w:rPr>
            <w:rFonts w:ascii="Arial" w:cs="Arial" w:eastAsia="Arial" w:hAnsi="Arial"/>
            <w:sz w:val="16"/>
            <w:szCs w:val="16"/>
            <w:u w:val="single" w:color="auto"/>
            <w:color w:val="0000EE"/>
          </w:rPr>
          <w:t>Stock Purchase and Transaction Agreement, dated December 14, 2018, by and between KCAP Financial, Inc. and BC Partners Advisors L.P.</w:t>
        </w:r>
      </w:hyperlink>
    </w:p>
    <w:p>
      <w:pPr>
        <w:spacing w:after="0" w:line="46" w:lineRule="exact"/>
        <w:rPr>
          <w:sz w:val="20"/>
          <w:szCs w:val="20"/>
          <w:color w:val="auto"/>
        </w:rPr>
      </w:pPr>
    </w:p>
    <w:p>
      <w:pPr>
        <w:ind w:left="880"/>
        <w:spacing w:after="0"/>
        <w:rPr>
          <w:rFonts w:ascii="Arial" w:cs="Arial" w:eastAsia="Arial" w:hAnsi="Arial"/>
          <w:sz w:val="18"/>
          <w:szCs w:val="18"/>
          <w:u w:val="single" w:color="auto"/>
          <w:color w:val="0000EE"/>
        </w:rPr>
      </w:pPr>
      <w:hyperlink r:id="rId207">
        <w:r>
          <w:rPr>
            <w:rFonts w:ascii="Arial" w:cs="Arial" w:eastAsia="Arial" w:hAnsi="Arial"/>
            <w:sz w:val="18"/>
            <w:szCs w:val="18"/>
            <w:u w:val="single" w:color="auto"/>
            <w:color w:val="0000EE"/>
          </w:rPr>
          <w:t>(incorporated by reference to Exhibit 10.1 of the Current Report on Form 8-K filed on December 20, 2018).</w:t>
        </w:r>
      </w:hyperlink>
    </w:p>
    <w:p>
      <w:pPr>
        <w:spacing w:after="0" w:line="103" w:lineRule="exact"/>
        <w:rPr>
          <w:sz w:val="20"/>
          <w:szCs w:val="20"/>
          <w:color w:val="auto"/>
        </w:rPr>
      </w:pPr>
    </w:p>
    <w:p>
      <w:pPr>
        <w:ind w:left="880" w:right="120" w:hanging="879"/>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(d)(9)</w:t>
      </w:r>
      <w:r>
        <w:rPr>
          <w:sz w:val="20"/>
          <w:szCs w:val="20"/>
          <w:color w:val="auto"/>
        </w:rPr>
        <w:tab/>
      </w:r>
      <w:hyperlink r:id="rId208">
        <w:r>
          <w:rPr>
            <w:rFonts w:ascii="Arial" w:cs="Arial" w:eastAsia="Arial" w:hAnsi="Arial"/>
            <w:sz w:val="18"/>
            <w:szCs w:val="18"/>
            <w:u w:val="single" w:color="auto"/>
            <w:color w:val="0000EE"/>
          </w:rPr>
          <w:t>Form of Voting and Support Agreement, dated December 14, 2018, by and between BC Partners Advisors L.P. and the members of the board</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of directors of KCAP Financial, Inc. (incorporated by reference to Exhibit 10.2 of the Current Report on Form 8-K filed on December 20,</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2018).</w:t>
        </w:r>
      </w:hyperlink>
    </w:p>
    <w:p>
      <w:pPr>
        <w:spacing w:after="0" w:line="76" w:lineRule="exact"/>
        <w:rPr>
          <w:rFonts w:ascii="Arial" w:cs="Arial" w:eastAsia="Arial" w:hAnsi="Arial"/>
          <w:sz w:val="18"/>
          <w:szCs w:val="18"/>
          <w:u w:val="single" w:color="auto"/>
          <w:color w:val="0000EE"/>
        </w:rPr>
      </w:pPr>
    </w:p>
    <w:p>
      <w:pPr>
        <w:ind w:left="880" w:right="500" w:hanging="872"/>
        <w:spacing w:after="0" w:line="277" w:lineRule="auto"/>
        <w:tabs>
          <w:tab w:leader="none" w:pos="880" w:val="left"/>
        </w:tabs>
        <w:numPr>
          <w:ilvl w:val="0"/>
          <w:numId w:val="63"/>
        </w:numPr>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Form of Dividend Reinvestment Plan (incorporated by reference to Exhibit E of the Pre-Effective Amendment No. 2 of the Registration</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Statement on Form N-2 filed on November 20, 2006).</w:t>
        </w:r>
      </w:hyperlink>
    </w:p>
    <w:p>
      <w:pPr>
        <w:spacing w:after="0" w:line="62" w:lineRule="exact"/>
        <w:rPr>
          <w:rFonts w:ascii="Arial" w:cs="Arial" w:eastAsia="Arial" w:hAnsi="Arial"/>
          <w:sz w:val="18"/>
          <w:szCs w:val="18"/>
          <w:u w:val="single" w:color="auto"/>
          <w:color w:val="0000EE"/>
        </w:rPr>
      </w:pPr>
    </w:p>
    <w:p>
      <w:pPr>
        <w:ind w:left="880" w:hanging="87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780" w:hanging="872"/>
        <w:spacing w:after="0" w:line="277" w:lineRule="auto"/>
        <w:tabs>
          <w:tab w:leader="none" w:pos="880" w:val="left"/>
        </w:tabs>
        <w:numPr>
          <w:ilvl w:val="0"/>
          <w:numId w:val="63"/>
        </w:numPr>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Investment Advisory Agreement, dated April 1, 2019, by and between the Company and Sierra Crest Investment Management LLC</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(incorporated by reference to Exhibit 10.1 of the Current Report on Form 8-K filed on April 2, 2019).</w:t>
        </w:r>
      </w:hyperlink>
    </w:p>
    <w:p>
      <w:pPr>
        <w:spacing w:after="0" w:line="62" w:lineRule="exact"/>
        <w:rPr>
          <w:rFonts w:ascii="Arial" w:cs="Arial" w:eastAsia="Arial" w:hAnsi="Arial"/>
          <w:sz w:val="18"/>
          <w:szCs w:val="18"/>
          <w:u w:val="single" w:color="auto"/>
          <w:color w:val="0000EE"/>
        </w:rPr>
      </w:pPr>
    </w:p>
    <w:p>
      <w:pPr>
        <w:ind w:left="880" w:hanging="87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hanging="872"/>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520" w:hanging="872"/>
        <w:spacing w:after="0" w:line="277" w:lineRule="auto"/>
        <w:tabs>
          <w:tab w:leader="none" w:pos="880" w:val="left"/>
        </w:tabs>
        <w:numPr>
          <w:ilvl w:val="0"/>
          <w:numId w:val="63"/>
        </w:numPr>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Form of Custodian Agreement (incorporated by reference to the exhibit included in Pre-Effective Amendment No. 2 to the Registration</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Statement on Form N-2, as filed on November 20, 2006 (File No. 333-136714)).</w:t>
        </w:r>
      </w:hyperlink>
    </w:p>
    <w:p>
      <w:pPr>
        <w:spacing w:after="0" w:line="62" w:lineRule="exact"/>
        <w:rPr>
          <w:rFonts w:ascii="Arial" w:cs="Arial" w:eastAsia="Arial" w:hAnsi="Arial"/>
          <w:sz w:val="18"/>
          <w:szCs w:val="18"/>
          <w:color w:val="auto"/>
        </w:rPr>
      </w:pPr>
    </w:p>
    <w:p>
      <w:pPr>
        <w:ind w:left="880" w:right="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(k)(1)</w:t>
      </w:r>
      <w:r>
        <w:rPr>
          <w:sz w:val="20"/>
          <w:szCs w:val="20"/>
          <w:color w:val="auto"/>
        </w:rPr>
        <w:tab/>
      </w:r>
      <w:hyperlink r:id="rId212">
        <w:r>
          <w:rPr>
            <w:rFonts w:ascii="Arial" w:cs="Arial" w:eastAsia="Arial" w:hAnsi="Arial"/>
            <w:sz w:val="18"/>
            <w:szCs w:val="18"/>
            <w:u w:val="single" w:color="auto"/>
            <w:color w:val="0000EE"/>
          </w:rPr>
          <w:t>Administration Agreement, dated April 1, 2019, by and between the Company and BC Partners Management LLC (incorporated by reference</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to Exhibit 10.3 of the Current Report on Form 8-K filed on April 2, 2019).</w:t>
        </w:r>
      </w:hyperlink>
    </w:p>
    <w:p>
      <w:pPr>
        <w:spacing w:after="0" w:line="62" w:lineRule="exact"/>
        <w:rPr>
          <w:sz w:val="20"/>
          <w:szCs w:val="20"/>
          <w:color w:val="auto"/>
        </w:rPr>
      </w:pPr>
    </w:p>
    <w:p>
      <w:pPr>
        <w:ind w:left="880" w:hanging="872"/>
        <w:spacing w:after="0"/>
        <w:tabs>
          <w:tab w:leader="none" w:pos="880" w:val="left"/>
        </w:tabs>
        <w:numPr>
          <w:ilvl w:val="0"/>
          <w:numId w:val="64"/>
        </w:numPr>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Opinion and consent of Dechert LLP*</w:t>
        </w:r>
      </w:hyperlink>
    </w:p>
    <w:p>
      <w:pPr>
        <w:spacing w:after="0" w:line="117" w:lineRule="exact"/>
        <w:rPr>
          <w:rFonts w:ascii="Arial" w:cs="Arial" w:eastAsia="Arial" w:hAnsi="Arial"/>
          <w:sz w:val="18"/>
          <w:szCs w:val="18"/>
          <w:u w:val="single" w:color="auto"/>
          <w:color w:val="0000EE"/>
        </w:rPr>
      </w:pPr>
    </w:p>
    <w:p>
      <w:pPr>
        <w:ind w:left="880" w:hanging="872"/>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KPMG LLP (Portman Ridge Finance Corporation).**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Ernst &amp; Young LLP (Portman Ridge Finance Corporation)**.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Consent of RSM US LLP (Harvest Capital Credit Corporation)**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PricewaterhouseCoopers LLP (Harvest Capital Credit 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00"/>
          </w:cols>
          <w:pgMar w:left="32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(n)(5)</w:t>
      </w:r>
      <w:r>
        <w:rPr>
          <w:sz w:val="20"/>
          <w:szCs w:val="20"/>
          <w:color w:val="auto"/>
        </w:rPr>
        <w:tab/>
      </w:r>
      <w:r>
        <w:rPr>
          <w:rFonts w:ascii="Arial" w:cs="Arial" w:eastAsia="Arial" w:hAnsi="Arial"/>
          <w:sz w:val="18"/>
          <w:szCs w:val="18"/>
          <w:color w:val="auto"/>
        </w:rPr>
        <w:t>Report of Ernst &amp; Young LLP regarding the senior securities table contained herein (Portman Ridge Finance Corporation)**</w:t>
      </w:r>
    </w:p>
    <w:p>
      <w:pPr>
        <w:spacing w:after="0" w:line="117" w:lineRule="exact"/>
        <w:rPr>
          <w:sz w:val="20"/>
          <w:szCs w:val="20"/>
          <w:color w:val="auto"/>
        </w:rPr>
      </w:pPr>
    </w:p>
    <w:p>
      <w:pPr>
        <w:ind w:left="880" w:hanging="872"/>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hanging="872"/>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hanging="872"/>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2"/>
        <w:spacing w:after="0"/>
        <w:tabs>
          <w:tab w:leader="none" w:pos="880" w:val="left"/>
        </w:tabs>
        <w:numPr>
          <w:ilvl w:val="0"/>
          <w:numId w:val="66"/>
        </w:numPr>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886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9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information contained under the heading “Plan of Distribution” in the prospectus that is included in this registration statement is incorporated herein by reference.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40" w:type="dxa"/>
            <w:vAlign w:val="bottom"/>
            <w:vMerge w:val="restart"/>
          </w:tcPr>
          <w:p>
            <w:pPr>
              <w:spacing w:after="0"/>
              <w:rPr>
                <w:sz w:val="21"/>
                <w:szCs w:val="21"/>
                <w:color w:val="auto"/>
              </w:rPr>
            </w:pPr>
          </w:p>
        </w:tc>
        <w:tc>
          <w:tcPr>
            <w:tcW w:w="580" w:type="dxa"/>
            <w:vAlign w:val="bottom"/>
            <w:vMerge w:val="restart"/>
          </w:tcPr>
          <w:p>
            <w:pPr>
              <w:spacing w:after="0"/>
              <w:rPr>
                <w:sz w:val="21"/>
                <w:szCs w:val="21"/>
                <w:color w:val="auto"/>
              </w:rPr>
            </w:pPr>
          </w:p>
        </w:tc>
        <w:tc>
          <w:tcPr>
            <w:tcW w:w="6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46,350*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125,000**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200,000**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400,000**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714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959,350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1980" w:firstLine="8"/>
        <w:spacing w:after="0" w:line="277" w:lineRule="auto"/>
        <w:tabs>
          <w:tab w:leader="none" w:pos="4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amount has been offset against filing fees associated with unsold securities registered under a previous statement. ** Estimated for filing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w:t>
      </w:r>
    </w:p>
    <w:p>
      <w:pPr>
        <w:spacing w:after="0" w:line="121"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information contained under the headings “Portman Ridge Finance Corporation,” “Management” and “Control Persons and Principal Shareholders” in this Registration Statement is incorporated herein by reference.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60"/>
          </w:cols>
          <w:pgMar w:left="320" w:top="459" w:right="6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6040" w:type="dxa"/>
            <w:vAlign w:val="bottom"/>
            <w:gridSpan w:val="2"/>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00" w:type="dxa"/>
            <w:vAlign w:val="bottom"/>
            <w:gridSpan w:val="3"/>
          </w:tcPr>
          <w:p>
            <w:pPr>
              <w:ind w:left="460"/>
              <w:spacing w:after="0"/>
              <w:rPr>
                <w:sz w:val="20"/>
                <w:szCs w:val="20"/>
                <w:color w:val="auto"/>
              </w:rPr>
            </w:pPr>
            <w:r>
              <w:rPr>
                <w:rFonts w:ascii="Arial" w:cs="Arial" w:eastAsia="Arial" w:hAnsi="Arial"/>
                <w:sz w:val="18"/>
                <w:szCs w:val="18"/>
                <w:color w:val="auto"/>
              </w:rPr>
              <w:t>The following table sets forth the Company’s consolidated subsidiaries.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55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Katonah Management Holdings LLC (Delaware)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Katonah X Management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Katonah 2007-I Management LLC (Delaware)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KCAP Management,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Commodore Holdings, LLC (Delaware)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KCAP Coastal,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Great Lakes KCAP Funding I, LLC (Delaware)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PTMN Sub Holdings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Great Lakes Portman Ridge Funding I, LLC (Delaware)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Kohlberg Capital Funding LLC I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OHA Funding GP, LLC (Texas)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OHA Nevada, LLC (Nevada)</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OHA Funding, LP (Texas)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OHA Asset Holdings GP, LLC (Texas)</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OHA Asset Holdings II, LP (Texas)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OHA/OCI Investments,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OHA Investment Corporation Sub, LLC (Delaware)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Garrison Capital Equity Holdings I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Garrison Capital Equity Holdings II LLC (Delaware)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GIG Rooster Holdings I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Garrison Funding 2018-2 Ltd (Cayman Islands)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Garrison Funding 2018-2 LLC (Delaware)</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the Registrant’s common stock as of September 24, 2021</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3660" w:type="dxa"/>
            <w:vAlign w:val="bottom"/>
            <w:vMerge w:val="restart"/>
          </w:tcPr>
          <w:p>
            <w:pPr>
              <w:spacing w:after="0"/>
              <w:rPr>
                <w:sz w:val="14"/>
                <w:szCs w:val="14"/>
                <w:color w:val="auto"/>
              </w:rPr>
            </w:pPr>
          </w:p>
        </w:tc>
        <w:tc>
          <w:tcPr>
            <w:tcW w:w="21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316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rPr>
              <w:t>Record Holders</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$0.01 par value</w:t>
            </w:r>
          </w:p>
        </w:tc>
        <w:tc>
          <w:tcPr>
            <w:tcW w:w="2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The indemnification of our officers and directors is governed by Section 145 of the DGCL, and our certificate of incorporation and bylaws. 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(1) such person acted in good faith, (2) in a manner such person reasonably believed to be in or not opposed to the best interests of the corporation and (3) with respect to any criminal action or proceeding, such person had no reasonable cause to believe the person’s conduct was unlawful.</w:t>
      </w:r>
    </w:p>
    <w:p>
      <w:pPr>
        <w:spacing w:after="0" w:line="18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Subsection (b) of Section 145 of the DGCL empowers a corporation to indemnify any person who was or is a party or is threatened to be made a party to any threatened, pending or completed action or suit by or in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080"/>
          </w:cols>
          <w:pgMar w:left="320" w:top="44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spacing w:after="0" w:line="16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Section 145 of the DGCL further provides that to the extent that a present or former director or officer is successful, on the merits or otherwise, in the defense of any action, suit or proceeding referred to in subsections (a) and (b) of Section 145 of the DGCL, or in defense of any claim, issue or matter therein, such person will be indemnified against expenses (including attorneys’ fees) actually and reasonably incurred by such person in connection with such action, suit or proceeding. In all cases in which indemnification is permitted under subsections (a) and (b) of Section 145 of the DGCL (unless ordered by a court), it will be made by the corporation only as authorized in the specific case upon a determination that indemnification of the present or former director, officer, employee or agent is proper in the circumstances because the applicable standard of conduct has been met by the party to be indemnified. Such determination must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The statute authorizes the corporation to pay expenses incurred by an officer or director in advance of the final disposition of a proceeding upon receipt of an undertaking by or on behalf of the person to whom the advance will be made, to repay the advances if it is ultimately determined that he or she was not entitled to indemnification. Section 145 of the DGCL also provides that indemnification and advancement of expenses permitted under such Section are not to be exclusive of any other rights to which those seeking indemnification or advancement of expenses may be entitled under any bylaw, agreement, vote of stockholders or disinterested directors, or otherwise. Section 145 of the DGCL also authorizes the corporation to purchase and maintain liability insurance on behalf of its directors, officers, employees and agents regardless of whether the corporation would have the statutory power to indemnify such persons against the liabilities insured.</w:t>
      </w:r>
    </w:p>
    <w:p>
      <w:pPr>
        <w:spacing w:after="0" w:line="176"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Our certificate of incorporation provides that our directors will not be liable to us or our stockholders for monetary damages for breach of fiduciary duty as a director to the fullest extent permitted by the DGCL. Section 102(b)(7) of the DGCL provides that the personal liability of a director to a corporation or its stockholders for breach of fiduciary duty as a director may be eliminated except for liability (1) for any breach of the director’s duty of loyalty to the corporation or its stockholders, (2) for acts or omissions not in good faith or which involve intentional misconduct or a knowing violation of law, (3) under Section 174 of the DGCL, relating to unlawful payment of distributions or unlawful stock purchases or redemption of stock or (4) for any transaction from which the director derives an improper personal benefit.</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Under our certificate of incorporation, we fully indemnify any person who was or is involved in any actual or threatened action, suit or proceeding by reason of the fact that such person is or was one of our directors or officers. So long as we are regulated under the 1940 Act, the above indemnification and limitation of liability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20"/>
          </w:cols>
          <w:pgMar w:left="32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non-party directors or by independent legal counsel that the liability for which indemnification is sought did not arise out of the foregoing conduct.</w:t>
      </w:r>
    </w:p>
    <w:p>
      <w:pPr>
        <w:spacing w:after="0" w:line="23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have obtained liability insurance for our directors and officers. In addition, we have entered into indemnification agreements with each of our directors and officers in order to effect the foregoing except to the extent that such indemnification would exceed the limitations on indemnification under Section 17(h) of the 1940 Act.</w:t>
      </w:r>
    </w:p>
    <w:p>
      <w:pPr>
        <w:spacing w:after="0" w:line="18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Pursuant to Rule 484 under the Securities Act of 1933, as amended, the Registrant furnishes the following undertaking: “Insofar as indemnification for liabilities arising under the Securities Act of 1933, as amended, may be permitted to directors, officers and controlling persons of the Company pursuant to the provisions described above, or otherwise, the Company has been advised that in the opinion of the SEC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in the successful defense of an action, suit or proceeding) is asserted by a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Adviser</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A description of any other business, profession, vocation or employment of a substantial nature in which our Adviser, and each managing director, director or executive officer of our Adviser, is or has been during the past two fiscal years, engaged in for his or her own account or in the capacity of director, officer, employee, partner or trustee, is set forth in Part A of this registration statement in the section entitled “Portfolio Management” or is otherwise incorporated by reference into Part A of this registration statement. Additional information regarding our Adviser and its officers and directors is set forth in its Form ADV, as filed with the U.S. Securities and Exchange Commission (SEC File No. 801-78757), and is incorporated herein by reference.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 Portman Ridge Finance Corporation, 650 Madison Avenue, 23</w:t>
      </w:r>
      <w:r>
        <w:rPr>
          <w:rFonts w:ascii="Arial" w:cs="Arial" w:eastAsia="Arial" w:hAnsi="Arial"/>
          <w:sz w:val="15"/>
          <w:szCs w:val="15"/>
          <w:color w:val="auto"/>
        </w:rPr>
        <w:t>rd</w:t>
      </w:r>
      <w:r>
        <w:rPr>
          <w:rFonts w:ascii="Arial" w:cs="Arial" w:eastAsia="Arial" w:hAnsi="Arial"/>
          <w:sz w:val="18"/>
          <w:szCs w:val="18"/>
          <w:color w:val="auto"/>
        </w:rPr>
        <w:t xml:space="preserve"> Floor, New York, New York 10022;</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Custodian: U.S. Bank National Association, Corporate Trust Services, One Federal Street, 3rd Floor, Boston, MA 02110;</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Transfer and Dividend Paying Agent and Registrar: American Stock Transfer &amp; Trust Company, LLC, 6201 15th Avenue, Brooklyn, NY 11219;</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Adviser: Sierra Crest Investment Management LLC, 650 Madison Avenue, 23</w:t>
      </w:r>
      <w:r>
        <w:rPr>
          <w:rFonts w:ascii="Arial" w:cs="Arial" w:eastAsia="Arial" w:hAnsi="Arial"/>
          <w:sz w:val="14"/>
          <w:szCs w:val="14"/>
          <w:color w:val="auto"/>
        </w:rPr>
        <w:t>rd</w:t>
      </w:r>
      <w:r>
        <w:rPr>
          <w:rFonts w:ascii="Arial" w:cs="Arial" w:eastAsia="Arial" w:hAnsi="Arial"/>
          <w:sz w:val="17"/>
          <w:szCs w:val="17"/>
          <w:color w:val="auto"/>
        </w:rPr>
        <w:t xml:space="preserve"> Floor, New York, New York 10022; and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Administrator: BC Partners Management LLC, 650 Madison Avenue, 23</w:t>
      </w:r>
      <w:r>
        <w:rPr>
          <w:rFonts w:ascii="Arial" w:cs="Arial" w:eastAsia="Arial" w:hAnsi="Arial"/>
          <w:sz w:val="15"/>
          <w:szCs w:val="15"/>
          <w:color w:val="auto"/>
        </w:rPr>
        <w:t>rd</w:t>
      </w:r>
      <w:r>
        <w:rPr>
          <w:rFonts w:ascii="Arial" w:cs="Arial" w:eastAsia="Arial" w:hAnsi="Arial"/>
          <w:sz w:val="18"/>
          <w:szCs w:val="18"/>
          <w:color w:val="auto"/>
        </w:rPr>
        <w:t xml:space="preserve"> Floor, New York, New York 10022.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60" w:hanging="453"/>
        <w:spacing w:after="0" w:line="263"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to the Registration Statement shall be deemed to be a new registration statement relating to the securities offered therein, and the offering of those securities at that time shall be deemed to be the initial bona fide offering thereof.</w:t>
      </w:r>
    </w:p>
    <w:p>
      <w:pPr>
        <w:spacing w:after="0" w:line="89" w:lineRule="exact"/>
        <w:rPr>
          <w:rFonts w:ascii="Arial" w:cs="Arial" w:eastAsia="Arial" w:hAnsi="Arial"/>
          <w:sz w:val="18"/>
          <w:szCs w:val="18"/>
          <w:color w:val="auto"/>
        </w:rPr>
      </w:pPr>
    </w:p>
    <w:p>
      <w:pPr>
        <w:ind w:left="1460" w:right="100" w:hanging="453"/>
        <w:spacing w:after="0" w:line="277"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460" w:hanging="453"/>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 that:</w:t>
      </w:r>
    </w:p>
    <w:p>
      <w:pPr>
        <w:spacing w:after="0" w:line="130" w:lineRule="exact"/>
        <w:rPr>
          <w:rFonts w:ascii="Arial" w:cs="Arial" w:eastAsia="Arial" w:hAnsi="Arial"/>
          <w:sz w:val="18"/>
          <w:szCs w:val="18"/>
          <w:color w:val="auto"/>
        </w:rPr>
      </w:pPr>
    </w:p>
    <w:p>
      <w:pPr>
        <w:ind w:left="2020" w:hanging="554"/>
        <w:spacing w:after="0"/>
        <w:tabs>
          <w:tab w:leader="none" w:pos="20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we are relying on Rule 430B:</w:t>
      </w:r>
    </w:p>
    <w:p>
      <w:pPr>
        <w:spacing w:after="0" w:line="130" w:lineRule="exact"/>
        <w:rPr>
          <w:rFonts w:ascii="Arial" w:cs="Arial" w:eastAsia="Arial" w:hAnsi="Arial"/>
          <w:sz w:val="18"/>
          <w:szCs w:val="18"/>
          <w:color w:val="auto"/>
        </w:rPr>
      </w:pPr>
    </w:p>
    <w:p>
      <w:pPr>
        <w:ind w:left="2460" w:right="160" w:hanging="441"/>
        <w:spacing w:after="0" w:line="277" w:lineRule="auto"/>
        <w:tabs>
          <w:tab w:leader="none" w:pos="2460" w:val="left"/>
        </w:tabs>
        <w:numPr>
          <w:ilvl w:val="3"/>
          <w:numId w:val="71"/>
        </w:numPr>
        <w:rPr>
          <w:rFonts w:ascii="Arial" w:cs="Arial" w:eastAsia="Arial" w:hAnsi="Arial"/>
          <w:sz w:val="18"/>
          <w:szCs w:val="18"/>
          <w:color w:val="auto"/>
        </w:rPr>
      </w:pPr>
      <w:r>
        <w:rPr>
          <w:rFonts w:ascii="Arial" w:cs="Arial" w:eastAsia="Arial" w:hAnsi="Arial"/>
          <w:sz w:val="18"/>
          <w:szCs w:val="18"/>
          <w:color w:val="auto"/>
        </w:rPr>
        <w:t>each prospectus filed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2460" w:hanging="441"/>
        <w:spacing w:after="0" w:line="286" w:lineRule="auto"/>
        <w:tabs>
          <w:tab w:leader="none" w:pos="2460" w:val="left"/>
        </w:tabs>
        <w:numPr>
          <w:ilvl w:val="3"/>
          <w:numId w:val="7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79" w:lineRule="exact"/>
        <w:rPr>
          <w:rFonts w:ascii="Arial" w:cs="Arial" w:eastAsia="Arial" w:hAnsi="Arial"/>
          <w:sz w:val="16"/>
          <w:szCs w:val="16"/>
          <w:color w:val="auto"/>
        </w:rPr>
      </w:pPr>
    </w:p>
    <w:p>
      <w:pPr>
        <w:ind w:left="2020" w:right="40" w:hanging="554"/>
        <w:spacing w:after="0" w:line="290" w:lineRule="auto"/>
        <w:tabs>
          <w:tab w:leader="none" w:pos="2020" w:val="left"/>
        </w:tabs>
        <w:numPr>
          <w:ilvl w:val="2"/>
          <w:numId w:val="71"/>
        </w:numPr>
        <w:rPr>
          <w:rFonts w:ascii="Arial" w:cs="Arial" w:eastAsia="Arial" w:hAnsi="Arial"/>
          <w:sz w:val="16"/>
          <w:szCs w:val="16"/>
          <w:color w:val="auto"/>
        </w:rPr>
      </w:pPr>
      <w:r>
        <w:rPr>
          <w:rFonts w:ascii="Arial" w:cs="Arial" w:eastAsia="Arial" w:hAnsi="Arial"/>
          <w:sz w:val="16"/>
          <w:szCs w:val="16"/>
          <w:color w:val="auto"/>
        </w:rPr>
        <w:t>if we are subject to Rule 430C under the Securities Act, each prospectus filed pursuant to Rule 424(b) under the Securities Act as part of this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supersedes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6"/>
          <w:szCs w:val="16"/>
          <w:color w:val="auto"/>
        </w:rPr>
      </w:pPr>
    </w:p>
    <w:p>
      <w:pPr>
        <w:ind w:left="1460" w:right="300" w:hanging="453"/>
        <w:spacing w:after="0" w:line="277"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that for the purpose of determining our liability under the Securities Act to any purchaser in the initial distribution of securities, we undertake that in a primary offering of our securities pursuant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80"/>
          </w:cols>
          <w:pgMar w:left="320" w:top="459" w:right="3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60" w:right="280"/>
        <w:spacing w:after="0" w:line="263" w:lineRule="auto"/>
        <w:rPr>
          <w:sz w:val="20"/>
          <w:szCs w:val="20"/>
          <w:color w:val="auto"/>
        </w:rPr>
      </w:pPr>
      <w:r>
        <w:rPr>
          <w:rFonts w:ascii="Arial" w:cs="Arial" w:eastAsia="Arial" w:hAnsi="Arial"/>
          <w:sz w:val="18"/>
          <w:szCs w:val="18"/>
          <w:color w:val="auto"/>
        </w:rPr>
        <w:t>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89" w:lineRule="exact"/>
        <w:rPr>
          <w:sz w:val="20"/>
          <w:szCs w:val="20"/>
          <w:color w:val="auto"/>
        </w:rPr>
      </w:pPr>
    </w:p>
    <w:p>
      <w:pPr>
        <w:ind w:left="2020" w:right="480" w:hanging="554"/>
        <w:spacing w:after="0" w:line="277" w:lineRule="auto"/>
        <w:tabs>
          <w:tab w:leader="none" w:pos="20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preliminary prospectus or prospectus of us relating to the offering required to be filed pursuant to Rule 424 under the Securities Act;</w:t>
      </w:r>
    </w:p>
    <w:p>
      <w:pPr>
        <w:spacing w:after="0" w:line="75" w:lineRule="exact"/>
        <w:rPr>
          <w:rFonts w:ascii="Arial" w:cs="Arial" w:eastAsia="Arial" w:hAnsi="Arial"/>
          <w:sz w:val="18"/>
          <w:szCs w:val="18"/>
          <w:color w:val="auto"/>
        </w:rPr>
      </w:pPr>
    </w:p>
    <w:p>
      <w:pPr>
        <w:ind w:left="2020" w:hanging="554"/>
        <w:spacing w:after="0"/>
        <w:tabs>
          <w:tab w:leader="none" w:pos="20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Free writing prospectuses relating to the offering prepared by or on behalf of us or used or referred to by us;</w:t>
      </w:r>
    </w:p>
    <w:p>
      <w:pPr>
        <w:spacing w:after="0" w:line="130" w:lineRule="exact"/>
        <w:rPr>
          <w:rFonts w:ascii="Arial" w:cs="Arial" w:eastAsia="Arial" w:hAnsi="Arial"/>
          <w:sz w:val="18"/>
          <w:szCs w:val="18"/>
          <w:color w:val="auto"/>
        </w:rPr>
      </w:pPr>
    </w:p>
    <w:p>
      <w:pPr>
        <w:ind w:left="2020" w:right="40" w:hanging="554"/>
        <w:spacing w:after="0" w:line="277" w:lineRule="auto"/>
        <w:tabs>
          <w:tab w:leader="none" w:pos="20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portion of any other free writing prospectuses or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2020" w:hanging="554"/>
        <w:spacing w:after="0"/>
        <w:tabs>
          <w:tab w:leader="none" w:pos="20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hereby undertake that, for purposes of determining any liability under the Securities Act, each filing of our annual report pursuant to Section 13(a) or Section 15(d) of the Securities Exchange Act of 1934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1000" w:hanging="547"/>
        <w:spacing w:after="0" w:line="254"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we have been advised that in the opinion of the Commission such indemnification is against public policy as expressed in the Securities Act and is, therefore, unenforceable. In the event that a claim for indemnification against such liabilities (other than the payment by us of expenses incurred or paid by any of our directors, officers or controlling persons in the successful defense of any action, suit or proceeding) is asserted by such director, officer or controlling person in connection with the securities being registered, we undertake, unless in the opinion of our counsel the matter has been settled by controlling precedent, to submit to a court of appropriate jurisdiction the question whether such indemnification by us is against public policy as expressed in the Securities Act and we will be governed by the final adjudication of such issue.</w:t>
      </w:r>
    </w:p>
    <w:p>
      <w:pPr>
        <w:spacing w:after="0" w:line="97"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N-2 to be signed on its behalf by the undersigned, thereunto duly authorized, in The City of New York, in the State of New York, on October 5, 2021.</w:t>
      </w:r>
    </w:p>
    <w:p>
      <w:pPr>
        <w:spacing w:after="0" w:line="17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PORTMAN RIDGE FINANCE CORPORATION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Edward Goldthorpe</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As required by the Securities Act of 1933,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80" w:type="dxa"/>
            <w:vAlign w:val="bottom"/>
          </w:tcPr>
          <w:p>
            <w:pPr>
              <w:spacing w:after="0"/>
              <w:rPr>
                <w:sz w:val="14"/>
                <w:szCs w:val="14"/>
                <w:color w:val="auto"/>
              </w:rPr>
            </w:pPr>
          </w:p>
        </w:tc>
        <w:tc>
          <w:tcPr>
            <w:tcW w:w="2160" w:type="dxa"/>
            <w:vAlign w:val="bottom"/>
            <w:gridSpan w:val="3"/>
          </w:tcPr>
          <w:p>
            <w:pPr>
              <w:jc w:val="center"/>
              <w:ind w:left="91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1"/>
              </w:rPr>
              <w:t>/s/ Edward Goldthorpe</w:t>
            </w: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80"/>
              <w:spacing w:after="0"/>
              <w:rPr>
                <w:sz w:val="20"/>
                <w:szCs w:val="20"/>
                <w:color w:val="auto"/>
              </w:rPr>
            </w:pPr>
            <w:r>
              <w:rPr>
                <w:rFonts w:ascii="Arial" w:cs="Arial" w:eastAsia="Arial" w:hAnsi="Arial"/>
                <w:sz w:val="18"/>
                <w:szCs w:val="18"/>
                <w:color w:val="auto"/>
                <w:w w:val="91"/>
              </w:rPr>
              <w:t>Edward Goldthorpe</w:t>
            </w: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87"/>
              </w:rPr>
              <w:t>/s/ Jason Roos</w:t>
            </w: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Treasurer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80"/>
              <w:spacing w:after="0"/>
              <w:rPr>
                <w:sz w:val="20"/>
                <w:szCs w:val="20"/>
                <w:color w:val="auto"/>
              </w:rPr>
            </w:pPr>
            <w:r>
              <w:rPr>
                <w:rFonts w:ascii="Arial" w:cs="Arial" w:eastAsia="Arial" w:hAnsi="Arial"/>
                <w:sz w:val="18"/>
                <w:szCs w:val="18"/>
                <w:color w:val="auto"/>
                <w:w w:val="86"/>
              </w:rPr>
              <w:t>Jason Roos</w:t>
            </w: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Principal Accounting Officer)</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Alexander Duka</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George Grunebaum</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Christopher Lacovara</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Dean C. Kehler</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Robert Warshauer</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Matthew Westwood</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spacing w:after="0"/>
              <w:rPr>
                <w:sz w:val="24"/>
                <w:szCs w:val="24"/>
                <w:color w:val="auto"/>
              </w:rPr>
            </w:pPr>
          </w:p>
        </w:tc>
        <w:tc>
          <w:tcPr>
            <w:tcW w:w="5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c>
          <w:tcPr>
            <w:tcW w:w="2160" w:type="dxa"/>
            <w:vAlign w:val="bottom"/>
            <w:gridSpan w:val="3"/>
          </w:tcPr>
          <w:p>
            <w:pPr>
              <w:jc w:val="center"/>
              <w:ind w:left="912"/>
              <w:spacing w:after="0"/>
              <w:rPr>
                <w:sz w:val="20"/>
                <w:szCs w:val="20"/>
                <w:color w:val="auto"/>
              </w:rPr>
            </w:pPr>
            <w:r>
              <w:rPr>
                <w:rFonts w:ascii="Arial" w:cs="Arial" w:eastAsia="Arial" w:hAnsi="Arial"/>
                <w:sz w:val="18"/>
                <w:szCs w:val="18"/>
                <w:color w:val="auto"/>
                <w:w w:val="89"/>
              </w:rPr>
              <w:t>October 5, 2021</w:t>
            </w:r>
          </w:p>
        </w:tc>
      </w:tr>
      <w:tr>
        <w:trPr>
          <w:trHeight w:val="224"/>
        </w:trPr>
        <w:tc>
          <w:tcPr>
            <w:tcW w:w="580" w:type="dxa"/>
            <w:vAlign w:val="bottom"/>
          </w:tcPr>
          <w:p>
            <w:pPr>
              <w:spacing w:after="0"/>
              <w:rPr>
                <w:sz w:val="19"/>
                <w:szCs w:val="19"/>
                <w:color w:val="auto"/>
              </w:rPr>
            </w:pPr>
          </w:p>
        </w:tc>
        <w:tc>
          <w:tcPr>
            <w:tcW w:w="3040" w:type="dxa"/>
            <w:vAlign w:val="bottom"/>
            <w:gridSpan w:val="3"/>
          </w:tcPr>
          <w:p>
            <w:pPr>
              <w:jc w:val="center"/>
              <w:ind w:right="560"/>
              <w:spacing w:after="0"/>
              <w:rPr>
                <w:sz w:val="20"/>
                <w:szCs w:val="20"/>
                <w:color w:val="auto"/>
              </w:rPr>
            </w:pPr>
            <w:r>
              <w:rPr>
                <w:rFonts w:ascii="Arial" w:cs="Arial" w:eastAsia="Arial" w:hAnsi="Arial"/>
                <w:sz w:val="18"/>
                <w:szCs w:val="18"/>
                <w:color w:val="auto"/>
                <w:w w:val="87"/>
              </w:rPr>
              <w:t>Joseph Morea</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620" w:type="dxa"/>
            <w:vAlign w:val="bottom"/>
            <w:gridSpan w:val="4"/>
          </w:tcPr>
          <w:p>
            <w:pPr>
              <w:spacing w:after="0"/>
              <w:rPr>
                <w:sz w:val="20"/>
                <w:szCs w:val="20"/>
                <w:color w:val="auto"/>
              </w:rPr>
            </w:pPr>
            <w:r>
              <w:rPr>
                <w:rFonts w:ascii="Arial" w:cs="Arial" w:eastAsia="Arial" w:hAnsi="Arial"/>
                <w:sz w:val="18"/>
                <w:szCs w:val="18"/>
                <w:color w:val="auto"/>
              </w:rPr>
              <w:t>*By:   /s/ Jason Roos</w:t>
            </w: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3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Jason Roos</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Title: Attorney-in-fact</w:t>
            </w:r>
          </w:p>
        </w:tc>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5"/>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40" w:type="dxa"/>
            <w:vAlign w:val="bottom"/>
            <w:gridSpan w:val="3"/>
          </w:tcPr>
          <w:p>
            <w:pPr>
              <w:ind w:left="1860"/>
              <w:spacing w:after="0"/>
              <w:rPr>
                <w:sz w:val="20"/>
                <w:szCs w:val="20"/>
                <w:color w:val="auto"/>
              </w:rPr>
            </w:pPr>
            <w:r>
              <w:rPr>
                <w:rFonts w:ascii="Arial" w:cs="Arial" w:eastAsia="Arial" w:hAnsi="Arial"/>
                <w:sz w:val="18"/>
                <w:szCs w:val="18"/>
                <w:color w:val="auto"/>
              </w:rPr>
              <w:t>C-9</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(l)</w:t>
      </w:r>
    </w:p>
    <w:p>
      <w:pPr>
        <w:spacing w:after="0" w:line="251" w:lineRule="exact"/>
        <w:rPr>
          <w:sz w:val="20"/>
          <w:szCs w:val="20"/>
          <w:color w:val="auto"/>
        </w:rPr>
      </w:pPr>
    </w:p>
    <w:p>
      <w:pPr>
        <w:ind w:left="9680"/>
        <w:spacing w:after="0"/>
        <w:rPr>
          <w:sz w:val="20"/>
          <w:szCs w:val="20"/>
          <w:color w:val="auto"/>
        </w:rPr>
      </w:pPr>
      <w:r>
        <w:rPr>
          <w:rFonts w:ascii="Arial" w:cs="Arial" w:eastAsia="Arial" w:hAnsi="Arial"/>
          <w:sz w:val="14"/>
          <w:szCs w:val="14"/>
          <w:color w:val="auto"/>
        </w:rPr>
        <w:t>1900 K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62990" cy="386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1062990" cy="386080"/>
                    </a:xfrm>
                    <a:prstGeom prst="rect">
                      <a:avLst/>
                    </a:prstGeom>
                    <a:noFill/>
                  </pic:spPr>
                </pic:pic>
              </a:graphicData>
            </a:graphic>
          </wp:anchor>
        </w:drawing>
      </w:r>
    </w:p>
    <w:p>
      <w:pPr>
        <w:ind w:left="9680"/>
        <w:spacing w:after="0" w:line="221" w:lineRule="auto"/>
        <w:rPr>
          <w:sz w:val="20"/>
          <w:szCs w:val="20"/>
          <w:color w:val="auto"/>
        </w:rPr>
      </w:pPr>
      <w:r>
        <w:rPr>
          <w:rFonts w:ascii="Arial" w:cs="Arial" w:eastAsia="Arial" w:hAnsi="Arial"/>
          <w:sz w:val="14"/>
          <w:szCs w:val="14"/>
          <w:color w:val="auto"/>
        </w:rPr>
        <w:t>Washington, DC 20006</w:t>
      </w:r>
    </w:p>
    <w:p>
      <w:pPr>
        <w:ind w:left="9680"/>
        <w:spacing w:after="0" w:line="221" w:lineRule="auto"/>
        <w:rPr>
          <w:sz w:val="20"/>
          <w:szCs w:val="20"/>
          <w:color w:val="auto"/>
        </w:rPr>
      </w:pPr>
      <w:r>
        <w:rPr>
          <w:rFonts w:ascii="Arial" w:cs="Arial" w:eastAsia="Arial" w:hAnsi="Arial"/>
          <w:sz w:val="14"/>
          <w:szCs w:val="14"/>
          <w:color w:val="auto"/>
        </w:rPr>
        <w:t>+1 202 261 3300 Main</w:t>
      </w:r>
    </w:p>
    <w:p>
      <w:pPr>
        <w:ind w:left="9680"/>
        <w:spacing w:after="0" w:line="222" w:lineRule="auto"/>
        <w:rPr>
          <w:sz w:val="20"/>
          <w:szCs w:val="20"/>
          <w:color w:val="auto"/>
        </w:rPr>
      </w:pPr>
      <w:r>
        <w:rPr>
          <w:rFonts w:ascii="Arial" w:cs="Arial" w:eastAsia="Arial" w:hAnsi="Arial"/>
          <w:sz w:val="14"/>
          <w:szCs w:val="14"/>
          <w:color w:val="auto"/>
        </w:rPr>
        <w:t>+1 202 261 3333 Fax</w:t>
      </w:r>
    </w:p>
    <w:p>
      <w:pPr>
        <w:ind w:left="9680"/>
        <w:spacing w:after="0"/>
        <w:rPr>
          <w:sz w:val="20"/>
          <w:szCs w:val="20"/>
          <w:color w:val="auto"/>
        </w:rPr>
      </w:pPr>
      <w:r>
        <w:rPr>
          <w:rFonts w:ascii="Arial" w:cs="Arial" w:eastAsia="Arial" w:hAnsi="Arial"/>
          <w:sz w:val="14"/>
          <w:szCs w:val="14"/>
          <w:color w:val="auto"/>
        </w:rPr>
        <w:t>www.dechert.com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October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Portman Ridge Finance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650 Madison Avenue, 23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acted as counsel to Portman Ridge Finance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a registration statement on Form N-2 (as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with the Commission on the date hereof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with respect to the Company’s offer, issuance and sale, from time to time, pursuant to Rule 415 under the Securities Act, of up to $500,000,000 in aggregate offering amount of the following:</w:t>
      </w:r>
    </w:p>
    <w:p>
      <w:pPr>
        <w:spacing w:after="0" w:line="93" w:lineRule="exact"/>
        <w:rPr>
          <w:sz w:val="20"/>
          <w:szCs w:val="20"/>
          <w:color w:val="auto"/>
        </w:rPr>
      </w:pPr>
    </w:p>
    <w:p>
      <w:pPr>
        <w:ind w:left="1000" w:right="380" w:hanging="54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including Common Stock to be issuable upon exercise of the Rights and/or the Warrants (as such terms are defined below);</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shares of the Company’s preferred stock, par value $0.01 per share, including Preferred Stock to be issuable upon exercise of the Warrants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subscription rights to purchase Common Stock (“</w:t>
      </w: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debt securities of the Company, including debt securities to be issuable upon exercise of the Warrants (“</w:t>
      </w:r>
      <w:r>
        <w:rPr>
          <w:rFonts w:ascii="Arial" w:cs="Arial" w:eastAsia="Arial" w:hAnsi="Arial"/>
          <w:sz w:val="18"/>
          <w:szCs w:val="18"/>
          <w:u w:val="single" w:color="auto"/>
          <w:color w:val="auto"/>
        </w:rPr>
        <w:t>Debt Securities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warrants representing rights to purchase Common Stock, Preferred Stock or Debt Securities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Preferred Stock, Rights, Debt Securities, and Warrants are collectively referred to herein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Registration Statement provides that the Securities may be offered separately or together, in amounts, at prices and on terms to be set forth in one or more supplements (each, a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to the final prospectus included in the Registration Statement at the time it becomes effective (the “</w:t>
      </w:r>
      <w:r>
        <w:rPr>
          <w:rFonts w:ascii="Arial" w:cs="Arial" w:eastAsia="Arial" w:hAnsi="Arial"/>
          <w:sz w:val="18"/>
          <w:szCs w:val="18"/>
          <w:u w:val="single" w:color="auto"/>
          <w:color w:val="auto"/>
        </w:rPr>
        <w:t>Prospectus</w:t>
      </w:r>
      <w:r>
        <w:rPr>
          <w:rFonts w:ascii="Arial" w:cs="Arial" w:eastAsia="Arial" w:hAnsi="Arial"/>
          <w:sz w:val="18"/>
          <w:szCs w:val="18"/>
          <w:color w:val="auto"/>
        </w:rPr>
        <w:t>”). This opinion letter is being furnished to the Company in accordance with the requirements of Item 25 of Form N-2, and we express no opinion herein as to any matter other than as to the legality of the Securities.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Debt Securities are to be issued under a base indenture (the “</w:t>
      </w:r>
      <w:r>
        <w:rPr>
          <w:rFonts w:ascii="Arial" w:cs="Arial" w:eastAsia="Arial" w:hAnsi="Arial"/>
          <w:sz w:val="18"/>
          <w:szCs w:val="18"/>
          <w:u w:val="single" w:color="auto"/>
          <w:color w:val="auto"/>
        </w:rPr>
        <w:t>Base Indenture</w:t>
      </w:r>
      <w:r>
        <w:rPr>
          <w:rFonts w:ascii="Arial" w:cs="Arial" w:eastAsia="Arial" w:hAnsi="Arial"/>
          <w:sz w:val="18"/>
          <w:szCs w:val="18"/>
          <w:color w:val="auto"/>
        </w:rPr>
        <w:t>”), dated October 10, 2012, entered into by and between the Company and U.S. Bank National Association (the “</w:t>
      </w:r>
      <w:r>
        <w:rPr>
          <w:rFonts w:ascii="Arial" w:cs="Arial" w:eastAsia="Arial" w:hAnsi="Arial"/>
          <w:sz w:val="18"/>
          <w:szCs w:val="18"/>
          <w:u w:val="single" w:color="auto"/>
          <w:color w:val="auto"/>
        </w:rPr>
        <w:t>Trustee</w:t>
      </w:r>
      <w:r>
        <w:rPr>
          <w:rFonts w:ascii="Arial" w:cs="Arial" w:eastAsia="Arial" w:hAnsi="Arial"/>
          <w:sz w:val="18"/>
          <w:szCs w:val="18"/>
          <w:color w:val="auto"/>
        </w:rPr>
        <w:t>”). The Warrants will be issued under warrant agreements (each a “</w:t>
      </w:r>
      <w:r>
        <w:rPr>
          <w:rFonts w:ascii="Arial" w:cs="Arial" w:eastAsia="Arial" w:hAnsi="Arial"/>
          <w:sz w:val="18"/>
          <w:szCs w:val="18"/>
          <w:u w:val="single" w:color="auto"/>
          <w:color w:val="auto"/>
        </w:rPr>
        <w:t>Warrant Agreement</w:t>
      </w:r>
      <w:r>
        <w:rPr>
          <w:rFonts w:ascii="Arial" w:cs="Arial" w:eastAsia="Arial" w:hAnsi="Arial"/>
          <w:sz w:val="18"/>
          <w:szCs w:val="18"/>
          <w:color w:val="auto"/>
        </w:rPr>
        <w:t>”) to be entered into by and between the Company and the purchasers thereof, or a warrant agent to be identified in the applicable Warrant Agreement. The Rights are to be issued under rights agreements (each a “</w:t>
      </w:r>
      <w:r>
        <w:rPr>
          <w:rFonts w:ascii="Arial" w:cs="Arial" w:eastAsia="Arial" w:hAnsi="Arial"/>
          <w:sz w:val="18"/>
          <w:szCs w:val="18"/>
          <w:u w:val="single" w:color="auto"/>
          <w:color w:val="auto"/>
        </w:rPr>
        <w:t>Rights Agreement</w:t>
      </w:r>
      <w:r>
        <w:rPr>
          <w:rFonts w:ascii="Arial" w:cs="Arial" w:eastAsia="Arial" w:hAnsi="Arial"/>
          <w:sz w:val="18"/>
          <w:szCs w:val="18"/>
          <w:color w:val="auto"/>
        </w:rPr>
        <w:t>”) to be entered into by and between the Company and the purchasers thereof, or a rights agent to be identified in the applicable Rights Agreement.</w:t>
      </w:r>
    </w:p>
    <w:p>
      <w:pPr>
        <w:sectPr>
          <w:pgSz w:w="11900" w:h="16838" w:orient="portrait"/>
          <w:cols w:equalWidth="0" w:num="1">
            <w:col w:w="11240"/>
          </w:cols>
          <w:pgMar w:left="320" w:top="121" w:right="339" w:bottom="1440" w:gutter="0" w:footer="0" w:header="0"/>
        </w:sectPr>
      </w:pPr>
    </w:p>
    <w:bookmarkStart w:id="96" w:name="page97"/>
    <w:bookmarkEnd w:id="96"/>
    <w:p>
      <w:pPr>
        <w:ind w:left="9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Portman Ridge Finance</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October 5, 2021</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Page 2</w:t>
      </w:r>
    </w:p>
    <w:p>
      <w:pPr>
        <w:spacing w:after="0" w:line="1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counsel to the Company, we have participated in the preparation of the Registration Statement and have examined the originals or copies of the following:</w:t>
      </w:r>
    </w:p>
    <w:p>
      <w:pPr>
        <w:spacing w:after="0" w:line="76" w:lineRule="exact"/>
        <w:rPr>
          <w:sz w:val="20"/>
          <w:szCs w:val="20"/>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Certificate of Incorporation, as amended, of the Company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Amended and Restated Bylaws of the Company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Secretary of State of the Sate of Delaware (the “</w:t>
      </w:r>
      <w:r>
        <w:rPr>
          <w:rFonts w:ascii="Arial" w:cs="Arial" w:eastAsia="Arial" w:hAnsi="Arial"/>
          <w:sz w:val="18"/>
          <w:szCs w:val="18"/>
          <w:u w:val="single" w:color="auto"/>
          <w:color w:val="auto"/>
        </w:rPr>
        <w:t>Secretary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w:t>
      </w:r>
      <w:r>
        <w:rPr>
          <w:rFonts w:ascii="Arial" w:cs="Arial" w:eastAsia="Arial" w:hAnsi="Arial"/>
          <w:sz w:val="18"/>
          <w:szCs w:val="18"/>
          <w:color w:val="auto"/>
        </w:rPr>
        <w:t>”) as of a recent date (the “</w:t>
      </w:r>
      <w:r>
        <w:rPr>
          <w:rFonts w:ascii="Arial" w:cs="Arial" w:eastAsia="Arial" w:hAnsi="Arial"/>
          <w:sz w:val="18"/>
          <w:szCs w:val="18"/>
          <w:u w:val="single" w:color="auto"/>
          <w:color w:val="auto"/>
        </w:rPr>
        <w:t>Certificate of Good Standing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Base Indenture; and</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resolutions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the Company relating to, among other things, the authorization and approval of the preparation and filing of the Registration Statement.</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With respect to such examination and our opinions expressed herein, we have assumed, without any independent investigation or verification, (i) the genuineness of all signatures on all documents submitted to us for examination, (ii) the legal capacity of all natural persons, (iii) the legal power and authority of all persons signing on behalf of the parties to all documents, (iv) the authenticity of all documents submitted to us as originals, (v) the conformity to original documents of all documents submitted to us as conformed or reproduced copies and the authenticity of the originals of such copied documents, (vi) that all certificates issued by public officials have been properly issued, (vii) that each Warrant Agreement and Rights Agreement will be governed by the laws of the State of New York and (viii) that the Base Indenture, the Warrant Agreements, and the Rights Agreements will be valid and legally binding obligations of the parties thereto (other than the Company).</w:t>
      </w:r>
    </w:p>
    <w:p>
      <w:pPr>
        <w:spacing w:after="0" w:line="17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to certain matters of fact relevant to the opinions in this opinion letter, we have relied upon certificates of public officials (which we have assumed remain accurate as of the date of this opinion) and upon certificates of officers of the Company. We have not independently established the facts, or in the case of certificates of public officials, the other statements, so relied upon.</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opinions set forth below are limited to the effect of the Delaware General Corporation Law (the “</w:t>
      </w:r>
      <w:r>
        <w:rPr>
          <w:rFonts w:ascii="Arial" w:cs="Arial" w:eastAsia="Arial" w:hAnsi="Arial"/>
          <w:sz w:val="17"/>
          <w:szCs w:val="17"/>
          <w:u w:val="single" w:color="auto"/>
          <w:color w:val="auto"/>
        </w:rPr>
        <w:t>DGCL</w:t>
      </w:r>
      <w:r>
        <w:rPr>
          <w:rFonts w:ascii="Arial" w:cs="Arial" w:eastAsia="Arial" w:hAnsi="Arial"/>
          <w:sz w:val="17"/>
          <w:szCs w:val="17"/>
          <w:color w:val="auto"/>
        </w:rPr>
        <w:t>”), and, as to the Debt Securities, Warrants and Rights constituting valid and legally binding obligations of the Company, the laws of the State of New York, in each case, as in effect on the date hereof, and we express no opinion as to the applicability or effect of any other laws of such jurisdiction or the laws of any other jurisdictions. Without limiting the preceding sentence, we express no opinion as to any federal or state securities or broker-dealer laws or regulations thereunder relating to the offer, issuance and sale of the Securities pursuant to the Registration Statement. We also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w:t>
      </w:r>
    </w:p>
    <w:p>
      <w:pPr>
        <w:sectPr>
          <w:pgSz w:w="11900" w:h="16838" w:orient="portrait"/>
          <w:cols w:equalWidth="0" w:num="1">
            <w:col w:w="11200"/>
          </w:cols>
          <w:pgMar w:left="320" w:top="274" w:right="379" w:bottom="1440" w:gutter="0" w:footer="0" w:header="0"/>
        </w:sectPr>
      </w:pPr>
    </w:p>
    <w:bookmarkStart w:id="97" w:name="page98"/>
    <w:bookmarkEnd w:id="97"/>
    <w:p>
      <w:pPr>
        <w:ind w:left="9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Portman Ridge Finance</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October 5, 2021</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Page 3</w:t>
      </w:r>
    </w:p>
    <w:p>
      <w:pPr>
        <w:spacing w:after="0" w:line="157" w:lineRule="exact"/>
        <w:rPr>
          <w:sz w:val="20"/>
          <w:szCs w:val="20"/>
          <w:color w:val="auto"/>
        </w:rPr>
      </w:pPr>
    </w:p>
    <w:p>
      <w:pPr>
        <w:ind w:right="760"/>
        <w:spacing w:after="0" w:line="291" w:lineRule="auto"/>
        <w:rPr>
          <w:sz w:val="20"/>
          <w:szCs w:val="20"/>
          <w:color w:val="auto"/>
        </w:rPr>
      </w:pPr>
      <w:r>
        <w:rPr>
          <w:rFonts w:ascii="Arial" w:cs="Arial" w:eastAsia="Arial" w:hAnsi="Arial"/>
          <w:sz w:val="16"/>
          <w:szCs w:val="16"/>
          <w:color w:val="auto"/>
        </w:rPr>
        <w:t>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w:t>
      </w:r>
    </w:p>
    <w:p>
      <w:pPr>
        <w:ind w:left="320" w:hanging="312"/>
        <w:spacing w:after="0"/>
        <w:tabs>
          <w:tab w:leader="none" w:pos="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provisions of law which may require that a judgment for money damages rendered by a court in the United States be expressed only in U.S. dollars;</w:t>
      </w:r>
    </w:p>
    <w:p>
      <w:pPr>
        <w:spacing w:after="0" w:line="32" w:lineRule="exact"/>
        <w:rPr>
          <w:rFonts w:ascii="Arial" w:cs="Arial" w:eastAsia="Arial" w:hAnsi="Arial"/>
          <w:sz w:val="16"/>
          <w:szCs w:val="16"/>
          <w:color w:val="auto"/>
        </w:rPr>
      </w:pPr>
    </w:p>
    <w:p>
      <w:pPr>
        <w:ind w:right="320" w:firstLine="8"/>
        <w:spacing w:after="0" w:line="281" w:lineRule="auto"/>
        <w:tabs>
          <w:tab w:leader="none" w:pos="3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governmental authority to limit, delay or prohibit the making of payments outside the United States or in foreign currency or composite currency.</w:t>
      </w:r>
    </w:p>
    <w:p>
      <w:pPr>
        <w:spacing w:after="0" w:line="22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the basis of and subject to the foregoing, and in reliance thereon, and subject to the limitations and qualifications set forth in this opinion letter, and assuming that (i) Certificate of Designation classifying and designating the number of shares and the terms of any class or series of the Preferred Stock to be issued by the Company (the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will have been duly authorized and determined or otherwise established by proper action of the Board or a duly authorized committee thereof in accordance with the Charter and Bylaws and will have been filed with and accepted for record by the Secretary of State prior to the issuance of any such Preferred Stock, and such Certificate of Designation will comply with the applicable requirements with respect thereto under the DGCL and the Company’s Charter and Bylaws, (ii) the Base Indenture and each supplemental indenture containing the specific terms and conditions for each issuance of the Debt Securities (each a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will have been duly authorized, executed and delivered by each of the Company and the Trustee in accordance with the terms of the Base Indenture, (iii) each Supplemental Indenture constitutes a valid and legally binding obligation of each of the Company and the Trustee, (iv) the Debt Securities will not include any provision that is unenforceable against the Company, (v) the Warrant Agreement and the Warrants, including any amendments or supplements thereto, will have been duly authorized, executed and delivered by each of the parties thereto in accordance with the terms of the Warrant Agreement, (vi) the Rights Agreement and the Rights, including any amendments, or supplements thereto, will have been duly authorized, executed and delivered by each of the parties thereto, (vii) the issuance, offer and sale of the Securities from time to time and the final terms of such issuance, offer and sale, including those relating to price and amount of the Securities to be issued, offered and sold, and certain terms thereof, will have been duly authorized and determined or otherwise established by proper action of the Board or a duly authorized committee thereof in accordance with the Charter, if applicable, the Certificate of Designation, if applicable, the Base Indenture, if applicable, the Warrant Agreement, if applicable, the Rights Agreement, if applicable, and the Company’s Bylaws, if applicable, and any other relevant agreement relating to the terms and the offer and sale of the Securities and are consistent with the terms and conditions for such issuance, offer and sale set forth in the Resolutions and the descriptions thereof in the Registration Statement, the Prospectus and the applicable Prospectus Supplement (such authorization or action being hereinafter referred to as the “</w:t>
      </w:r>
      <w:r>
        <w:rPr>
          <w:rFonts w:ascii="Arial" w:cs="Arial" w:eastAsia="Arial" w:hAnsi="Arial"/>
          <w:sz w:val="16"/>
          <w:szCs w:val="16"/>
          <w:u w:val="single" w:color="auto"/>
          <w:color w:val="auto"/>
        </w:rPr>
        <w:t>Corporate Proceedings</w:t>
      </w:r>
      <w:r>
        <w:rPr>
          <w:rFonts w:ascii="Arial" w:cs="Arial" w:eastAsia="Arial" w:hAnsi="Arial"/>
          <w:sz w:val="16"/>
          <w:szCs w:val="16"/>
          <w:color w:val="auto"/>
        </w:rPr>
        <w:t>”), (viii) the terms of the Preferred Stock, the Debt Securities, the Warrants and the Rights as established and the issuance of the Securities (a) will not violate any applicable law, (b) will not violate or result in a default under or breach of (nor constitute any event which with notice, lapse of time or both would constitute a default under or result in any breach of) any agreement, instrument or other document binding upon the Company, and (c) will comply with all requirements or restrictions imposed by any court or governmental body having jurisdiction over the Company, (ix) each issuance of the Debt Securities will have been duly executed by the Company and duly authenticated by the Trustee in accordance with the Base Indenture, as supplemented by the applicable Supplemental Indenture, and delivered to, and the agreed consideration will have been fully paid at the time of such delivery by, the purchasers thereof, (x) at the time of issuance of the Debt Securities or the Preferred Stock, after giving effect to such issuance thereof, the Company will be in compliance with Section 18(a)(1)(A) of the Investment Company Act of 1940, as amended, giving effect to Section 61(a) thereof, (xi) any Common Stock, Preferred Stock or Warrants issued and sold pursuant to the Registration Statement, including upon the exercise of any Securities convertible into or exercisable for Common Stock or Preferred Stock, will have been delivered to, and the agreed consideration will have been fully paid at the time of such delivery by, the purchasers thereof, (xii) upon the issuance of any Common Stock or Preferred Stock by the Company pursuant to the Registration Statement, including upon the exercise of any Securities convertible into or exercisable for Common Stock or Preferred Stock,</w:t>
      </w:r>
    </w:p>
    <w:p>
      <w:pPr>
        <w:sectPr>
          <w:pgSz w:w="11900" w:h="16838" w:orient="portrait"/>
          <w:cols w:equalWidth="0" w:num="1">
            <w:col w:w="11240"/>
          </w:cols>
          <w:pgMar w:left="320" w:top="274" w:right="339" w:bottom="1440" w:gutter="0" w:footer="0" w:header="0"/>
        </w:sectPr>
      </w:pPr>
    </w:p>
    <w:bookmarkStart w:id="98" w:name="page99"/>
    <w:bookmarkEnd w:id="98"/>
    <w:p>
      <w:pPr>
        <w:ind w:left="9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Portman Ridge Finance</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October 5, 2021</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Page 4</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total number of shares of Common Stock or Preferred Stock, as applicable, issued and outstanding will not exceed the total number of shares of Common Stock or Preferred Stock, as applicable, that the Company is then authorized to issue under the Charter, (xiii) the Certificate of Good Standing remains accurate, the Resolutions and the applicable Corporate Proceedings remain in effect, without amendment, and the Registration Statement (including all necessary post-effective amendments), and any additional registration statement filed under Rule 462 under the Securities Act, has become effective under the Securities Act and remains effective at the time of the issuance, offer and/or sale of the Securities, (xiv) resolutions establishing the definitive terms of and authorizing the Company to register, offer, sell and issue the Securities shall remain in effect and unchanged at all times during which the Securities are offered, sold or issued by the Company, (xv) the interest rate on the Debt Securities shall not be higher than the maximum lawful rate permitted from time to time under applicable law, (xvi) an appropriate Prospectus Supplement shall have been prepared, delivered and filed in compliance with the Securities Act and the applicable rules and regulations thereunder describing the Securities offered thereby, (xvii) if the Securities will be sold pursuant to a firm commitment underwritten offering, the underwriting agreement with respect to the Securities in the form filed as an exhibit to the Registration Statement or any post-effective amendment thereto, or incorporated by reference therein, shall have been duly authorized, executed and delivered by the Company and the other parties thereto, (xviii) the Base Indenture has been, and shall continue to be, duly qualified under the Trust Indenture Act of 1939, as amended, and (xix) in the case of an agreement or instrument pursuant to which any Securities are to be issued, there shall be no terms or provisions contained therein which would affect the validity of any of the opinions rendered herein, we are of the opinion that:</w:t>
      </w:r>
    </w:p>
    <w:p>
      <w:pPr>
        <w:spacing w:after="0" w:line="76" w:lineRule="exact"/>
        <w:rPr>
          <w:sz w:val="20"/>
          <w:szCs w:val="20"/>
          <w:color w:val="auto"/>
        </w:rPr>
      </w:pPr>
    </w:p>
    <w:p>
      <w:pPr>
        <w:ind w:left="1000" w:right="640" w:hanging="547"/>
        <w:spacing w:after="0" w:line="259"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completion of all Corporate Proceedings with respect thereto, the issuance of the Common Stock by the Company will be duly authorized and, when issued and paid for in accordance with the Registration Statement, the Prospectus, the applicable Prospectus Supplement, the Resolutions and all Corporate Proceedings relating thereto, the Common Stock will be validly issued, fully paid and non-assessable.</w:t>
      </w:r>
    </w:p>
    <w:p>
      <w:pPr>
        <w:spacing w:after="0" w:line="92" w:lineRule="exact"/>
        <w:rPr>
          <w:rFonts w:ascii="Arial" w:cs="Arial" w:eastAsia="Arial" w:hAnsi="Arial"/>
          <w:sz w:val="18"/>
          <w:szCs w:val="18"/>
          <w:color w:val="auto"/>
        </w:rPr>
      </w:pPr>
    </w:p>
    <w:p>
      <w:pPr>
        <w:ind w:left="1000" w:right="20" w:hanging="547"/>
        <w:spacing w:after="0" w:line="286"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Upon completion of all Corporate Proceedings with respect thereto, the issuance of the Preferred Stock will be duly authorized and, when issued and paid for in accordance with the Registration Statement, the Prospectus, the applicable Prospectus Supplement, the Resolutions and all Corporate Proceedings relating thereto, the Preferred Stock will be validly issued, fully paid and non-assessable.</w:t>
      </w:r>
    </w:p>
    <w:p>
      <w:pPr>
        <w:spacing w:after="0" w:line="70" w:lineRule="exact"/>
        <w:rPr>
          <w:rFonts w:ascii="Arial" w:cs="Arial" w:eastAsia="Arial" w:hAnsi="Arial"/>
          <w:sz w:val="17"/>
          <w:szCs w:val="17"/>
          <w:color w:val="auto"/>
        </w:rPr>
      </w:pPr>
    </w:p>
    <w:p>
      <w:pPr>
        <w:ind w:left="1000" w:right="200" w:hanging="547"/>
        <w:spacing w:after="0" w:line="311"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completion of all Corporate Proceedings with respect thereto, the issuance of the Rights will be duly authorized and, when issued in accordance with the Rights Agreement, the Registration Statement, the Prospectus, the applicable Prospectus Supplement, the Resolutions, and all Corporate Proceedings relating thereto, the Rights will constitute valid and legally binding obligations of the Company.</w:t>
      </w:r>
    </w:p>
    <w:p>
      <w:pPr>
        <w:spacing w:after="0" w:line="54" w:lineRule="exact"/>
        <w:rPr>
          <w:rFonts w:ascii="Arial" w:cs="Arial" w:eastAsia="Arial" w:hAnsi="Arial"/>
          <w:sz w:val="16"/>
          <w:szCs w:val="16"/>
          <w:color w:val="auto"/>
        </w:rPr>
      </w:pPr>
    </w:p>
    <w:p>
      <w:pPr>
        <w:ind w:left="1000" w:hanging="547"/>
        <w:spacing w:after="0" w:line="259"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completion of all Corporate Proceedings with respect thereto, the issuance of the Debt Securities will be duly authorized and, when issued and paid for in accordance with the Base Indenture, the applicable Supplemental Indenture, the Registration Statement, the Prospectus, the applicable Prospectus Supplement, the Resolutions and all Corporate Proceedings relating thereto, each issuance of the Debt Securities will constitute valid and legally binding obligations of the Company.</w:t>
      </w:r>
    </w:p>
    <w:p>
      <w:pPr>
        <w:spacing w:after="0" w:line="92" w:lineRule="exact"/>
        <w:rPr>
          <w:rFonts w:ascii="Arial" w:cs="Arial" w:eastAsia="Arial" w:hAnsi="Arial"/>
          <w:sz w:val="18"/>
          <w:szCs w:val="18"/>
          <w:color w:val="auto"/>
        </w:rPr>
      </w:pPr>
    </w:p>
    <w:p>
      <w:pPr>
        <w:ind w:left="1000" w:right="200" w:hanging="547"/>
        <w:spacing w:after="0" w:line="259"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completion of all Corporate Proceedings with respect thereto, the issuance of the Warrants will be duly authorized and, when issued and paid for in accordance with the Warrant Agreement, the Registration Statement, the Prospectus, the applicable Prospectus Supplement, the Resolutions and all Corporate Proceedings relating thereto, the Warrants will constitute valid and legally binding obligations of the Company.</w:t>
      </w:r>
    </w:p>
    <w:p>
      <w:pPr>
        <w:sectPr>
          <w:pgSz w:w="11900" w:h="16838" w:orient="portrait"/>
          <w:cols w:equalWidth="0" w:num="1">
            <w:col w:w="11220"/>
          </w:cols>
          <w:pgMar w:left="320" w:top="274" w:right="359" w:bottom="1440" w:gutter="0" w:footer="0" w:header="0"/>
        </w:sectPr>
      </w:pPr>
    </w:p>
    <w:bookmarkStart w:id="99" w:name="page100"/>
    <w:bookmarkEnd w:id="99"/>
    <w:p>
      <w:pPr>
        <w:ind w:left="9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Portman Ridge Finance</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October 5, 2021</w:t>
      </w:r>
    </w:p>
    <w:p>
      <w:pPr>
        <w:spacing w:after="0" w:line="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Page 5</w:t>
      </w:r>
    </w:p>
    <w:p>
      <w:pPr>
        <w:spacing w:after="0" w:line="15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opinion letter has been prepared for the Company’s use solely in connection with the Registration Statement. The opinions expressed in this opinion letter (i) are strictly limited to the matters stated in this opinion letter, and without limiting the foregoing, no other opinions are to be implied and (ii) are only as of the date of this opinion letter, and we are under no obligation, and do not undertake, to advise the addressee of this opinion letter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140"/>
          </w:cols>
          <w:pgMar w:left="320" w:top="274"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Each officer and director of Portman Ridge Finance Corporation whose signature appears below constitutes and appoints Jason Roos and Patrick Schafer, and each of them (with full power to each of them to act alone), as the undersigned’s true and lawful attorneys-in-fact and agents, with full power of substitution and re-substitution, for, on behalf of and in the name, place and stead of the undersigned, in any and all capacities, to sign, execute and file this registration statement under the Securities Act of 1933, as amended, and any or all amendments (including, without limitation, any post-effective amendments and supplements to this registration statement) and any additional registration statement filed pursuant to Rule 462(b), with all exhibits thereto, and any and all documents in connection therewith, with the U.S. Securities and Exchange Commission or any other regulatory authority, granting unto said attorneys-in-fact and agents, and each of them, full power and authority to do and perform each and every act and thing appropriate or necessary to be done in order to effectuate the same, as fully to all intents and purposes as the undersigned might or could do in person, hereby ratifying and confirming all that said attorneys-in-fact and agents, or any of them, or their substitute or substitutes, may lawfully do or cause to be done by virtue hereof.</w:t>
      </w:r>
    </w:p>
    <w:p>
      <w:pPr>
        <w:spacing w:after="0" w:line="166"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Pursuant to the requirements of the Securities Act of 1933, this Registration Statement on Form N-2 has been signed by the following persons in the capacities and on the dates indicated. This document may be executed by the signatories hereto on any number of counterparts, all of which shall constitute one and the same instrument.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1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740" w:type="dxa"/>
            <w:vAlign w:val="bottom"/>
          </w:tcPr>
          <w:p>
            <w:pPr>
              <w:spacing w:after="0"/>
              <w:rPr>
                <w:sz w:val="14"/>
                <w:szCs w:val="14"/>
                <w:color w:val="auto"/>
              </w:rPr>
            </w:pPr>
          </w:p>
        </w:tc>
      </w:tr>
      <w:tr>
        <w:trPr>
          <w:trHeight w:val="210"/>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Goldthorpe</w:t>
            </w:r>
          </w:p>
        </w:tc>
        <w:tc>
          <w:tcPr>
            <w:tcW w:w="1280" w:type="dxa"/>
            <w:vAlign w:val="bottom"/>
            <w:tcBorders>
              <w:bottom w:val="single" w:sz="8" w:color="auto"/>
            </w:tcBorders>
          </w:tcPr>
          <w:p>
            <w:pPr>
              <w:spacing w:after="0"/>
              <w:rPr>
                <w:sz w:val="18"/>
                <w:szCs w:val="18"/>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Edward Goldthorpe</w:t>
            </w:r>
          </w:p>
        </w:tc>
        <w:tc>
          <w:tcPr>
            <w:tcW w:w="1280" w:type="dxa"/>
            <w:vAlign w:val="bottom"/>
          </w:tcPr>
          <w:p>
            <w:pPr>
              <w:spacing w:after="0"/>
              <w:rPr>
                <w:sz w:val="19"/>
                <w:szCs w:val="19"/>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Jason Roos</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Jason Roos</w:t>
            </w:r>
          </w:p>
        </w:tc>
        <w:tc>
          <w:tcPr>
            <w:tcW w:w="1280" w:type="dxa"/>
            <w:vAlign w:val="bottom"/>
          </w:tcPr>
          <w:p>
            <w:pPr>
              <w:spacing w:after="0"/>
              <w:rPr>
                <w:sz w:val="19"/>
                <w:szCs w:val="19"/>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Alexander Duka</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Alexander Duka</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Grunebaum</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George Grunebaum</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 Christopher Lacovara</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Christopher Lacovara</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Dean C. Kehler</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Dean C. Kehler</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Warshauer</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Robert Warshauer</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Westwood</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Matthew Westwood</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1"/>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Morea</w:t>
            </w:r>
          </w:p>
        </w:tc>
        <w:tc>
          <w:tcPr>
            <w:tcW w:w="128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Independent Director</w:t>
            </w:r>
          </w:p>
        </w:tc>
      </w:tr>
      <w:tr>
        <w:trPr>
          <w:trHeight w:val="224"/>
        </w:trPr>
        <w:tc>
          <w:tcPr>
            <w:tcW w:w="1880" w:type="dxa"/>
            <w:vAlign w:val="bottom"/>
            <w:gridSpan w:val="2"/>
          </w:tcPr>
          <w:p>
            <w:pPr>
              <w:spacing w:after="0"/>
              <w:rPr>
                <w:sz w:val="20"/>
                <w:szCs w:val="20"/>
                <w:color w:val="auto"/>
              </w:rPr>
            </w:pPr>
            <w:r>
              <w:rPr>
                <w:rFonts w:ascii="Arial" w:cs="Arial" w:eastAsia="Arial" w:hAnsi="Arial"/>
                <w:sz w:val="18"/>
                <w:szCs w:val="18"/>
                <w:color w:val="auto"/>
              </w:rPr>
              <w:t>Joseph Morea</w:t>
            </w:r>
          </w:p>
        </w:tc>
        <w:tc>
          <w:tcPr>
            <w:tcW w:w="12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650"/>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7"/>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decimal"/>
      <w:start w:val="14"/>
    </w:lvl>
  </w:abstractNum>
  <w:abstractNum w:abstractNumId="18">
    <w:nsid w:val="7644A45C"/>
    <w:multiLevelType w:val="hybridMultilevel"/>
    <w:lvl w:ilvl="0">
      <w:lvlJc w:val="left"/>
      <w:lvlText w:val="1"/>
      <w:numFmt w:val="bullet"/>
      <w:start w:val="1"/>
    </w:lvl>
  </w:abstractNum>
  <w:abstractNum w:abstractNumId="19">
    <w:nsid w:val="32FFF902"/>
    <w:multiLevelType w:val="hybridMultilevel"/>
    <w:lvl w:ilvl="0">
      <w:lvlJc w:val="left"/>
      <w:lvlText w:val="2"/>
      <w:numFmt w:val="bullet"/>
      <w:start w:val="1"/>
    </w:lvl>
  </w:abstractNum>
  <w:abstractNum w:abstractNumId="20">
    <w:nsid w:val="684A481A"/>
    <w:multiLevelType w:val="hybridMultilevel"/>
    <w:lvl w:ilvl="0">
      <w:lvlJc w:val="left"/>
      <w:lvlText w:val="%1"/>
      <w:numFmt w:val="decimal"/>
      <w:start w:val="10"/>
    </w:lvl>
  </w:abstractNum>
  <w:abstractNum w:abstractNumId="21">
    <w:nsid w:val="579478FE"/>
    <w:multiLevelType w:val="hybridMultilevel"/>
    <w:lvl w:ilvl="0">
      <w:lvlJc w:val="left"/>
      <w:lvlText w:val="%1"/>
      <w:numFmt w:val="decimal"/>
      <w:start w:val="20"/>
    </w:lvl>
  </w:abstractNum>
  <w:abstractNum w:abstractNumId="22">
    <w:nsid w:val="749ABB43"/>
    <w:multiLevelType w:val="hybridMultilevel"/>
    <w:lvl w:ilvl="0">
      <w:lvlJc w:val="left"/>
      <w:lvlText w:val="%1"/>
      <w:numFmt w:val="decimal"/>
      <w:start w:val="23"/>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2"/>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lvl w:ilvl="1">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decimal"/>
      <w:start w:val="212"/>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2"/>
    </w:lvl>
  </w:abstractNum>
  <w:abstractNum w:abstractNumId="61">
    <w:nsid w:val="15014ACB"/>
    <w:multiLevelType w:val="hybridMultilevel"/>
    <w:lvl w:ilvl="0">
      <w:lvlJc w:val="left"/>
      <w:lvlText w:val="(%1)"/>
      <w:numFmt w:val="lowerLetter"/>
      <w:start w:val="2"/>
    </w:lvl>
  </w:abstractNum>
  <w:abstractNum w:abstractNumId="62">
    <w:nsid w:val="5F5E7FD0"/>
    <w:multiLevelType w:val="hybridMultilevel"/>
    <w:lvl w:ilvl="0">
      <w:lvlJc w:val="left"/>
      <w:lvlText w:val="(%1)"/>
      <w:numFmt w:val="lowerLetter"/>
      <w:start w:val="5"/>
    </w:lvl>
  </w:abstractNum>
  <w:abstractNum w:abstractNumId="63">
    <w:nsid w:val="98A3148"/>
    <w:multiLevelType w:val="hybridMultilevel"/>
    <w:lvl w:ilvl="0">
      <w:lvlJc w:val="left"/>
      <w:lvlText w:val="(%1)"/>
      <w:numFmt w:val="lowerLetter"/>
      <w:start w:val="12"/>
    </w:lvl>
  </w:abstractNum>
  <w:abstractNum w:abstractNumId="64">
    <w:nsid w:val="799D0247"/>
    <w:multiLevelType w:val="hybridMultilevel"/>
    <w:lvl w:ilvl="0">
      <w:lvlJc w:val="left"/>
      <w:lvlText w:val="(%1)"/>
      <w:numFmt w:val="lowerLetter"/>
      <w:start w:val="15"/>
    </w:lvl>
  </w:abstractNum>
  <w:abstractNum w:abstractNumId="65">
    <w:nsid w:val="6B94764"/>
    <w:multiLevelType w:val="hybridMultilevel"/>
    <w:lvl w:ilvl="0">
      <w:lvlJc w:val="left"/>
      <w:lvlText w:val="(%1)"/>
      <w:numFmt w:val="lowerLetter"/>
      <w:start w:val="20"/>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71">
    <w:nsid w:val="540A471C"/>
    <w:multiLevelType w:val="hybridMultilevel"/>
    <w:lvl w:ilvl="0">
      <w:lvlJc w:val="left"/>
      <w:lvlText w:val="%1"/>
      <w:numFmt w:val="decimal"/>
      <w:start w:val="1"/>
    </w:lvl>
    <w:lvl w:ilvl="1">
      <w:lvlJc w:val="left"/>
      <w:lvlText w:val="(%2)"/>
      <w:numFmt w:val="decimal"/>
      <w:start w:val="1"/>
    </w:lvl>
  </w:abstractNum>
  <w:abstractNum w:abstractNumId="72">
    <w:nsid w:val="7BD3EE7B"/>
    <w:multiLevelType w:val="hybridMultilevel"/>
    <w:lvl w:ilvl="0">
      <w:lvlJc w:val="left"/>
      <w:lvlText w:val="%1."/>
      <w:numFmt w:val="decimal"/>
      <w:start w:val="4"/>
    </w:lvl>
    <w:lvl w:ilvl="1">
      <w:lvlJc w:val="left"/>
      <w:lvlText w:val="%2"/>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lowerRoman"/>
      <w:start w:val="3"/>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200"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jpe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177" Type="http://schemas.openxmlformats.org/officeDocument/2006/relationships/hyperlink" Target="http://www.sec.gov/Archives/edgar/data/1580345/000158034521000004/tpvg12312010-k.htm" TargetMode="External"/><Relationship Id="rId178" Type="http://schemas.openxmlformats.org/officeDocument/2006/relationships/hyperlink" Target="http://www.sec.gov/Archives/edgar/data/1580345/000158034521000020/tpvg03312110-q.htm" TargetMode="External"/><Relationship Id="rId179" Type="http://schemas.openxmlformats.org/officeDocument/2006/relationships/hyperlink" Target="http://www.sec.gov/Archives/edgar/data/1580345/000158034521000011/tpvg2021proxy.htm" TargetMode="External"/><Relationship Id="rId180" Type="http://schemas.openxmlformats.org/officeDocument/2006/relationships/hyperlink" Target="http://www.sec.gov/Archives/edgar/data/1490927/000110465921007689/tm214200d1_8k.htm" TargetMode="External"/><Relationship Id="rId181" Type="http://schemas.openxmlformats.org/officeDocument/2006/relationships/hyperlink" Target="http://www.sec.gov/Archives/edgar/data/1490927/000110465921039140/tm2110377d1_8k.htm" TargetMode="External"/><Relationship Id="rId182" Type="http://schemas.openxmlformats.org/officeDocument/2006/relationships/hyperlink" Target="http://www.sec.gov/Archives/edgar/data/1490927/000110465921041233/tm2110898d1_8k.htm" TargetMode="External"/><Relationship Id="rId183" Type="http://schemas.openxmlformats.org/officeDocument/2006/relationships/hyperlink" Target="http://www.sec.gov/Archives/edgar/data/1490927/000110465921043919/tm2111283d1_8k.htm" TargetMode="External"/><Relationship Id="rId184" Type="http://schemas.openxmlformats.org/officeDocument/2006/relationships/hyperlink" Target="http://www.sec.gov/Archives/edgar/data/1490927/000110465921048089/tm2112474d1_8k.htm" TargetMode="External"/><Relationship Id="rId185" Type="http://schemas.openxmlformats.org/officeDocument/2006/relationships/hyperlink" Target="http://www.sec.gov/Archives/edgar/data/1490927/000110465921051408/tm2113124d1_8k.htm" TargetMode="External"/><Relationship Id="rId195" Type="http://schemas.openxmlformats.org/officeDocument/2006/relationships/hyperlink" Target="http://www.sec.gov/Archives/edgar/data/1372807/000119312506204545/dex99a.htm" TargetMode="External"/><Relationship Id="rId196" Type="http://schemas.openxmlformats.org/officeDocument/2006/relationships/hyperlink" Target="http://www.sec.gov/Archives/edgar/data/1372807/000114420419017514/tv517653_ex3-1.htm" TargetMode="External"/><Relationship Id="rId197" Type="http://schemas.openxmlformats.org/officeDocument/2006/relationships/hyperlink" Target="http://www.sec.gov/Archives/edgar/data/1372807/000119312521256995/d210335dex31.htm" TargetMode="External"/><Relationship Id="rId198" Type="http://schemas.openxmlformats.org/officeDocument/2006/relationships/hyperlink" Target="http://www.sec.gov/Archives/edgar/data/1372807/000119312521256995/d210335dex32.htm" TargetMode="External"/><Relationship Id="rId199" Type="http://schemas.openxmlformats.org/officeDocument/2006/relationships/hyperlink" Target="http://www.sec.gov/Archives/edgar/data/1372807/000119312521220662/d298619dex31.htm" TargetMode="External"/><Relationship Id="rId201" Type="http://schemas.openxmlformats.org/officeDocument/2006/relationships/hyperlink" Target="http://www.sec.gov/Archives/edgar/data/1372807/000119312506204545/dex99d1.htm" TargetMode="External"/><Relationship Id="rId202" Type="http://schemas.openxmlformats.org/officeDocument/2006/relationships/hyperlink" Target="http://www.sec.gov/Archives/edgar/data/1372807/000114420412054349/v323537_ex99d3.htm" TargetMode="External"/><Relationship Id="rId203" Type="http://schemas.openxmlformats.org/officeDocument/2006/relationships/hyperlink" Target="http://www.sec.gov/Archives/edgar/data/1372807/000114420417031717/v467849_exd-3.htm" TargetMode="External"/><Relationship Id="rId204" Type="http://schemas.openxmlformats.org/officeDocument/2006/relationships/hyperlink" Target="http://www.sec.gov/Archives/edgar/data/1372807/000119312521147534/d308157dex41.htm" TargetMode="External"/><Relationship Id="rId205" Type="http://schemas.openxmlformats.org/officeDocument/2006/relationships/hyperlink" Target="http://www.sec.gov/Archives/edgar/data/1372807/000119312521147534/d308157dex43.htm" TargetMode="External"/><Relationship Id="rId206" Type="http://schemas.openxmlformats.org/officeDocument/2006/relationships/hyperlink" Target="http://www.sec.gov/Archives/edgar/data/1372807/000119312521197921/d121071dex43.htm" TargetMode="External"/><Relationship Id="rId207" Type="http://schemas.openxmlformats.org/officeDocument/2006/relationships/hyperlink" Target="http://www.sec.gov/Archives/edgar/data/1372807/000114420418065744/tv509583_ex10-1.htm" TargetMode="External"/><Relationship Id="rId208" Type="http://schemas.openxmlformats.org/officeDocument/2006/relationships/hyperlink" Target="http://www.sec.gov/Archives/edgar/data/1372807/000114420418065744/tv509583_ex10-2.htm" TargetMode="External"/><Relationship Id="rId209" Type="http://schemas.openxmlformats.org/officeDocument/2006/relationships/hyperlink" Target="http://www.sec.gov/Archives/edgar/data/1372807/000119312506238694/dex99e.htm" TargetMode="External"/><Relationship Id="rId210" Type="http://schemas.openxmlformats.org/officeDocument/2006/relationships/hyperlink" Target="http://www.sec.gov/Archives/edgar/data/1372807/000114420419017514/tv517653_ex10-1.htm" TargetMode="External"/><Relationship Id="rId211" Type="http://schemas.openxmlformats.org/officeDocument/2006/relationships/hyperlink" Target="http://www.sec.gov/Archives/edgar/data/1372807/000119312506238694/dex99j.htm" TargetMode="External"/><Relationship Id="rId212" Type="http://schemas.openxmlformats.org/officeDocument/2006/relationships/hyperlink" Target="http://www.sec.gov/Archives/edgar/data/1372807/000114420419017514/tv517653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2021-10-05T16:18:52Z</dcterms:created>
  <dcterms:modified xsi:type="dcterms:W3CDTF">2021-10-05T16:18:52Z</dcterms:modified>
</cp:coreProperties>
</file>