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660" w:right="15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660"/>
        <w:spacing w:after="0"/>
        <w:tabs>
          <w:tab w:leader="none" w:pos="3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Commission File No. 814-00735</w:t>
            </w:r>
          </w:p>
        </w:tc>
      </w:tr>
      <w:tr>
        <w:trPr>
          <w:trHeight w:val="697"/>
        </w:trPr>
        <w:tc>
          <w:tcPr>
            <w:tcW w:w="2460" w:type="dxa"/>
            <w:vAlign w:val="bottom"/>
          </w:tcPr>
          <w:p>
            <w:pPr>
              <w:spacing w:after="0"/>
              <w:rPr>
                <w:sz w:val="24"/>
                <w:szCs w:val="24"/>
                <w:color w:val="auto"/>
              </w:rPr>
            </w:pPr>
          </w:p>
        </w:tc>
        <w:tc>
          <w:tcPr>
            <w:tcW w:w="6120" w:type="dxa"/>
            <w:vAlign w:val="bottom"/>
            <w:gridSpan w:val="3"/>
          </w:tcPr>
          <w:p>
            <w:pPr>
              <w:jc w:val="center"/>
              <w:ind w:right="1850"/>
              <w:spacing w:after="0"/>
              <w:rPr>
                <w:sz w:val="20"/>
                <w:szCs w:val="20"/>
                <w:color w:val="auto"/>
              </w:rPr>
            </w:pPr>
            <w:r>
              <w:rPr>
                <w:rFonts w:ascii="Arial" w:cs="Arial" w:eastAsia="Arial" w:hAnsi="Arial"/>
                <w:sz w:val="43"/>
                <w:szCs w:val="43"/>
                <w:b w:val="1"/>
                <w:bCs w:val="1"/>
                <w:color w:val="auto"/>
                <w:w w:val="95"/>
              </w:rPr>
              <w:t>KCAP Financial, Inc.</w:t>
            </w:r>
          </w:p>
        </w:tc>
      </w:tr>
      <w:tr>
        <w:trPr>
          <w:trHeight w:val="234"/>
        </w:trPr>
        <w:tc>
          <w:tcPr>
            <w:tcW w:w="2460" w:type="dxa"/>
            <w:vAlign w:val="bottom"/>
          </w:tcPr>
          <w:p>
            <w:pPr>
              <w:spacing w:after="0"/>
              <w:rPr>
                <w:sz w:val="20"/>
                <w:szCs w:val="20"/>
                <w:color w:val="auto"/>
              </w:rPr>
            </w:pPr>
          </w:p>
        </w:tc>
        <w:tc>
          <w:tcPr>
            <w:tcW w:w="6120" w:type="dxa"/>
            <w:vAlign w:val="bottom"/>
            <w:gridSpan w:val="3"/>
          </w:tcPr>
          <w:p>
            <w:pPr>
              <w:jc w:val="center"/>
              <w:ind w:right="18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42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6120" w:type="dxa"/>
            <w:vAlign w:val="bottom"/>
            <w:gridSpan w:val="3"/>
          </w:tcPr>
          <w:p>
            <w:pPr>
              <w:jc w:val="center"/>
              <w:ind w:left="4229"/>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0" w:type="dxa"/>
            <w:vAlign w:val="bottom"/>
          </w:tcPr>
          <w:p>
            <w:pPr>
              <w:jc w:val="center"/>
              <w:ind w:left="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0" w:type="dxa"/>
            <w:vAlign w:val="bottom"/>
          </w:tcPr>
          <w:p>
            <w:pPr>
              <w:jc w:val="center"/>
              <w:ind w:left="73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90"/>
              </w:rPr>
              <w:t>295 Madison Avenue, 6th Floor</w:t>
            </w:r>
          </w:p>
        </w:tc>
      </w:tr>
      <w:tr>
        <w:trPr>
          <w:trHeight w:val="216"/>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34"/>
        </w:trPr>
        <w:tc>
          <w:tcPr>
            <w:tcW w:w="2460" w:type="dxa"/>
            <w:vAlign w:val="bottom"/>
          </w:tcPr>
          <w:p>
            <w:pPr>
              <w:spacing w:after="0"/>
              <w:rPr>
                <w:sz w:val="20"/>
                <w:szCs w:val="20"/>
                <w:color w:val="auto"/>
              </w:rPr>
            </w:pPr>
          </w:p>
        </w:tc>
        <w:tc>
          <w:tcPr>
            <w:tcW w:w="6120" w:type="dxa"/>
            <w:vAlign w:val="bottom"/>
            <w:gridSpan w:val="3"/>
          </w:tcPr>
          <w:p>
            <w:pPr>
              <w:jc w:val="center"/>
              <w:ind w:right="1850"/>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2460" w:type="dxa"/>
            <w:vAlign w:val="bottom"/>
          </w:tcPr>
          <w:p>
            <w:pPr>
              <w:spacing w:after="0"/>
              <w:rPr>
                <w:sz w:val="24"/>
                <w:szCs w:val="24"/>
                <w:color w:val="auto"/>
              </w:rPr>
            </w:pPr>
          </w:p>
        </w:tc>
        <w:tc>
          <w:tcPr>
            <w:tcW w:w="3520" w:type="dxa"/>
            <w:vAlign w:val="bottom"/>
            <w:gridSpan w:val="2"/>
          </w:tcPr>
          <w:p>
            <w:pPr>
              <w:jc w:val="center"/>
              <w:ind w:left="569"/>
              <w:spacing w:after="0"/>
              <w:rPr>
                <w:sz w:val="20"/>
                <w:szCs w:val="20"/>
                <w:color w:val="auto"/>
              </w:rPr>
            </w:pPr>
            <w:r>
              <w:rPr>
                <w:rFonts w:ascii="Arial" w:cs="Arial" w:eastAsia="Arial" w:hAnsi="Arial"/>
                <w:sz w:val="18"/>
                <w:szCs w:val="18"/>
                <w:b w:val="1"/>
                <w:bCs w:val="1"/>
                <w:color w:val="auto"/>
                <w:w w:val="90"/>
              </w:rPr>
              <w:t>(212) 455-8300</w:t>
            </w:r>
          </w:p>
        </w:tc>
        <w:tc>
          <w:tcPr>
            <w:tcW w:w="260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6120" w:type="dxa"/>
            <w:vAlign w:val="bottom"/>
            <w:gridSpan w:val="3"/>
          </w:tcPr>
          <w:p>
            <w:pPr>
              <w:jc w:val="center"/>
              <w:ind w:right="18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20" w:right="3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00" w:space="720"/>
            <w:col w:w="4180" w:space="720"/>
            <w:col w:w="2820" w:space="720"/>
            <w:col w:w="460"/>
          </w:cols>
          <w:pgMar w:left="240" w:top="72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5">
            <w:col w:w="1700" w:space="720"/>
            <w:col w:w="100" w:space="360"/>
            <w:col w:w="3720" w:space="720"/>
            <w:col w:w="2820" w:space="720"/>
            <w:col w:w="460"/>
          </w:cols>
          <w:pgMar w:left="240" w:top="720" w:right="339" w:bottom="1440" w:gutter="0" w:footer="0" w:header="0"/>
          <w:type w:val="continuous"/>
        </w:sectPr>
      </w:pPr>
    </w:p>
    <w:p>
      <w:pPr>
        <w:spacing w:after="0" w:line="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5, 2014 was 33,367,942.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gridSpan w:val="12"/>
          </w:tcPr>
          <w:p>
            <w:pPr>
              <w:ind w:left="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7040" w:type="dxa"/>
            <w:vAlign w:val="bottom"/>
            <w:gridSpan w:val="14"/>
            <w:shd w:val="clear" w:color="auto" w:fill="CCFFCC"/>
          </w:tcPr>
          <w:p>
            <w:pPr>
              <w:jc w:val="center"/>
              <w:ind w:right="2320"/>
              <w:spacing w:after="0"/>
              <w:rPr>
                <w:sz w:val="20"/>
                <w:szCs w:val="20"/>
                <w:color w:val="auto"/>
              </w:rPr>
            </w:pPr>
            <w:r>
              <w:rPr>
                <w:rFonts w:ascii="Arial" w:cs="Arial" w:eastAsia="Arial" w:hAnsi="Arial"/>
                <w:sz w:val="18"/>
                <w:szCs w:val="18"/>
                <w:b w:val="1"/>
                <w:bCs w:val="1"/>
                <w:color w:val="auto"/>
                <w:w w:val="94"/>
              </w:rPr>
              <w:t>Part I. 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20"/>
            <w:shd w:val="clear" w:color="auto" w:fill="CCFFCC"/>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2014 (unaudited) and December 31,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March 31, 2014 and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Changes in Net Assets (unaudited) for the three months ended March 31, 2014 and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2014 and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2014 (unaudited) and December 31,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Financial Highlights (unaudited) for the three months ended March 31, 2014 and 2013</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Notes to Consolidated Financial Statements (unaudited)</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5720" w:type="dxa"/>
            <w:vAlign w:val="bottom"/>
            <w:gridSpan w:val="13"/>
            <w:shd w:val="clear" w:color="auto" w:fill="CCFFCC"/>
          </w:tcPr>
          <w:p>
            <w:pPr>
              <w:jc w:val="center"/>
              <w:ind w:right="3660"/>
              <w:spacing w:after="0" w:line="176" w:lineRule="exact"/>
              <w:rPr>
                <w:rFonts w:ascii="Arial" w:cs="Arial" w:eastAsia="Arial" w:hAnsi="Arial"/>
                <w:sz w:val="18"/>
                <w:szCs w:val="18"/>
                <w:b w:val="1"/>
                <w:bCs w:val="1"/>
                <w:color w:val="0000EE"/>
                <w:w w:val="97"/>
              </w:rPr>
            </w:pPr>
            <w:hyperlink w:anchor="page73">
              <w:r>
                <w:rPr>
                  <w:rFonts w:ascii="Arial" w:cs="Arial" w:eastAsia="Arial" w:hAnsi="Arial"/>
                  <w:sz w:val="18"/>
                  <w:szCs w:val="18"/>
                  <w:b w:val="1"/>
                  <w:bCs w:val="1"/>
                  <w:color w:val="0000EE"/>
                  <w:w w:val="97"/>
                </w:rPr>
                <w:t>Part II. Other Information</w:t>
              </w:r>
            </w:hyperlink>
          </w:p>
        </w:tc>
        <w:tc>
          <w:tcPr>
            <w:tcW w:w="9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Risk Factors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0"/>
            <w:shd w:val="clear" w:color="auto" w:fill="CCFFCC"/>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30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560" w:type="dxa"/>
            <w:vAlign w:val="bottom"/>
            <w:tcBorders>
              <w:top w:val="single" w:sz="8" w:color="CCFFCC"/>
              <w:bottom w:val="single" w:sz="8" w:color="auto"/>
            </w:tcBorders>
          </w:tcPr>
          <w:p>
            <w:pPr>
              <w:spacing w:after="0"/>
              <w:rPr>
                <w:sz w:val="24"/>
                <w:szCs w:val="24"/>
                <w:color w:val="auto"/>
              </w:rPr>
            </w:pPr>
          </w:p>
        </w:tc>
        <w:tc>
          <w:tcPr>
            <w:tcW w:w="1320" w:type="dxa"/>
            <w:vAlign w:val="bottom"/>
            <w:tcBorders>
              <w:top w:val="single" w:sz="8" w:color="CCFFCC"/>
              <w:bottom w:val="single" w:sz="8" w:color="auto"/>
            </w:tcBorders>
          </w:tcPr>
          <w:p>
            <w:pPr>
              <w:spacing w:after="0"/>
              <w:rPr>
                <w:sz w:val="24"/>
                <w:szCs w:val="24"/>
                <w:color w:val="auto"/>
              </w:rPr>
            </w:pPr>
          </w:p>
        </w:tc>
        <w:tc>
          <w:tcPr>
            <w:tcW w:w="38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134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62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960" w:type="dxa"/>
            <w:vAlign w:val="bottom"/>
            <w:tcBorders>
              <w:top w:val="single" w:sz="8" w:color="CCFFCC"/>
              <w:bottom w:val="single" w:sz="8" w:color="auto"/>
            </w:tcBorders>
          </w:tcPr>
          <w:p>
            <w:pPr>
              <w:spacing w:after="0"/>
              <w:rPr>
                <w:sz w:val="24"/>
                <w:szCs w:val="24"/>
                <w:color w:val="auto"/>
              </w:rPr>
            </w:pPr>
          </w:p>
        </w:tc>
        <w:tc>
          <w:tcPr>
            <w:tcW w:w="90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March 31, 2014</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Money market accounts (cost: 2014 - $4,133,429; 2013 - $7,112,949)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4,133,429</w:t>
            </w:r>
          </w:p>
        </w:tc>
        <w:tc>
          <w:tcPr>
            <w:tcW w:w="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7,112,949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Debt securities (cost: 2014 - $273,777,654; 2013 - $275,213,594)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264,791,172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266,830,427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CLO Fund securities managed by affiliates (cost: 2014 - $88,345,107; 2013 - $88,979,585)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73,585,796</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75,100,306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2014 - $12,824,040; 2013 - $12,717,365)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4,161,728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4,351,914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 (cost: 2014 - $16,289,233; 2013 - $18,755,684)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8,212,286</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11,006,398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 Manager Affiliates (cost: 2014 - $83,924,720; 2013 - $83,378,741)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74,075,000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76,148,000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 at Fair Value (cost: 2014 - $479,294,183; 2013 - $486,157,918)</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428,959,411</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440,549,994</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3,277,748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3,433,675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5,861,582</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4,078,939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2,192,261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2,032,559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Receivable for open trades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6,972,467</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3,125,259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6,172,901</w:t>
            </w:r>
          </w:p>
        </w:tc>
        <w:tc>
          <w:tcPr>
            <w:tcW w:w="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5,951,962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456,436,370</w:t>
            </w:r>
          </w:p>
        </w:tc>
        <w:tc>
          <w:tcPr>
            <w:tcW w:w="22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459,172,388</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49,008,000</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49,008,000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7.375% Notes Due 2019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41,400,000</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Notes issued by KCAP Senior Funding I, LLC (net of discount: 2014 - $2,956,750; 2013 - $3,065,627) (Note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102,293,250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102,184,373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7,960,000</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3,980,000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1,672,509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3,897,291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Shareholder distribution payable</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8,333,031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202,333,759</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208,802,695</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Common stock, par value $0.01 per share, 100,000,000 common shares authorized; 33,340,607 and</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w w:val="91"/>
              </w:rPr>
              <w:t>33,332,123 common shares issued and outstanding at March 31, 2014 and December 31, 2013, respectively</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333,557</w:t>
            </w:r>
          </w:p>
        </w:tc>
        <w:tc>
          <w:tcPr>
            <w:tcW w:w="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333,472</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371,185,322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370,929,615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Accumulated undistributed (excess distribution) net investment income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1,792,376</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(6,102,017)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(68,353,108)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(68,662,689)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depreciation on investments</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(50,855,536)</w:t>
            </w:r>
          </w:p>
        </w:tc>
        <w:tc>
          <w:tcPr>
            <w:tcW w:w="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(46,128,688)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254,102,611</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250,369,693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456,436,370</w:t>
            </w:r>
          </w:p>
        </w:tc>
        <w:tc>
          <w:tcPr>
            <w:tcW w:w="22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459,172,388</w:t>
            </w:r>
          </w:p>
        </w:tc>
        <w:tc>
          <w:tcPr>
            <w:tcW w:w="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5,247,236</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2,478,018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from cash and time deposits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Dividends from investments in CLO Fund securities managed by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4,636,238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5,480,653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from investments in CLO Fund securities managed by non-affiliates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275,571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structuring service fees</w:t>
            </w:r>
          </w:p>
        </w:tc>
        <w:tc>
          <w:tcPr>
            <w:tcW w:w="9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227,083</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investment income</w:t>
            </w:r>
          </w:p>
        </w:tc>
        <w:tc>
          <w:tcPr>
            <w:tcW w:w="92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13,386,914</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11,393,831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Expenses: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2,990,166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1,262,437</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671,210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Insurance</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135,961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468,283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expenses</w:t>
            </w:r>
          </w:p>
        </w:tc>
        <w:tc>
          <w:tcPr>
            <w:tcW w:w="9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5,528,057</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4,447,475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7,858,857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6,946,356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309,581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(603,315)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(327,661)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(880,032)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(4,579,158)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(296,861)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(367,408)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(2,618,979)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3,075,339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net change in unrealized (depreciation) appreciation</w:t>
            </w:r>
          </w:p>
        </w:tc>
        <w:tc>
          <w:tcPr>
            <w:tcW w:w="9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(4,726,848</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349,862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realized and unrealized (depreciation) appreciation on investments</w:t>
            </w:r>
          </w:p>
        </w:tc>
        <w:tc>
          <w:tcPr>
            <w:tcW w:w="92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(4,417,267</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266,925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Increase In Stockholders’ Equity Resulting From Operations</w:t>
            </w:r>
          </w:p>
        </w:tc>
        <w:tc>
          <w:tcPr>
            <w:tcW w:w="9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3,441,590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7,213,281</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160"/>
              <w:spacing w:after="0"/>
              <w:rPr>
                <w:sz w:val="20"/>
                <w:szCs w:val="20"/>
                <w:color w:val="auto"/>
              </w:rPr>
            </w:pPr>
            <w:r>
              <w:rPr>
                <w:rFonts w:ascii="Arial" w:cs="Arial" w:eastAsia="Arial" w:hAnsi="Arial"/>
                <w:sz w:val="18"/>
                <w:szCs w:val="18"/>
                <w:color w:val="auto"/>
              </w:rPr>
              <w:t>Net Increase In Stockholders' Equity Resulting from Operations per Common Share:</w:t>
            </w: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0.10</w:t>
            </w:r>
          </w:p>
        </w:tc>
        <w:tc>
          <w:tcPr>
            <w:tcW w:w="50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33,337,967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29,266,186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33,349,916</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36,635,703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Operations: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7,858,857</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6,946,356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309,581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(4,726,848)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349,862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3,441,590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7,213,281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Distributions of net investment income to common stockholders</w:t>
            </w:r>
          </w:p>
        </w:tc>
        <w:tc>
          <w:tcPr>
            <w:tcW w:w="4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35,535</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40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35,535</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transactions: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 reinvestment plan</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68,043</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50,632,166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of public share offering</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187,750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4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255,793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50,787,711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assets at beginning of period</w:t>
            </w:r>
          </w:p>
        </w:tc>
        <w:tc>
          <w:tcPr>
            <w:tcW w:w="4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250,369,693</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207,875,659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0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5"/>
              </w:rPr>
              <w:t>Net assets at end of period (including undistributed net investment income of $1,792,376 in 2014 and</w:t>
            </w:r>
          </w:p>
        </w:tc>
        <w:tc>
          <w:tcPr>
            <w:tcW w:w="4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$7,045,514 in 2013)</w:t>
            </w:r>
          </w:p>
        </w:tc>
        <w:tc>
          <w:tcPr>
            <w:tcW w:w="4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254,102,611</w:t>
            </w:r>
          </w:p>
        </w:tc>
        <w:tc>
          <w:tcPr>
            <w:tcW w:w="50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265,872,325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4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7.62</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Common shares outstanding at end of period</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33,340,607</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31,936,480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3,441,590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7,213,280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stockholder’s equity resulting from operations to net cash provided</w:t>
            </w: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by (used in) in operations:</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(309,581)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4,726,848</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477,323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108,877</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275,889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152,854</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stock-based compensation expense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187,750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(25,073,979)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(48,671,615)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28,624,651</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(159,703)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(increase) in accounts receivable</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125,259</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time deposit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in other assets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(496,827)</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(266,595)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(2,224,782)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(1,650,794)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9,856,169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(39,027,596</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50,632,166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Offering costs of public share offering</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Distributions to stockholders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(8,229,453)</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(7,170,102)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(1,782,643)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(10,012,096</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43,359,641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3,433,675</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END OF PERIOD</w:t>
            </w:r>
          </w:p>
        </w:tc>
        <w:tc>
          <w:tcPr>
            <w:tcW w:w="100" w:type="dxa"/>
            <w:vAlign w:val="bottom"/>
            <w:tcBorders>
              <w:bottom w:val="single" w:sz="8" w:color="CCFFC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3,277,748</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5,070,801</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3,572,753</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3,388,313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4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68,043</w:t>
            </w:r>
          </w:p>
        </w:tc>
        <w:tc>
          <w:tcPr>
            <w:tcW w:w="50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237,606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41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Investment</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1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0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9, 11</w:t>
            </w:r>
          </w:p>
        </w:tc>
        <w:tc>
          <w:tcPr>
            <w:tcW w:w="120" w:type="dxa"/>
            <w:vAlign w:val="bottom"/>
            <w:tcBorders>
              <w:top w:val="single" w:sz="8" w:color="CCFFCC"/>
            </w:tcBorders>
            <w:shd w:val="clear" w:color="auto" w:fill="CCFFCC"/>
          </w:tcPr>
          <w:p>
            <w:pPr>
              <w:spacing w:after="0"/>
              <w:rPr>
                <w:sz w:val="14"/>
                <w:szCs w:val="14"/>
                <w:color w:val="auto"/>
              </w:rPr>
            </w:pPr>
          </w:p>
        </w:tc>
        <w:tc>
          <w:tcPr>
            <w:tcW w:w="378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First Lien Bond — 10.5% Cash, Due 6/19</w:t>
            </w:r>
          </w:p>
        </w:tc>
        <w:tc>
          <w:tcPr>
            <w:tcW w:w="1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20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72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Consumer goods: Non-durable</w:t>
            </w: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3700" w:type="dxa"/>
            <w:vAlign w:val="bottom"/>
            <w:gridSpan w:val="3"/>
            <w:shd w:val="clear" w:color="auto" w:fill="CCFFCC"/>
          </w:tcPr>
          <w:p>
            <w:pPr>
              <w:ind w:left="35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2,948,836</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2,385,000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Alaska Communications Systems Holdings, Inc.</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6.3%</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2,268,409</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2,272,381</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2,269,998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Anaren, Inc.</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5.5%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2/21</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1,995,000</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1,975,301</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1,975,050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ARSloane Acquisition, LLC</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Tranche B Term Loan (First Lien)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7.5%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10/19</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995,000</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985,847</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995,398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Asurion, LLC (fka Asurion Corporation)</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Incremental Tranche B-1 Term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5.0%</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1,941,879</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1,961,935</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1,949,413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9</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Term B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7.0%</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6/18</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713,636</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713,636</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703,860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BarBri, Inc. (Gemini Holdings, Inc.)</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Services: Consumer</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4.5%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7/19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2,986,675</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BBB Industries, LLC</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Automotive</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5.5%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2,850,000</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2,840,995</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2,851,140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 xml:space="preserve">Bellisio Foods, Inc. </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U.S. Term B Loans</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4.5%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8/19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3,764,136</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3,746,591</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3,764,136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Big Heart Pet Brands (fka Del Monte Corporation)</w:t>
            </w:r>
            <w:r>
              <w:rPr>
                <w:rFonts w:ascii="Arial" w:cs="Arial" w:eastAsia="Arial" w:hAnsi="Arial"/>
                <w:sz w:val="19"/>
                <w:szCs w:val="19"/>
                <w:color w:val="auto"/>
                <w:vertAlign w:val="superscript"/>
              </w:rPr>
              <w:t>9, 11</w:t>
            </w:r>
          </w:p>
        </w:tc>
        <w:tc>
          <w:tcPr>
            <w:tcW w:w="4140" w:type="dxa"/>
            <w:vAlign w:val="bottom"/>
            <w:gridSpan w:val="5"/>
            <w:shd w:val="clear" w:color="auto" w:fill="CCFFCC"/>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8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3.5%</w:t>
            </w:r>
          </w:p>
        </w:tc>
        <w:tc>
          <w:tcPr>
            <w:tcW w:w="3700" w:type="dxa"/>
            <w:vAlign w:val="bottom"/>
            <w:gridSpan w:val="3"/>
            <w:shd w:val="clear" w:color="auto" w:fill="CCFFCC"/>
          </w:tcPr>
          <w:p>
            <w:pPr>
              <w:ind w:left="20"/>
              <w:spacing w:after="0"/>
              <w:rPr>
                <w:sz w:val="20"/>
                <w:szCs w:val="20"/>
                <w:color w:val="auto"/>
              </w:rPr>
            </w:pPr>
            <w:r>
              <w:rPr>
                <w:rFonts w:ascii="Arial" w:cs="Arial" w:eastAsia="Arial" w:hAnsi="Arial"/>
                <w:sz w:val="14"/>
                <w:szCs w:val="14"/>
                <w:color w:val="auto"/>
              </w:rPr>
              <w:t>Cash, Due 3/20</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2,761,483</w:t>
            </w: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2,755,355</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2,758,045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65" w:lineRule="exact"/>
        <w:rPr>
          <w:sz w:val="20"/>
          <w:szCs w:val="20"/>
          <w:color w:val="auto"/>
        </w:rPr>
      </w:pPr>
    </w:p>
    <w:p>
      <w:pPr>
        <w:ind w:right="560"/>
        <w:spacing w:after="0" w:line="197"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124" w:lineRule="exact"/>
        <w:rPr>
          <w:sz w:val="20"/>
          <w:szCs w:val="20"/>
          <w:color w:val="auto"/>
        </w:rPr>
      </w:pPr>
    </w:p>
    <w:p>
      <w:pPr>
        <w:jc w:val="right"/>
        <w:ind w:right="1900"/>
        <w:spacing w:after="0"/>
        <w:rPr>
          <w:sz w:val="20"/>
          <w:szCs w:val="20"/>
          <w:color w:val="auto"/>
        </w:rPr>
      </w:pPr>
      <w:r>
        <w:rPr>
          <w:rFonts w:ascii="Arial" w:cs="Arial" w:eastAsia="Arial" w:hAnsi="Arial"/>
          <w:sz w:val="13"/>
          <w:szCs w:val="13"/>
          <w:color w:val="auto"/>
        </w:rPr>
        <w:t>Carolina Beverage Group LLC</w:t>
      </w:r>
      <w:r>
        <w:rPr>
          <w:rFonts w:ascii="Arial" w:cs="Arial" w:eastAsia="Arial" w:hAnsi="Arial"/>
          <w:sz w:val="21"/>
          <w:szCs w:val="21"/>
          <w:color w:val="auto"/>
          <w:vertAlign w:val="superscript"/>
        </w:rPr>
        <w:t>9</w:t>
      </w:r>
    </w:p>
    <w:p>
      <w:pPr>
        <w:jc w:val="right"/>
        <w:ind w:right="1900"/>
        <w:spacing w:after="0"/>
        <w:rPr>
          <w:sz w:val="20"/>
          <w:szCs w:val="20"/>
          <w:color w:val="auto"/>
        </w:rPr>
      </w:pPr>
      <w:r>
        <w:rPr>
          <w:rFonts w:ascii="Arial" w:cs="Arial" w:eastAsia="Arial" w:hAnsi="Arial"/>
          <w:sz w:val="14"/>
          <w:szCs w:val="14"/>
          <w:i w:val="1"/>
          <w:iCs w:val="1"/>
          <w:color w:val="auto"/>
        </w:rPr>
        <w:t>Beverage, Food and Tobacco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175" w:lineRule="exact"/>
        <w:rPr>
          <w:sz w:val="20"/>
          <w:szCs w:val="20"/>
          <w:color w:val="auto"/>
        </w:rPr>
      </w:pPr>
    </w:p>
    <w:p>
      <w:pPr>
        <w:ind w:left="180" w:right="240" w:hanging="161"/>
        <w:spacing w:after="0" w:line="203" w:lineRule="auto"/>
        <w:rPr>
          <w:sz w:val="20"/>
          <w:szCs w:val="20"/>
          <w:color w:val="auto"/>
        </w:rPr>
      </w:pPr>
      <w:r>
        <w:rPr>
          <w:rFonts w:ascii="Arial" w:cs="Arial" w:eastAsia="Arial" w:hAnsi="Arial"/>
          <w:sz w:val="14"/>
          <w:szCs w:val="14"/>
          <w:color w:val="auto"/>
        </w:rPr>
        <w:t>Clover Technologies Group, LLC (Clover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CoActive Technologies LLC (fka CoActive Technologies, Inc.)</w:t>
      </w:r>
      <w:r>
        <w:rPr>
          <w:rFonts w:ascii="Arial" w:cs="Arial" w:eastAsia="Arial" w:hAnsi="Arial"/>
          <w:sz w:val="21"/>
          <w:szCs w:val="21"/>
          <w:color w:val="auto"/>
          <w:vertAlign w:val="superscript"/>
        </w:rPr>
        <w:t>7,</w:t>
      </w:r>
    </w:p>
    <w:p>
      <w:pPr>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CSM Bakery Supplies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36" w:lineRule="exact"/>
        <w:rPr>
          <w:sz w:val="20"/>
          <w:szCs w:val="20"/>
          <w:color w:val="auto"/>
        </w:rPr>
      </w:pPr>
    </w:p>
    <w:p>
      <w:pPr>
        <w:jc w:val="right"/>
        <w:ind w:right="1920"/>
        <w:spacing w:after="0"/>
        <w:rPr>
          <w:sz w:val="20"/>
          <w:szCs w:val="20"/>
          <w:color w:val="auto"/>
        </w:rPr>
      </w:pPr>
      <w:r>
        <w:rPr>
          <w:rFonts w:ascii="Arial" w:cs="Arial" w:eastAsia="Arial" w:hAnsi="Arial"/>
          <w:sz w:val="13"/>
          <w:szCs w:val="13"/>
          <w:color w:val="auto"/>
        </w:rPr>
        <w:t>CSM Bakery Supplies LLC</w:t>
      </w:r>
      <w:r>
        <w:rPr>
          <w:rFonts w:ascii="Arial" w:cs="Arial" w:eastAsia="Arial" w:hAnsi="Arial"/>
          <w:sz w:val="20"/>
          <w:szCs w:val="20"/>
          <w:color w:val="auto"/>
          <w:vertAlign w:val="superscript"/>
        </w:rPr>
        <w:t>9, 11</w:t>
      </w:r>
    </w:p>
    <w:p>
      <w:pPr>
        <w:jc w:val="right"/>
        <w:ind w:right="1900"/>
        <w:spacing w:after="0"/>
        <w:rPr>
          <w:sz w:val="20"/>
          <w:szCs w:val="20"/>
          <w:color w:val="auto"/>
        </w:rPr>
      </w:pPr>
      <w:r>
        <w:rPr>
          <w:rFonts w:ascii="Arial" w:cs="Arial" w:eastAsia="Arial" w:hAnsi="Arial"/>
          <w:sz w:val="14"/>
          <w:szCs w:val="14"/>
          <w:i w:val="1"/>
          <w:iCs w:val="1"/>
          <w:color w:val="auto"/>
        </w:rPr>
        <w:t>Beverage, Food and Tobacco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DBI Holding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DBI Holding LLC</w:t>
      </w:r>
      <w:r>
        <w:rPr>
          <w:rFonts w:ascii="Arial" w:cs="Arial" w:eastAsia="Arial" w:hAnsi="Arial"/>
          <w:sz w:val="23"/>
          <w:szCs w:val="23"/>
          <w:color w:val="auto"/>
          <w:vertAlign w:val="superscript"/>
        </w:rPr>
        <w:t>9</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24" w:lineRule="exact"/>
        <w:rPr>
          <w:sz w:val="20"/>
          <w:szCs w:val="20"/>
          <w:color w:val="auto"/>
        </w:rPr>
      </w:pPr>
    </w:p>
    <w:p>
      <w:pPr>
        <w:jc w:val="right"/>
        <w:ind w:right="2260"/>
        <w:spacing w:after="0"/>
        <w:rPr>
          <w:sz w:val="20"/>
          <w:szCs w:val="20"/>
          <w:color w:val="auto"/>
        </w:rPr>
      </w:pPr>
      <w:r>
        <w:rPr>
          <w:rFonts w:ascii="Arial" w:cs="Arial" w:eastAsia="Arial" w:hAnsi="Arial"/>
          <w:sz w:val="13"/>
          <w:szCs w:val="13"/>
          <w:color w:val="auto"/>
        </w:rPr>
        <w:t>Drew Marine Group Inc.</w:t>
      </w:r>
      <w:r>
        <w:rPr>
          <w:rFonts w:ascii="Arial" w:cs="Arial" w:eastAsia="Arial" w:hAnsi="Arial"/>
          <w:sz w:val="21"/>
          <w:szCs w:val="21"/>
          <w:color w:val="auto"/>
          <w:vertAlign w:val="superscript"/>
        </w:rPr>
        <w:t>9</w:t>
      </w:r>
    </w:p>
    <w:p>
      <w:pPr>
        <w:jc w:val="right"/>
        <w:ind w:right="2280"/>
        <w:spacing w:after="0"/>
        <w:rPr>
          <w:sz w:val="20"/>
          <w:szCs w:val="20"/>
          <w:color w:val="auto"/>
        </w:rPr>
      </w:pPr>
      <w:r>
        <w:rPr>
          <w:rFonts w:ascii="Arial" w:cs="Arial" w:eastAsia="Arial" w:hAnsi="Arial"/>
          <w:sz w:val="14"/>
          <w:szCs w:val="14"/>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Secured Loan — New Term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CCFFCC"/>
          </w:tcPr>
          <w:p>
            <w:pPr>
              <w:spacing w:after="0"/>
              <w:rPr>
                <w:sz w:val="13"/>
                <w:szCs w:val="13"/>
                <w:color w:val="auto"/>
              </w:rPr>
            </w:pPr>
          </w:p>
        </w:tc>
        <w:tc>
          <w:tcPr>
            <w:tcW w:w="3760" w:type="dxa"/>
            <w:vAlign w:val="bottom"/>
            <w:shd w:val="clear" w:color="auto" w:fill="CCFFCC"/>
          </w:tcPr>
          <w:p>
            <w:pPr>
              <w:spacing w:after="0" w:line="152" w:lineRule="exact"/>
              <w:rPr>
                <w:sz w:val="20"/>
                <w:szCs w:val="20"/>
                <w:color w:val="auto"/>
              </w:rPr>
            </w:pPr>
            <w:r>
              <w:rPr>
                <w:rFonts w:ascii="Arial" w:cs="Arial" w:eastAsia="Arial" w:hAnsi="Arial"/>
                <w:sz w:val="14"/>
                <w:szCs w:val="14"/>
                <w:color w:val="auto"/>
              </w:rPr>
              <w:t>4.0% Cash, Due 5/19</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3,980,000</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3,993,296</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3,998,666</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Secured Loan —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10.0% Cash, Due 11/14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351,098</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351,098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350,923</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w w:val="94"/>
              </w:rPr>
              <w:t>Senior Secured Bond — 10.625% - 08/2018 - 143818AA0 144A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10.6% Cash, Due 8/18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1,518,123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1,619,550</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5.3% Cash, Due 10/20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1,977,181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1,992,070</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6.8% Cash,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2,813,276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2,844,960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2,813,838</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7.0% Cash, 7.0% PIK, , Due 1/15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2,063,007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1,987,358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1,852,580</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Preferred Stock — 12.000% - 12/2049 - Series A Income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Preferred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12.0% Cash, 2.0% PIK, , Due 12/49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10,054,444</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10,054,444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10,657,711</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8.5% Cash, Due 7/21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3,018,252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3,003,900</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4.8% Cash, Due 7/20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3,648,333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3,646,883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3,665,845</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Unsecured Bond — 13% - 09/2019 – PIK Note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.0% Cash, 13.0% PIK, Due 9/19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3,210,000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2,935,540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2,934,903</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Subordinated Bond — 13% - 09/2019 - Senior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Subordinated Note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12.0% Cash, 1.0% PIK, , Due 9/19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4,290,000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4,268,289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4,268,550</w:t>
            </w: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8.0% Cash, Due 5/21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2,494,023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2,501,250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-3892550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-3463925</wp:posOffset>
            </wp:positionV>
            <wp:extent cx="72466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-3129280</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-2795270</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-2460625</wp:posOffset>
            </wp:positionV>
            <wp:extent cx="724662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-2023110</wp:posOffset>
            </wp:positionV>
            <wp:extent cx="72466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-1619885</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-1285875</wp:posOffset>
            </wp:positionV>
            <wp:extent cx="72466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-951230</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-616585</wp:posOffset>
            </wp:positionV>
            <wp:extent cx="72466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-4236085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760" w:space="20"/>
            <w:col w:w="7640"/>
          </w:cols>
          <w:pgMar w:left="240" w:top="88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8"/>
                <w:szCs w:val="18"/>
                <w:color w:val="auto"/>
                <w:vertAlign w:val="superscript"/>
              </w:rPr>
              <w:t>9, 11</w:t>
            </w:r>
          </w:p>
        </w:tc>
        <w:tc>
          <w:tcPr>
            <w:tcW w:w="120" w:type="dxa"/>
            <w:vAlign w:val="bottom"/>
            <w:tcBorders>
              <w:top w:val="single" w:sz="8" w:color="CCFFCC"/>
            </w:tcBorders>
            <w:shd w:val="clear" w:color="auto" w:fill="CCFFCC"/>
          </w:tcPr>
          <w:p>
            <w:pPr>
              <w:spacing w:after="0"/>
              <w:rPr>
                <w:sz w:val="14"/>
                <w:szCs w:val="14"/>
                <w:color w:val="auto"/>
              </w:rPr>
            </w:pPr>
          </w:p>
        </w:tc>
        <w:tc>
          <w:tcPr>
            <w:tcW w:w="376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8.0%</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6/18</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1,898,703</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1,840,772</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1,898,323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EWT Holdings III Corp. (fka WTG Holdings III Corp.)</w:t>
            </w:r>
            <w:r>
              <w:rPr>
                <w:rFonts w:ascii="Arial" w:cs="Arial" w:eastAsia="Arial" w:hAnsi="Arial"/>
                <w:sz w:val="19"/>
                <w:szCs w:val="19"/>
                <w:color w:val="auto"/>
                <w:vertAlign w:val="superscript"/>
              </w:rPr>
              <w:t>9</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8.5%</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1/22</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3,980,507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Fender Musical Instruments Corporation</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Hotel, Gaming &amp; Leisure</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5.8%</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4/19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2,415,221</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2,426,762</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2,416,187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FHC Health Systems,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5.8%</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3,650,000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3,619,083</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3,651,095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9</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11% CashDue 4/19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2,953,454</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3,001,500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2018 Dollar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4.2%</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1,876,985</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2,008,550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Flexera Software LLC (fka Flexera Software,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Retired 04/02/2014</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6.0%</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2,715,455</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2,725,685</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2,724,361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Fram Group Holdings Inc./Prestone Holdings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Automotive</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6.5%</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7/17</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965,109</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969,174</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961,924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Getty Images,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10/19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3,701,888</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3,700,841</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3,557,680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Ginn LA Conduit Lender, Inc.</w:t>
            </w:r>
            <w:r>
              <w:rPr>
                <w:rFonts w:ascii="Arial" w:cs="Arial" w:eastAsia="Arial" w:hAnsi="Arial"/>
                <w:sz w:val="18"/>
                <w:szCs w:val="18"/>
                <w:color w:val="auto"/>
                <w:vertAlign w:val="superscript"/>
              </w:rPr>
              <w:t>7, 9</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First Lien Tranche A Credit-Linked</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760" w:type="dxa"/>
            <w:vAlign w:val="bottom"/>
            <w:gridSpan w:val="2"/>
            <w:shd w:val="clear" w:color="auto" w:fill="CCFFCC"/>
          </w:tcPr>
          <w:p>
            <w:pPr>
              <w:spacing w:after="0" w:line="116" w:lineRule="exact"/>
              <w:rPr>
                <w:sz w:val="20"/>
                <w:szCs w:val="20"/>
                <w:color w:val="auto"/>
              </w:rPr>
            </w:pPr>
            <w:r>
              <w:rPr>
                <w:rFonts w:ascii="Arial" w:cs="Arial" w:eastAsia="Arial" w:hAnsi="Arial"/>
                <w:sz w:val="13"/>
                <w:szCs w:val="13"/>
                <w:color w:val="auto"/>
              </w:rPr>
              <w:t>Deposit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Construction &amp; Building</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7.8%</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2/14</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1,239,975</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1,200,977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46,499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Ginn LA Conduit Lender, Inc.</w:t>
            </w:r>
            <w:r>
              <w:rPr>
                <w:rFonts w:ascii="Arial" w:cs="Arial" w:eastAsia="Arial" w:hAnsi="Arial"/>
                <w:sz w:val="19"/>
                <w:szCs w:val="19"/>
                <w:color w:val="auto"/>
                <w:vertAlign w:val="superscript"/>
              </w:rPr>
              <w:t>7, 9</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First Lien Tranche B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Construction &amp; Building</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w w:val="93"/>
              </w:rPr>
              <w:t>7.8%</w:t>
            </w:r>
          </w:p>
        </w:tc>
        <w:tc>
          <w:tcPr>
            <w:tcW w:w="344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2/14</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2,658,055</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2,574,458</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99,677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Ginn LA Conduit Lender, Inc.</w:t>
            </w:r>
            <w:r>
              <w:rPr>
                <w:rFonts w:ascii="Arial" w:cs="Arial" w:eastAsia="Arial" w:hAnsi="Arial"/>
                <w:sz w:val="19"/>
                <w:szCs w:val="19"/>
                <w:color w:val="auto"/>
                <w:vertAlign w:val="superscript"/>
              </w:rPr>
              <w:t>7, 9</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Construction &amp; Building</w:t>
            </w:r>
          </w:p>
        </w:tc>
        <w:tc>
          <w:tcPr>
            <w:tcW w:w="120" w:type="dxa"/>
            <w:vAlign w:val="bottom"/>
            <w:shd w:val="clear" w:color="auto" w:fill="CCFFCC"/>
          </w:tcPr>
          <w:p>
            <w:pPr>
              <w:spacing w:after="0"/>
              <w:rPr>
                <w:sz w:val="14"/>
                <w:szCs w:val="14"/>
                <w:color w:val="auto"/>
              </w:rPr>
            </w:pPr>
          </w:p>
        </w:tc>
        <w:tc>
          <w:tcPr>
            <w:tcW w:w="37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11.8% Cash, Due 6/12</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2,715,997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9" w:name="page10"/>
    <w:bookmarkEnd w:id="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Hargray Communications Group, Inc. (HCP Acquisition LLC)</w:t>
      </w:r>
      <w:r>
        <w:rPr>
          <w:rFonts w:ascii="Arial" w:cs="Arial" w:eastAsia="Arial" w:hAnsi="Arial"/>
          <w:sz w:val="21"/>
          <w:szCs w:val="21"/>
          <w:color w:val="auto"/>
          <w:vertAlign w:val="superscript"/>
        </w:rPr>
        <w:t>9,</w:t>
      </w:r>
    </w:p>
    <w:p>
      <w:pPr>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145"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126"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9.0%</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11/20</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4,000,000</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3,927,441</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3,995,200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3,970,000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3,974,877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3,970,397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8.5%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2,924,400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2,821,500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13.8% Cash, Due 7/18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6,872,610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6,650,000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1,421,105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1,378,742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1,283,542</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2,951,373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2,979,286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B-3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3,434,375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3,404,630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3,439,870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B-4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1,490,625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1,483,369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1,491,818</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4,074,074</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4,054,871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4,004,407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12.0% Cash, 3.3% PIK, , Due 5/15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247,636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228,563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1,203,905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1,203,905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1,203,905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2,900,826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2,900,826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2,900,826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-3404235</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-3094990</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-2786380</wp:posOffset>
            </wp:positionV>
            <wp:extent cx="72466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-2477770</wp:posOffset>
            </wp:positionV>
            <wp:extent cx="72466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-2169160</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-1757680</wp:posOffset>
            </wp:positionV>
            <wp:extent cx="72466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-1448435</wp:posOffset>
            </wp:positionV>
            <wp:extent cx="72466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-1139825</wp:posOffset>
            </wp:positionV>
            <wp:extent cx="72466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-3721100</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740" w:space="40"/>
            <w:col w:w="7640"/>
          </w:cols>
          <w:pgMar w:left="240" w:top="88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0" w:name="page11"/>
    <w:bookmarkEnd w:id="1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Landslide Holdings, Inc. (Crimson Acquisition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LTS Buyer LLC (Sidera Networks,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Michael Foods Group, Inc. (f/k/a M-Foods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Beverage, Food and Tobacco</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134" w:lineRule="exact"/>
        <w:rPr>
          <w:sz w:val="20"/>
          <w:szCs w:val="20"/>
          <w:color w:val="auto"/>
        </w:rPr>
      </w:pPr>
    </w:p>
    <w:p>
      <w:pPr>
        <w:ind w:left="180" w:right="760" w:hanging="161"/>
        <w:spacing w:after="0" w:line="188" w:lineRule="auto"/>
        <w:rPr>
          <w:sz w:val="20"/>
          <w:szCs w:val="20"/>
          <w:color w:val="auto"/>
        </w:rPr>
      </w:pPr>
      <w:r>
        <w:rPr>
          <w:rFonts w:ascii="Arial" w:cs="Arial" w:eastAsia="Arial" w:hAnsi="Arial"/>
          <w:sz w:val="13"/>
          <w:szCs w:val="13"/>
          <w:color w:val="auto"/>
        </w:rPr>
        <w:t>Puerto Rico Cable Acquisition Company Inc.</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Media: Broadcasting &amp; Subscription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Restorix Health,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5/18</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2,692,152</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2,680,581</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2,693,767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New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3,482,500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3,492,291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3,483,545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3,034,968</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3,034,968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40,669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4/20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3,970,000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3,964,397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3,952,651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3,970,000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3,935,766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3,970,794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12/19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3,990,000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3,952,164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3,989,202</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Facility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1,751,716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1,760,276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1,752,592</w:t>
            </w: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 w:type="dxa"/>
            <w:vAlign w:val="bottom"/>
            <w:gridSpan w:val="2"/>
          </w:tcPr>
          <w:p>
            <w:pPr>
              <w:ind w:left="120"/>
              <w:spacing w:after="0"/>
              <w:rPr>
                <w:sz w:val="20"/>
                <w:szCs w:val="20"/>
                <w:color w:val="auto"/>
              </w:rPr>
            </w:pPr>
            <w:r>
              <w:rPr>
                <w:rFonts w:ascii="Arial" w:cs="Arial" w:eastAsia="Arial" w:hAnsi="Arial"/>
                <w:sz w:val="14"/>
                <w:szCs w:val="14"/>
                <w:color w:val="auto"/>
                <w:w w:val="93"/>
              </w:rPr>
              <w:t>5.8%</w:t>
            </w:r>
          </w:p>
        </w:tc>
        <w:tc>
          <w:tcPr>
            <w:tcW w:w="344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1,995,000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1,981,795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1,995,000</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3,539,170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3,527,568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3,540,586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958,585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960,140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958,969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2,875,756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2,863,189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2,876,907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Unsecured Loan — Subordinated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14.0% Cash, Due 6/18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4,000,000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-3301365</wp:posOffset>
            </wp:positionV>
            <wp:extent cx="72466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-2992120</wp:posOffset>
            </wp:positionV>
            <wp:extent cx="72466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-2683510</wp:posOffset>
            </wp:positionV>
            <wp:extent cx="72466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-2374900</wp:posOffset>
            </wp:positionV>
            <wp:extent cx="72466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-2066290</wp:posOffset>
            </wp:positionV>
            <wp:extent cx="72466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-1757680</wp:posOffset>
            </wp:positionV>
            <wp:extent cx="724662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-1448435</wp:posOffset>
            </wp:positionV>
            <wp:extent cx="72466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-1139825</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-3618230</wp:posOffset>
            </wp:positionV>
            <wp:extent cx="72466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20" w:space="160"/>
            <w:col w:w="7640"/>
          </w:cols>
          <w:pgMar w:left="240" w:top="888" w:right="239" w:bottom="1440" w:gutter="0" w:footer="0" w:header="0"/>
        </w:sectPr>
      </w:pPr>
    </w:p>
    <w:bookmarkStart w:id="11" w:name="page12"/>
    <w:bookmarkEnd w:id="1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Safenet,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 L.P.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Stafford Logistics, Inc.(dba Custom Ecology,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Steinway Musical Instruments,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Sun Products Corporation, The (fka Huish Detergents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126" w:lineRule="exact"/>
        <w:rPr>
          <w:sz w:val="20"/>
          <w:szCs w:val="20"/>
          <w:color w:val="auto"/>
        </w:rPr>
      </w:pPr>
    </w:p>
    <w:p>
      <w:pPr>
        <w:ind w:left="180" w:right="820" w:hanging="161"/>
        <w:spacing w:after="0" w:line="221" w:lineRule="auto"/>
        <w:rPr>
          <w:sz w:val="20"/>
          <w:szCs w:val="20"/>
          <w:color w:val="auto"/>
        </w:rPr>
      </w:pPr>
      <w:r>
        <w:rPr>
          <w:rFonts w:ascii="Arial" w:cs="Arial" w:eastAsia="Arial" w:hAnsi="Arial"/>
          <w:sz w:val="13"/>
          <w:szCs w:val="13"/>
          <w:color w:val="auto"/>
        </w:rPr>
        <w:t>TPF II LC, LLC (TPF II Rolling Hills, LLC)</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Utilities: Electric</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CCFFCC"/>
          </w:tcPr>
          <w:p>
            <w:pPr>
              <w:spacing w:after="0"/>
              <w:rPr>
                <w:sz w:val="13"/>
                <w:szCs w:val="13"/>
                <w:color w:val="auto"/>
              </w:rPr>
            </w:pPr>
          </w:p>
        </w:tc>
        <w:tc>
          <w:tcPr>
            <w:tcW w:w="3760" w:type="dxa"/>
            <w:vAlign w:val="bottom"/>
            <w:gridSpan w:val="2"/>
            <w:shd w:val="clear" w:color="auto" w:fill="CCFFCC"/>
          </w:tcPr>
          <w:p>
            <w:pPr>
              <w:spacing w:after="0" w:line="152" w:lineRule="exact"/>
              <w:rPr>
                <w:sz w:val="20"/>
                <w:szCs w:val="20"/>
                <w:color w:val="auto"/>
              </w:rPr>
            </w:pPr>
            <w:r>
              <w:rPr>
                <w:rFonts w:ascii="Arial" w:cs="Arial" w:eastAsia="Arial" w:hAnsi="Arial"/>
                <w:sz w:val="14"/>
                <w:szCs w:val="14"/>
                <w:color w:val="auto"/>
              </w:rPr>
              <w:t>11.3% Cash, Due 9/19</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6,700,000</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6,633,200</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6,633,000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2,970,000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3,015,000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2,992,500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2,978,319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2,998,111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2,207,890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2,189,305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2,185,811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3,466,593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3,445,324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3,431,927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2,951,457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2,978,096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9.3%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990,755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1,001,800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3,932,735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3,776,850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2,937,030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2,980,180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4,797,266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4,778,509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4,796,307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3,837,813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3,822,807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3,837,045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-2992120</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-2683510</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-2374900</wp:posOffset>
            </wp:positionV>
            <wp:extent cx="72466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-2066290</wp:posOffset>
            </wp:positionV>
            <wp:extent cx="72466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-1757680</wp:posOffset>
            </wp:positionV>
            <wp:extent cx="72466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-1448435</wp:posOffset>
            </wp:positionV>
            <wp:extent cx="72466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-1139825</wp:posOffset>
            </wp:positionV>
            <wp:extent cx="72466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-3309620</wp:posOffset>
            </wp:positionV>
            <wp:extent cx="72466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40" w:space="140"/>
            <w:col w:w="7640"/>
          </w:cols>
          <w:pgMar w:left="240" w:top="888" w:right="239" w:bottom="1440" w:gutter="0" w:footer="0" w:header="0"/>
        </w:sectPr>
      </w:pPr>
    </w:p>
    <w:bookmarkStart w:id="12" w:name="page13"/>
    <w:bookmarkEnd w:id="1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134" w:lineRule="exact"/>
        <w:rPr>
          <w:sz w:val="20"/>
          <w:szCs w:val="20"/>
          <w:color w:val="auto"/>
        </w:rPr>
      </w:pPr>
    </w:p>
    <w:p>
      <w:pPr>
        <w:ind w:left="180" w:right="800" w:hanging="161"/>
        <w:spacing w:after="0" w:line="203" w:lineRule="auto"/>
        <w:rPr>
          <w:sz w:val="20"/>
          <w:szCs w:val="20"/>
          <w:color w:val="auto"/>
        </w:rPr>
      </w:pPr>
      <w:r>
        <w:rPr>
          <w:rFonts w:ascii="Arial" w:cs="Arial" w:eastAsia="Arial" w:hAnsi="Arial"/>
          <w:sz w:val="14"/>
          <w:szCs w:val="14"/>
          <w:color w:val="auto"/>
        </w:rPr>
        <w:t>TriZetto Group, Inc. (TZ Merger Sub,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High Tech Industries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TUI University, LLC</w:t>
      </w:r>
      <w:r>
        <w:rPr>
          <w:rFonts w:ascii="Arial" w:cs="Arial" w:eastAsia="Arial" w:hAnsi="Arial"/>
          <w:sz w:val="21"/>
          <w:szCs w:val="21"/>
          <w:color w:val="auto"/>
          <w:vertAlign w:val="superscript"/>
        </w:rPr>
        <w:t>9</w:t>
      </w:r>
    </w:p>
    <w:p>
      <w:pPr>
        <w:jc w:val="right"/>
        <w:ind w:right="2200"/>
        <w:spacing w:after="0"/>
        <w:rPr>
          <w:sz w:val="20"/>
          <w:szCs w:val="20"/>
          <w:color w:val="auto"/>
        </w:rPr>
      </w:pPr>
      <w:r>
        <w:rPr>
          <w:rFonts w:ascii="Arial" w:cs="Arial" w:eastAsia="Arial" w:hAnsi="Arial"/>
          <w:sz w:val="14"/>
          <w:szCs w:val="14"/>
          <w:i w:val="1"/>
          <w:iCs w:val="1"/>
          <w:color w:val="auto"/>
        </w:rPr>
        <w:t>Services: Consumer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124" w:lineRule="exact"/>
        <w:rPr>
          <w:sz w:val="20"/>
          <w:szCs w:val="20"/>
          <w:color w:val="auto"/>
        </w:rPr>
      </w:pPr>
    </w:p>
    <w:p>
      <w:pPr>
        <w:spacing w:after="0" w:line="197" w:lineRule="auto"/>
        <w:rPr>
          <w:sz w:val="20"/>
          <w:szCs w:val="20"/>
          <w:color w:val="auto"/>
        </w:rPr>
      </w:pPr>
      <w:r>
        <w:rPr>
          <w:rFonts w:ascii="Arial" w:cs="Arial" w:eastAsia="Arial" w:hAnsi="Arial"/>
          <w:sz w:val="14"/>
          <w:szCs w:val="14"/>
          <w:color w:val="auto"/>
        </w:rPr>
        <w:t>Vestcom International, Inc. (fka Vector Investment Holdings,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Unsecured Loan — Revolving Credit Facility</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9.0%</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11/17</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23,000,000</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23,000,000</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3,667,177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3,673,840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3,630,139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11.0% Cash, Due 12/17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10,400,000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10,244,827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10,608,000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10/14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1,647,733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1,640,827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1,637,023</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1,004,555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979,300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3.5%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1,906,653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1,920,251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1,873,296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2,917,151</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2,914,899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2,913,300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12/18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2,931,221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2,970,297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2,994,755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2,966,277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2,994,755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3,993,007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3,955,920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3,993,007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Subordinated Note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14.0% Cash, Due 10/17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6,648,596</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6,617,039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-3086735</wp:posOffset>
            </wp:positionV>
            <wp:extent cx="72466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-2778125</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-2469515</wp:posOffset>
            </wp:positionV>
            <wp:extent cx="72466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-2160270</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-1851660</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-1543050</wp:posOffset>
            </wp:positionV>
            <wp:extent cx="724662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-1234440</wp:posOffset>
            </wp:positionV>
            <wp:extent cx="72466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-3404235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260"/>
            <w:col w:w="7640"/>
          </w:cols>
          <w:pgMar w:left="240" w:top="888" w:right="239" w:bottom="1440" w:gutter="0" w:footer="0" w:header="0"/>
        </w:sectPr>
      </w:pPr>
    </w:p>
    <w:bookmarkStart w:id="13" w:name="page14"/>
    <w:bookmarkEnd w:id="13"/>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 Principal Business</w:t>
      </w:r>
    </w:p>
    <w:p>
      <w:pPr>
        <w:spacing w:after="0" w:line="197" w:lineRule="auto"/>
        <w:rPr>
          <w:sz w:val="20"/>
          <w:szCs w:val="20"/>
          <w:color w:val="auto"/>
        </w:rPr>
      </w:pPr>
      <w:r>
        <w:rPr>
          <w:rFonts w:ascii="Arial" w:cs="Arial" w:eastAsia="Arial" w:hAnsi="Arial"/>
          <w:sz w:val="14"/>
          <w:szCs w:val="14"/>
          <w:color w:val="auto"/>
        </w:rPr>
        <w:t>WideOpenWest Finance , LLC</w:t>
      </w:r>
      <w:r>
        <w:rPr>
          <w:rFonts w:ascii="Arial" w:cs="Arial" w:eastAsia="Arial" w:hAnsi="Arial"/>
          <w:sz w:val="23"/>
          <w:szCs w:val="23"/>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47" w:lineRule="exact"/>
        <w:rPr>
          <w:sz w:val="20"/>
          <w:szCs w:val="20"/>
          <w:color w:val="auto"/>
        </w:rPr>
      </w:pPr>
    </w:p>
    <w:p>
      <w:pPr>
        <w:ind w:left="180" w:right="580" w:hanging="161"/>
        <w:spacing w:after="0" w:line="342" w:lineRule="auto"/>
        <w:rPr>
          <w:sz w:val="20"/>
          <w:szCs w:val="20"/>
          <w:color w:val="auto"/>
        </w:rPr>
      </w:pPr>
      <w:r>
        <w:rPr>
          <w:rFonts w:ascii="Arial" w:cs="Arial" w:eastAsia="Arial" w:hAnsi="Arial"/>
          <w:sz w:val="12"/>
          <w:szCs w:val="12"/>
          <w:b w:val="1"/>
          <w:bCs w:val="1"/>
          <w:color w:val="auto"/>
        </w:rPr>
        <w:t>Total Investment in Debt Securities (104%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CCFFCC"/>
          </w:tcPr>
          <w:p>
            <w:pPr>
              <w:spacing w:after="0"/>
              <w:rPr>
                <w:sz w:val="13"/>
                <w:szCs w:val="13"/>
                <w:color w:val="auto"/>
              </w:rPr>
            </w:pPr>
          </w:p>
        </w:tc>
        <w:tc>
          <w:tcPr>
            <w:tcW w:w="3760" w:type="dxa"/>
            <w:vAlign w:val="bottom"/>
            <w:shd w:val="clear" w:color="auto" w:fill="CCFFCC"/>
          </w:tcPr>
          <w:p>
            <w:pPr>
              <w:spacing w:after="0" w:line="152" w:lineRule="exact"/>
              <w:rPr>
                <w:sz w:val="20"/>
                <w:szCs w:val="20"/>
                <w:color w:val="auto"/>
              </w:rPr>
            </w:pPr>
            <w:r>
              <w:rPr>
                <w:rFonts w:ascii="Arial" w:cs="Arial" w:eastAsia="Arial" w:hAnsi="Arial"/>
                <w:sz w:val="14"/>
                <w:szCs w:val="14"/>
                <w:color w:val="auto"/>
              </w:rPr>
              <w:t>4.8% Cash, Due 4/19</w:t>
            </w:r>
          </w:p>
        </w:tc>
        <w:tc>
          <w:tcPr>
            <w:tcW w:w="280" w:type="dxa"/>
            <w:vAlign w:val="bottom"/>
            <w:gridSpan w:val="2"/>
            <w:shd w:val="clear" w:color="auto" w:fill="CCFFC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2,977,444</w:t>
            </w:r>
          </w:p>
        </w:tc>
        <w:tc>
          <w:tcPr>
            <w:tcW w:w="3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2,997,029</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2,986,376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11.8% Cash, Due 5/17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1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4,975,682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5,094,000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11.8% Cash, Due 5/17</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2,985,409</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3,056,400</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275,923,579</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273,777,654</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264,791,172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-840105</wp:posOffset>
            </wp:positionV>
            <wp:extent cx="724662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-530860</wp:posOffset>
            </wp:positionV>
            <wp:extent cx="72466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-205105</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-1156970</wp:posOffset>
            </wp:positionV>
            <wp:extent cx="72466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720"/>
            <w:col w:w="7640"/>
          </w:cols>
          <w:pgMar w:left="240" w:top="88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Investment</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Interest/Shares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20" w:type="dxa"/>
            <w:vAlign w:val="bottom"/>
            <w:tcBorders>
              <w:top w:val="single" w:sz="8" w:color="CCFFCC"/>
            </w:tcBorders>
            <w:shd w:val="clear" w:color="auto" w:fill="CCFFCC"/>
          </w:tcPr>
          <w:p>
            <w:pPr>
              <w:spacing w:after="0"/>
              <w:rPr>
                <w:sz w:val="14"/>
                <w:szCs w:val="14"/>
                <w:color w:val="auto"/>
              </w:rPr>
            </w:pPr>
          </w:p>
        </w:tc>
        <w:tc>
          <w:tcPr>
            <w:tcW w:w="1660" w:type="dxa"/>
            <w:vAlign w:val="bottom"/>
            <w:tcBorders>
              <w:top w:val="single" w:sz="8" w:color="auto"/>
            </w:tcBorders>
            <w:shd w:val="clear" w:color="auto" w:fill="CCFFCC"/>
          </w:tcPr>
          <w:p>
            <w:pPr>
              <w:spacing w:after="0"/>
              <w:rPr>
                <w:sz w:val="14"/>
                <w:szCs w:val="14"/>
                <w:color w:val="auto"/>
              </w:rPr>
            </w:pPr>
          </w:p>
        </w:tc>
        <w:tc>
          <w:tcPr>
            <w:tcW w:w="21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1,000,000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w w:val="94"/>
              </w:rPr>
              <w:t>Series A Preferred Interests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286,545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A Warrants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B Warrants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C Warrants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Common Stock 2013</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314,325</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113,912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gridSpan w:val="2"/>
            <w:shd w:val="clear" w:color="auto" w:fill="CCFFCC"/>
          </w:tcPr>
          <w:p>
            <w:pPr>
              <w:spacing w:after="0" w:line="140" w:lineRule="exact"/>
              <w:rPr>
                <w:sz w:val="20"/>
                <w:szCs w:val="20"/>
                <w:color w:val="auto"/>
              </w:rPr>
            </w:pPr>
            <w:r>
              <w:rPr>
                <w:rFonts w:ascii="Arial" w:cs="Arial" w:eastAsia="Arial" w:hAnsi="Arial"/>
                <w:sz w:val="14"/>
                <w:szCs w:val="14"/>
                <w:color w:val="auto"/>
              </w:rPr>
              <w:t>Caribe Media Inc. (fka Caribe Information Investments</w:t>
            </w:r>
          </w:p>
        </w:tc>
        <w:tc>
          <w:tcPr>
            <w:tcW w:w="1660" w:type="dxa"/>
            <w:vAlign w:val="bottom"/>
            <w:shd w:val="clear" w:color="auto" w:fill="CCFFCC"/>
          </w:tcPr>
          <w:p>
            <w:pPr>
              <w:spacing w:after="0"/>
              <w:rPr>
                <w:sz w:val="12"/>
                <w:szCs w:val="12"/>
                <w:color w:val="auto"/>
              </w:rPr>
            </w:pPr>
          </w:p>
        </w:tc>
        <w:tc>
          <w:tcPr>
            <w:tcW w:w="2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gridSpan w:val="2"/>
            <w:shd w:val="clear" w:color="auto" w:fill="CCFFCC"/>
          </w:tcPr>
          <w:p>
            <w:pPr>
              <w:spacing w:after="0" w:line="179"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5, 9</w:t>
            </w:r>
          </w:p>
        </w:tc>
        <w:tc>
          <w:tcPr>
            <w:tcW w:w="1660" w:type="dxa"/>
            <w:vAlign w:val="bottom"/>
            <w:shd w:val="clear" w:color="auto" w:fill="CCFFCC"/>
          </w:tcPr>
          <w:p>
            <w:pPr>
              <w:spacing w:after="0"/>
              <w:rPr>
                <w:sz w:val="15"/>
                <w:szCs w:val="15"/>
                <w:color w:val="auto"/>
              </w:rPr>
            </w:pPr>
          </w:p>
        </w:tc>
        <w:tc>
          <w:tcPr>
            <w:tcW w:w="2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Media: Advertising, Printing &amp; Publishing</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Common</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359,765</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605,473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Coastal Concrete Holding II, LLC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Construction &amp; Building</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A Units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8,625,626</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Services: Business</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A Warrants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258,940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258,940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Education and Childcare</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344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1,079,616</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3, 5,</w:t>
            </w:r>
          </w:p>
        </w:tc>
        <w:tc>
          <w:tcPr>
            <w:tcW w:w="1660" w:type="dxa"/>
            <w:vAlign w:val="bottom"/>
            <w:shd w:val="clear" w:color="auto" w:fill="CCFFCC"/>
          </w:tcPr>
          <w:p>
            <w:pPr>
              <w:spacing w:after="0"/>
              <w:rPr>
                <w:sz w:val="14"/>
                <w:szCs w:val="14"/>
                <w:color w:val="auto"/>
              </w:rPr>
            </w:pPr>
          </w:p>
        </w:tc>
        <w:tc>
          <w:tcPr>
            <w:tcW w:w="2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Capital Equipment</w:t>
            </w:r>
          </w:p>
        </w:tc>
        <w:tc>
          <w:tcPr>
            <w:tcW w:w="1660" w:type="dxa"/>
            <w:vAlign w:val="bottom"/>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3440" w:type="dxa"/>
            <w:vAlign w:val="bottom"/>
            <w:gridSpan w:val="4"/>
            <w:shd w:val="clear" w:color="auto" w:fill="CCFFCC"/>
          </w:tcPr>
          <w:p>
            <w:pPr>
              <w:jc w:val="right"/>
              <w:ind w:right="180"/>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1,858,327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2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Investment</w:t>
            </w: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8"/>
                <w:szCs w:val="18"/>
                <w:color w:val="auto"/>
                <w:vertAlign w:val="superscript"/>
              </w:rPr>
              <w:t>5, 9</w:t>
            </w:r>
          </w:p>
        </w:tc>
        <w:tc>
          <w:tcPr>
            <w:tcW w:w="120" w:type="dxa"/>
            <w:vAlign w:val="bottom"/>
            <w:tcBorders>
              <w:top w:val="single" w:sz="8" w:color="CCFFCC"/>
            </w:tcBorders>
            <w:shd w:val="clear" w:color="auto" w:fill="CCFFCC"/>
          </w:tcPr>
          <w:p>
            <w:pPr>
              <w:spacing w:after="0"/>
              <w:rPr>
                <w:sz w:val="14"/>
                <w:szCs w:val="14"/>
                <w:color w:val="auto"/>
              </w:rPr>
            </w:pPr>
          </w:p>
        </w:tc>
        <w:tc>
          <w:tcPr>
            <w:tcW w:w="1540" w:type="dxa"/>
            <w:vAlign w:val="bottom"/>
            <w:tcBorders>
              <w:top w:val="single" w:sz="8" w:color="auto"/>
            </w:tcBorders>
            <w:shd w:val="clear" w:color="auto" w:fill="CCFFCC"/>
          </w:tcPr>
          <w:p>
            <w:pPr>
              <w:spacing w:after="0"/>
              <w:rPr>
                <w:sz w:val="14"/>
                <w:szCs w:val="14"/>
                <w:color w:val="auto"/>
              </w:rPr>
            </w:pPr>
          </w:p>
        </w:tc>
        <w:tc>
          <w:tcPr>
            <w:tcW w:w="222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Hotel, Gaming &amp; Leisure</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Common</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0.2%</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400,000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14"/>
                <w:szCs w:val="14"/>
                <w:color w:val="auto"/>
              </w:rPr>
            </w:pPr>
          </w:p>
        </w:tc>
        <w:tc>
          <w:tcPr>
            <w:tcW w:w="2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Consumer goods: Durable</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Common</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1,273,772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5, 9</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14"/>
                <w:szCs w:val="14"/>
                <w:color w:val="auto"/>
              </w:rPr>
            </w:pPr>
          </w:p>
        </w:tc>
        <w:tc>
          <w:tcPr>
            <w:tcW w:w="2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&amp; Pharmaceuticals</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Class A Units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14"/>
                <w:szCs w:val="14"/>
                <w:color w:val="auto"/>
              </w:rPr>
            </w:pPr>
          </w:p>
        </w:tc>
        <w:tc>
          <w:tcPr>
            <w:tcW w:w="2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Energy: Oil &amp; Gas</w:t>
            </w:r>
          </w:p>
        </w:tc>
        <w:tc>
          <w:tcPr>
            <w:tcW w:w="120" w:type="dxa"/>
            <w:vAlign w:val="bottom"/>
            <w:shd w:val="clear" w:color="auto" w:fill="CCFFCC"/>
          </w:tcPr>
          <w:p>
            <w:pPr>
              <w:spacing w:after="0"/>
              <w:rPr>
                <w:sz w:val="15"/>
                <w:szCs w:val="15"/>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Common Stock</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2,811,317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6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120" w:type="dxa"/>
            <w:vAlign w:val="bottom"/>
            <w:shd w:val="clear" w:color="auto" w:fill="CCFFCC"/>
          </w:tcPr>
          <w:p>
            <w:pPr>
              <w:spacing w:after="0"/>
              <w:rPr>
                <w:sz w:val="10"/>
                <w:szCs w:val="10"/>
                <w:color w:val="auto"/>
              </w:rPr>
            </w:pPr>
          </w:p>
        </w:tc>
        <w:tc>
          <w:tcPr>
            <w:tcW w:w="154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b w:val="1"/>
                <w:bCs w:val="1"/>
                <w:color w:val="auto"/>
              </w:rPr>
              <w:t>(3% of net asset value at fair value)</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22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16,289,233</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8,212,286</w:t>
            </w:r>
          </w:p>
        </w:tc>
        <w:tc>
          <w:tcPr>
            <w:tcW w:w="0" w:type="dxa"/>
            <w:vAlign w:val="bottom"/>
          </w:tcPr>
          <w:p>
            <w:pPr>
              <w:spacing w:after="0"/>
              <w:rPr>
                <w:sz w:val="1"/>
                <w:szCs w:val="1"/>
                <w:color w:val="auto"/>
              </w:rPr>
            </w:pPr>
          </w:p>
        </w:tc>
      </w:tr>
      <w:tr>
        <w:trPr>
          <w:trHeight w:val="42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24"/>
                <w:szCs w:val="2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Investment</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shd w:val="clear" w:color="auto" w:fill="CCFFCC"/>
          </w:tcPr>
          <w:p>
            <w:pPr>
              <w:spacing w:after="0"/>
              <w:rPr>
                <w:sz w:val="15"/>
                <w:szCs w:val="15"/>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2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22.2%</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4,717,004</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711,978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3, 10</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Preferred Shares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1,607,836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3, 10</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Subordinated Securities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4,487,193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1,442,994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3, 6</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3,384,505</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1,300,072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Preferred Shares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2,014,687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745,431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3, 6</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11,742,686</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5,463,221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Preferred Shares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31,051,393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26,841,026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3, 6</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3,531,200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2,674,364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Subordinate Notes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2,715,100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1,775,415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3, 6</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Income Notes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2,774,800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1,889,787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Income Notes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3,130,600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2,333,786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3, 6</w:t>
            </w:r>
          </w:p>
        </w:tc>
        <w:tc>
          <w:tcPr>
            <w:tcW w:w="12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8,984,300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6,749,700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3"/>
                <w:szCs w:val="13"/>
                <w:color w:val="auto"/>
              </w:rPr>
              <w:t>Catamaran CLO 2013-1 Ltd.</w:t>
            </w:r>
            <w:r>
              <w:rPr>
                <w:rFonts w:ascii="Arial" w:cs="Arial" w:eastAsia="Arial" w:hAnsi="Arial"/>
                <w:sz w:val="21"/>
                <w:szCs w:val="21"/>
                <w:color w:val="auto"/>
                <w:vertAlign w:val="superscript"/>
              </w:rPr>
              <w:t>3, 6</w:t>
            </w:r>
          </w:p>
        </w:tc>
        <w:tc>
          <w:tcPr>
            <w:tcW w:w="1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Subordinated Notes</w:t>
            </w:r>
          </w:p>
        </w:tc>
        <w:tc>
          <w:tcPr>
            <w:tcW w:w="3560" w:type="dxa"/>
            <w:vAlign w:val="bottom"/>
            <w:gridSpan w:val="4"/>
          </w:tcPr>
          <w:p>
            <w:pPr>
              <w:jc w:val="right"/>
              <w:ind w:right="60"/>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9,353,900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8,370,000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FFCC"/>
          </w:tcPr>
          <w:p>
            <w:pPr>
              <w:spacing w:after="0" w:line="202"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23"/>
                <w:szCs w:val="23"/>
                <w:color w:val="auto"/>
                <w:vertAlign w:val="superscript"/>
              </w:rPr>
              <w:t>3</w:t>
            </w:r>
          </w:p>
        </w:tc>
        <w:tc>
          <w:tcPr>
            <w:tcW w:w="120" w:type="dxa"/>
            <w:vAlign w:val="bottom"/>
            <w:shd w:val="clear" w:color="auto" w:fill="CCFFCC"/>
          </w:tcPr>
          <w:p>
            <w:pPr>
              <w:spacing w:after="0"/>
              <w:rPr>
                <w:sz w:val="17"/>
                <w:szCs w:val="17"/>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3560" w:type="dxa"/>
            <w:vAlign w:val="bottom"/>
            <w:gridSpan w:val="4"/>
            <w:shd w:val="clear" w:color="auto" w:fill="CCFFCC"/>
          </w:tcPr>
          <w:p>
            <w:pPr>
              <w:jc w:val="right"/>
              <w:ind w:right="60"/>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3,179,200</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2,973,750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 in CLO Subordinated Securities</w:t>
            </w:r>
          </w:p>
        </w:tc>
        <w:tc>
          <w:tcPr>
            <w:tcW w:w="120" w:type="dxa"/>
            <w:vAlign w:val="bottom"/>
            <w:shd w:val="clear" w:color="auto" w:fill="CCFFCC"/>
          </w:tcPr>
          <w:p>
            <w:pPr>
              <w:spacing w:after="0"/>
              <w:rPr>
                <w:sz w:val="14"/>
                <w:szCs w:val="14"/>
                <w:color w:val="auto"/>
              </w:rPr>
            </w:pPr>
          </w:p>
        </w:tc>
        <w:tc>
          <w:tcPr>
            <w:tcW w:w="1540" w:type="dxa"/>
            <w:vAlign w:val="bottom"/>
            <w:shd w:val="clear" w:color="auto" w:fill="CCFFCC"/>
          </w:tcPr>
          <w:p>
            <w:pPr>
              <w:spacing w:after="0"/>
              <w:rPr>
                <w:sz w:val="14"/>
                <w:szCs w:val="14"/>
                <w:color w:val="auto"/>
              </w:rPr>
            </w:pPr>
          </w:p>
        </w:tc>
        <w:tc>
          <w:tcPr>
            <w:tcW w:w="2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95,994,404</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63,747,524</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Rated-Note Investment</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2012-1 CLO Ltd.</w:t>
      </w:r>
      <w:r>
        <w:rPr>
          <w:rFonts w:ascii="Arial" w:cs="Arial" w:eastAsia="Arial" w:hAnsi="Arial"/>
          <w:sz w:val="23"/>
          <w:szCs w:val="23"/>
          <w:color w:val="auto"/>
          <w:vertAlign w:val="superscript"/>
        </w:rPr>
        <w:t>3, 6</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163" w:lineRule="exact"/>
        <w:rPr>
          <w:sz w:val="20"/>
          <w:szCs w:val="20"/>
          <w:color w:val="auto"/>
        </w:rPr>
      </w:pPr>
    </w:p>
    <w:p>
      <w:pPr>
        <w:ind w:left="180" w:right="640" w:hanging="161"/>
        <w:spacing w:after="0" w:line="297" w:lineRule="auto"/>
        <w:rPr>
          <w:sz w:val="20"/>
          <w:szCs w:val="20"/>
          <w:color w:val="auto"/>
        </w:rPr>
      </w:pPr>
      <w:r>
        <w:rPr>
          <w:rFonts w:ascii="Arial" w:cs="Arial" w:eastAsia="Arial" w:hAnsi="Arial"/>
          <w:sz w:val="13"/>
          <w:szCs w:val="13"/>
          <w:b w:val="1"/>
          <w:bCs w:val="1"/>
          <w:color w:val="auto"/>
        </w:rPr>
        <w:t>Total Investment in CLO Fund Securities (31% of net asset value at fair value)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Percentage</w:t>
            </w: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color w:val="auto"/>
                <w:w w:val="95"/>
                <w:vertAlign w:val="superscript"/>
              </w:rPr>
              <w:t>2</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Floating - 04/2022 - B2L - 48602NAA8</w:t>
            </w: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Par Value of $10,500,000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Due 4/22</w:t>
            </w:r>
          </w:p>
        </w:tc>
        <w:tc>
          <w:tcPr>
            <w:tcW w:w="14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  $</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1,305,288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9,810,000</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Float - 12/2023 - F - 14889CAE0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Par Value of $4,500,000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tcPr>
          <w:p>
            <w:pPr>
              <w:ind w:left="60"/>
              <w:spacing w:after="0"/>
              <w:rPr>
                <w:sz w:val="20"/>
                <w:szCs w:val="20"/>
                <w:color w:val="auto"/>
              </w:rPr>
            </w:pPr>
            <w:r>
              <w:rPr>
                <w:rFonts w:ascii="Arial" w:cs="Arial" w:eastAsia="Arial" w:hAnsi="Arial"/>
                <w:sz w:val="14"/>
                <w:szCs w:val="14"/>
                <w:color w:val="auto"/>
              </w:rPr>
              <w:t>Due 12/23</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3,869,455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4,190,000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5,174,743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14,000,000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101,169,147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77,747,524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-513715</wp:posOffset>
            </wp:positionV>
            <wp:extent cx="72466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-307975</wp:posOffset>
            </wp:positionV>
            <wp:extent cx="72466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-1097280</wp:posOffset>
            </wp:positionV>
            <wp:extent cx="72466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80" w:space="720"/>
            <w:col w:w="75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20" w:type="dxa"/>
            <w:vAlign w:val="bottom"/>
          </w:tcPr>
          <w:p>
            <w:pPr>
              <w:spacing w:after="0"/>
              <w:rPr>
                <w:sz w:val="14"/>
                <w:szCs w:val="14"/>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9</w:t>
            </w:r>
          </w:p>
        </w:tc>
        <w:tc>
          <w:tcPr>
            <w:tcW w:w="120" w:type="dxa"/>
            <w:vAlign w:val="bottom"/>
            <w:shd w:val="clear" w:color="auto" w:fill="CCFFCC"/>
          </w:tcPr>
          <w:p>
            <w:pPr>
              <w:spacing w:after="0"/>
              <w:rPr>
                <w:sz w:val="15"/>
                <w:szCs w:val="15"/>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83,924,720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74,075,000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 in Asset Manager Affiliates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83,924,720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74,075,000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FFCC"/>
            </w:tcBorders>
            <w:shd w:val="clear" w:color="auto" w:fill="CCFFCC"/>
          </w:tcPr>
          <w:p>
            <w:pPr>
              <w:ind w:left="160"/>
              <w:spacing w:after="0" w:line="142" w:lineRule="exact"/>
              <w:rPr>
                <w:sz w:val="20"/>
                <w:szCs w:val="20"/>
                <w:color w:val="auto"/>
              </w:rPr>
            </w:pPr>
            <w:r>
              <w:rPr>
                <w:rFonts w:ascii="Arial" w:cs="Arial" w:eastAsia="Arial" w:hAnsi="Arial"/>
                <w:sz w:val="14"/>
                <w:szCs w:val="14"/>
                <w:b w:val="1"/>
                <w:bCs w:val="1"/>
                <w:color w:val="auto"/>
              </w:rPr>
              <w:t>(29% of net asset value at fair value)</w:t>
            </w:r>
          </w:p>
        </w:tc>
        <w:tc>
          <w:tcPr>
            <w:tcW w:w="120" w:type="dxa"/>
            <w:vAlign w:val="bottom"/>
            <w:tcBorders>
              <w:top w:val="single" w:sz="8" w:color="CCFFCC"/>
            </w:tcBorders>
            <w:shd w:val="clear" w:color="auto" w:fill="CCFFCC"/>
          </w:tcPr>
          <w:p>
            <w:pPr>
              <w:spacing w:after="0"/>
              <w:rPr>
                <w:sz w:val="12"/>
                <w:szCs w:val="12"/>
                <w:color w:val="auto"/>
              </w:rPr>
            </w:pPr>
          </w:p>
        </w:tc>
        <w:tc>
          <w:tcPr>
            <w:tcW w:w="37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Time Deposit and Money Market Accounts</w:t>
            </w:r>
          </w:p>
        </w:tc>
        <w:tc>
          <w:tcPr>
            <w:tcW w:w="1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 / Cost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8, 9</w:t>
            </w:r>
          </w:p>
        </w:tc>
        <w:tc>
          <w:tcPr>
            <w:tcW w:w="120" w:type="dxa"/>
            <w:vAlign w:val="bottom"/>
            <w:shd w:val="clear" w:color="auto" w:fill="CCFFCC"/>
          </w:tcPr>
          <w:p>
            <w:pPr>
              <w:spacing w:after="0"/>
              <w:rPr>
                <w:sz w:val="15"/>
                <w:szCs w:val="15"/>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0.10%</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248,918</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248,918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gridSpan w:val="2"/>
          </w:tcPr>
          <w:p>
            <w:pPr>
              <w:spacing w:after="0"/>
              <w:rPr>
                <w:sz w:val="12"/>
                <w:szCs w:val="12"/>
                <w:color w:val="auto"/>
              </w:rPr>
            </w:pPr>
          </w:p>
        </w:tc>
        <w:tc>
          <w:tcPr>
            <w:tcW w:w="1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US Bank Money Market Account</w:t>
            </w:r>
            <w:r>
              <w:rPr>
                <w:rFonts w:ascii="Arial" w:cs="Arial" w:eastAsia="Arial" w:hAnsi="Arial"/>
                <w:sz w:val="21"/>
                <w:szCs w:val="21"/>
                <w:color w:val="auto"/>
                <w:vertAlign w:val="superscript"/>
              </w:rPr>
              <w:t>9</w:t>
            </w:r>
          </w:p>
        </w:tc>
        <w:tc>
          <w:tcPr>
            <w:tcW w:w="120" w:type="dxa"/>
            <w:vAlign w:val="bottom"/>
            <w:shd w:val="clear" w:color="auto" w:fill="CCFFCC"/>
          </w:tcPr>
          <w:p>
            <w:pPr>
              <w:spacing w:after="0"/>
              <w:rPr>
                <w:sz w:val="16"/>
                <w:szCs w:val="16"/>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3,884,511</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3,884,511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6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Time Deposit and Money Market</w:t>
            </w:r>
          </w:p>
        </w:tc>
        <w:tc>
          <w:tcPr>
            <w:tcW w:w="120" w:type="dxa"/>
            <w:vAlign w:val="bottom"/>
            <w:shd w:val="clear" w:color="auto" w:fill="CCFFCC"/>
          </w:tcPr>
          <w:p>
            <w:pPr>
              <w:spacing w:after="0"/>
              <w:rPr>
                <w:sz w:val="10"/>
                <w:szCs w:val="10"/>
                <w:color w:val="auto"/>
              </w:rPr>
            </w:pPr>
          </w:p>
        </w:tc>
        <w:tc>
          <w:tcPr>
            <w:tcW w:w="3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Accounts</w:t>
            </w:r>
          </w:p>
        </w:tc>
        <w:tc>
          <w:tcPr>
            <w:tcW w:w="120" w:type="dxa"/>
            <w:vAlign w:val="bottom"/>
            <w:shd w:val="clear" w:color="auto" w:fill="CCFFCC"/>
          </w:tcPr>
          <w:p>
            <w:pPr>
              <w:spacing w:after="0"/>
              <w:rPr>
                <w:sz w:val="16"/>
                <w:szCs w:val="16"/>
                <w:color w:val="auto"/>
              </w:rPr>
            </w:pPr>
          </w:p>
        </w:tc>
        <w:tc>
          <w:tcPr>
            <w:tcW w:w="3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4,133,429</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4,133,429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FFCC"/>
            </w:tcBorders>
            <w:shd w:val="clear" w:color="auto" w:fill="CCFFCC"/>
          </w:tcPr>
          <w:p>
            <w:pPr>
              <w:ind w:left="160"/>
              <w:spacing w:after="0" w:line="142" w:lineRule="exact"/>
              <w:rPr>
                <w:sz w:val="20"/>
                <w:szCs w:val="20"/>
                <w:color w:val="auto"/>
              </w:rPr>
            </w:pPr>
            <w:r>
              <w:rPr>
                <w:rFonts w:ascii="Arial" w:cs="Arial" w:eastAsia="Arial" w:hAnsi="Arial"/>
                <w:sz w:val="14"/>
                <w:szCs w:val="14"/>
                <w:b w:val="1"/>
                <w:bCs w:val="1"/>
                <w:color w:val="auto"/>
              </w:rPr>
              <w:t>(2% of net asset value at fair value)</w:t>
            </w:r>
          </w:p>
        </w:tc>
        <w:tc>
          <w:tcPr>
            <w:tcW w:w="120" w:type="dxa"/>
            <w:vAlign w:val="bottom"/>
            <w:tcBorders>
              <w:top w:val="single" w:sz="8" w:color="CCFFCC"/>
            </w:tcBorders>
            <w:shd w:val="clear" w:color="auto" w:fill="CCFFCC"/>
          </w:tcPr>
          <w:p>
            <w:pPr>
              <w:spacing w:after="0"/>
              <w:rPr>
                <w:sz w:val="12"/>
                <w:szCs w:val="12"/>
                <w:color w:val="auto"/>
              </w:rPr>
            </w:pPr>
          </w:p>
        </w:tc>
        <w:tc>
          <w:tcPr>
            <w:tcW w:w="37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Investments</w:t>
            </w:r>
          </w:p>
        </w:tc>
        <w:tc>
          <w:tcPr>
            <w:tcW w:w="120" w:type="dxa"/>
            <w:vAlign w:val="bottom"/>
            <w:shd w:val="clear" w:color="auto" w:fill="CCFFCC"/>
          </w:tcPr>
          <w:p>
            <w:pPr>
              <w:spacing w:after="0"/>
              <w:rPr>
                <w:sz w:val="18"/>
                <w:szCs w:val="18"/>
                <w:color w:val="auto"/>
              </w:rPr>
            </w:pPr>
          </w:p>
        </w:tc>
        <w:tc>
          <w:tcPr>
            <w:tcW w:w="3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479,294,183</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428,959,411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Borders>
              <w:top w:val="single" w:sz="8" w:color="CCFFCC"/>
            </w:tcBorders>
            <w:shd w:val="clear" w:color="auto" w:fill="CCFFCC"/>
          </w:tcPr>
          <w:p>
            <w:pPr>
              <w:ind w:left="160"/>
              <w:spacing w:after="0" w:line="129" w:lineRule="exact"/>
              <w:rPr>
                <w:sz w:val="20"/>
                <w:szCs w:val="20"/>
                <w:color w:val="auto"/>
              </w:rPr>
            </w:pPr>
            <w:r>
              <w:rPr>
                <w:rFonts w:ascii="Arial" w:cs="Arial" w:eastAsia="Arial" w:hAnsi="Arial"/>
                <w:sz w:val="14"/>
                <w:szCs w:val="14"/>
                <w:b w:val="1"/>
                <w:bCs w:val="1"/>
                <w:color w:val="auto"/>
              </w:rPr>
              <w:t>(169% of net asset value at fair value)</w:t>
            </w:r>
          </w:p>
        </w:tc>
        <w:tc>
          <w:tcPr>
            <w:tcW w:w="120" w:type="dxa"/>
            <w:vAlign w:val="bottom"/>
            <w:tcBorders>
              <w:top w:val="single" w:sz="8" w:color="CCFFCC"/>
            </w:tcBorders>
            <w:shd w:val="clear" w:color="auto" w:fill="CCFFCC"/>
          </w:tcPr>
          <w:p>
            <w:pPr>
              <w:spacing w:after="0"/>
              <w:rPr>
                <w:sz w:val="11"/>
                <w:szCs w:val="11"/>
                <w:color w:val="auto"/>
              </w:rPr>
            </w:pPr>
          </w:p>
        </w:tc>
        <w:tc>
          <w:tcPr>
            <w:tcW w:w="376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4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7" w:name="page18"/>
    <w:bookmarkEnd w:id="17"/>
    <w:p>
      <w:pPr>
        <w:ind w:left="332" w:hanging="332"/>
        <w:spacing w:after="0"/>
        <w:tabs>
          <w:tab w:leader="none" w:pos="332"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investment portfolio bear interest at a rate that may be determined by reference to either LIBOR or</w:t>
      </w:r>
    </w:p>
    <w:p>
      <w:pPr>
        <w:spacing w:after="0" w:line="2" w:lineRule="exact"/>
        <w:rPr>
          <w:sz w:val="20"/>
          <w:szCs w:val="20"/>
          <w:color w:val="auto"/>
        </w:rPr>
      </w:pPr>
    </w:p>
    <w:p>
      <w:pPr>
        <w:jc w:val="both"/>
        <w:ind w:left="332" w:right="60"/>
        <w:spacing w:after="0" w:line="249" w:lineRule="auto"/>
        <w:rPr>
          <w:sz w:val="20"/>
          <w:szCs w:val="20"/>
          <w:color w:val="auto"/>
        </w:rPr>
      </w:pPr>
      <w:r>
        <w:rPr>
          <w:rFonts w:ascii="Arial" w:cs="Arial" w:eastAsia="Arial" w:hAnsi="Arial"/>
          <w:sz w:val="18"/>
          <w:szCs w:val="18"/>
          <w:color w:val="auto"/>
        </w:rPr>
        <w:t>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March 31, 2014.</w:t>
      </w:r>
    </w:p>
    <w:p>
      <w:pPr>
        <w:ind w:left="332" w:hanging="332"/>
        <w:spacing w:after="0" w:line="182" w:lineRule="auto"/>
        <w:tabs>
          <w:tab w:leader="none" w:pos="332"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March 31, 2014, as determined by the Company’s Board of Directors.</w:t>
      </w:r>
    </w:p>
    <w:p>
      <w:pPr>
        <w:ind w:left="332" w:hanging="332"/>
        <w:spacing w:after="0" w:line="180" w:lineRule="auto"/>
        <w:tabs>
          <w:tab w:leader="none" w:pos="332"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332" w:right="640" w:hanging="332"/>
        <w:spacing w:after="0" w:line="214" w:lineRule="auto"/>
        <w:tabs>
          <w:tab w:leader="none" w:pos="332"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$479 million. The aggregate gross unrealized appreciation is approximately $14 million, the aggregate gross unrealized depreciation is approximately $65 million, and the net unrealized depreciation is</w:t>
      </w:r>
    </w:p>
    <w:p>
      <w:pPr>
        <w:ind w:left="332"/>
        <w:spacing w:after="0"/>
        <w:rPr>
          <w:sz w:val="20"/>
          <w:szCs w:val="20"/>
          <w:color w:val="auto"/>
        </w:rPr>
      </w:pPr>
      <w:r>
        <w:rPr>
          <w:rFonts w:ascii="Arial" w:cs="Arial" w:eastAsia="Arial" w:hAnsi="Arial"/>
          <w:sz w:val="18"/>
          <w:szCs w:val="18"/>
          <w:color w:val="auto"/>
        </w:rPr>
        <w:t>approximately $51 million.</w:t>
      </w:r>
    </w:p>
    <w:p>
      <w:pPr>
        <w:ind w:left="332" w:hanging="332"/>
        <w:spacing w:after="0" w:line="180" w:lineRule="auto"/>
        <w:tabs>
          <w:tab w:leader="none" w:pos="332"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332" w:hanging="332"/>
        <w:spacing w:after="0" w:line="181" w:lineRule="auto"/>
        <w:tabs>
          <w:tab w:leader="none" w:pos="332"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32" w:hanging="332"/>
        <w:spacing w:after="0" w:line="180" w:lineRule="auto"/>
        <w:tabs>
          <w:tab w:leader="none" w:pos="332"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32" w:hanging="332"/>
        <w:spacing w:after="0" w:line="180" w:lineRule="auto"/>
        <w:tabs>
          <w:tab w:leader="none" w:pos="332"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32" w:hanging="332"/>
        <w:spacing w:after="0" w:line="181" w:lineRule="auto"/>
        <w:tabs>
          <w:tab w:leader="none" w:pos="332"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332" w:hanging="332"/>
        <w:spacing w:after="0" w:line="180" w:lineRule="auto"/>
        <w:tabs>
          <w:tab w:leader="none" w:pos="33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As of March 31, 2014, this CLO Fund Security was not providing a dividend distribution.</w:t>
      </w:r>
    </w:p>
    <w:p>
      <w:pPr>
        <w:spacing w:after="0" w:line="2" w:lineRule="exact"/>
        <w:rPr>
          <w:rFonts w:ascii="Arial" w:cs="Arial" w:eastAsia="Arial" w:hAnsi="Arial"/>
          <w:sz w:val="25"/>
          <w:szCs w:val="25"/>
          <w:color w:val="auto"/>
          <w:vertAlign w:val="superscript"/>
        </w:rPr>
      </w:pPr>
    </w:p>
    <w:p>
      <w:pPr>
        <w:ind w:left="332" w:right="680" w:hanging="332"/>
        <w:spacing w:after="0" w:line="187"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As of March 31, 2014, investment was owned by KCAP Senior Funding I, LLC and has been pledged to secure KCAP Senior Funding I, LLC’s obligation.</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40" w:right="2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Advantage Sales &amp; Marketing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Alaska Communications Systems Holdings, Inc. </w:t>
      </w:r>
      <w:r>
        <w:rPr>
          <w:rFonts w:ascii="Arial" w:cs="Arial" w:eastAsia="Arial" w:hAnsi="Arial"/>
          <w:sz w:val="19"/>
          <w:szCs w:val="19"/>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Apria Healthcare Group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ARSloane Acquisition,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34" w:lineRule="exact"/>
        <w:rPr>
          <w:sz w:val="20"/>
          <w:szCs w:val="20"/>
          <w:color w:val="auto"/>
        </w:rPr>
      </w:pPr>
    </w:p>
    <w:p>
      <w:pPr>
        <w:ind w:left="180" w:right="380" w:hanging="161"/>
        <w:spacing w:after="0" w:line="221" w:lineRule="auto"/>
        <w:rPr>
          <w:sz w:val="20"/>
          <w:szCs w:val="20"/>
          <w:color w:val="auto"/>
        </w:rPr>
      </w:pPr>
      <w:r>
        <w:rPr>
          <w:rFonts w:ascii="Arial" w:cs="Arial" w:eastAsia="Arial" w:hAnsi="Arial"/>
          <w:sz w:val="13"/>
          <w:szCs w:val="13"/>
          <w:color w:val="auto"/>
        </w:rPr>
        <w:t>Asurion, LLC (fka Asurion Corporation)</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Banking, Finance, Insurance &amp; Real Estate</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As of December 31, 2013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First Lien Bond — 10.5% - 06/2019 - 00753CAE2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CCFFCC"/>
          </w:tcPr>
          <w:p>
            <w:pPr>
              <w:spacing w:after="0"/>
              <w:rPr>
                <w:sz w:val="13"/>
                <w:szCs w:val="13"/>
                <w:color w:val="auto"/>
              </w:rPr>
            </w:pPr>
          </w:p>
        </w:tc>
        <w:tc>
          <w:tcPr>
            <w:tcW w:w="3760" w:type="dxa"/>
            <w:vAlign w:val="bottom"/>
            <w:gridSpan w:val="2"/>
            <w:shd w:val="clear" w:color="auto" w:fill="CCFFCC"/>
          </w:tcPr>
          <w:p>
            <w:pPr>
              <w:spacing w:after="0" w:line="152" w:lineRule="exact"/>
              <w:rPr>
                <w:sz w:val="20"/>
                <w:szCs w:val="20"/>
                <w:color w:val="auto"/>
              </w:rPr>
            </w:pPr>
            <w:r>
              <w:rPr>
                <w:rFonts w:ascii="Arial" w:cs="Arial" w:eastAsia="Arial" w:hAnsi="Arial"/>
                <w:sz w:val="14"/>
                <w:szCs w:val="14"/>
                <w:color w:val="auto"/>
              </w:rPr>
              <w:t>10.5% Cash, Due 6/19</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3,000,000</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2,948,332</w:t>
            </w:r>
          </w:p>
        </w:tc>
        <w:tc>
          <w:tcPr>
            <w:tcW w:w="24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2,546,400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2013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12/17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1,989,952</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1,996,642</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2,001,892</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10/16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2,358,409</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2,362,064</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2,357,702</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4/20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2,985,000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2,997,209</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U.S. Term D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850,000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856,173</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856,374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LC-3 Facility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3.7%</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61,707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61,967</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61,861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U.S. Term C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3.7%</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938,293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942,256</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940,639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U.S. Term D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1,150,000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1,158,352</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1,158,625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10/19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997,500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987,913</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997,898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w w:val="98"/>
              </w:rPr>
              <w:t>Senior Secured Loan — Incremental Tranche B-1 Term Loan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2,000,806</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1,983,168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-2658110</wp:posOffset>
            </wp:positionV>
            <wp:extent cx="724662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-2348865</wp:posOffset>
            </wp:positionV>
            <wp:extent cx="724662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-2040255</wp:posOffset>
            </wp:positionV>
            <wp:extent cx="724662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-1731645</wp:posOffset>
            </wp:positionV>
            <wp:extent cx="72466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-1448435</wp:posOffset>
            </wp:positionV>
            <wp:extent cx="724662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-1139825</wp:posOffset>
            </wp:positionV>
            <wp:extent cx="724662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-831215</wp:posOffset>
            </wp:positionV>
            <wp:extent cx="72466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-522605</wp:posOffset>
            </wp:positionV>
            <wp:extent cx="724662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-213995</wp:posOffset>
            </wp:positionV>
            <wp:extent cx="72466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-2974975</wp:posOffset>
            </wp:positionV>
            <wp:extent cx="724662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580"/>
            <w:col w:w="7780"/>
          </w:cols>
          <w:pgMar w:left="240" w:top="904" w:right="239" w:bottom="1440" w:gutter="0" w:footer="0" w:header="0"/>
        </w:sectPr>
      </w:pPr>
    </w:p>
    <w:bookmarkStart w:id="19" w:name="page20"/>
    <w:bookmarkEnd w:id="1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BarBri, Inc. (Gemini Holdings,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134" w:lineRule="exact"/>
        <w:rPr>
          <w:sz w:val="20"/>
          <w:szCs w:val="20"/>
          <w:color w:val="auto"/>
        </w:rPr>
      </w:pPr>
    </w:p>
    <w:p>
      <w:pPr>
        <w:ind w:left="180" w:right="2280" w:hanging="172"/>
        <w:spacing w:after="0" w:line="188" w:lineRule="auto"/>
        <w:tabs>
          <w:tab w:leader="none" w:pos="34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Industries, LLC</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Automotive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24" w:lineRule="exact"/>
        <w:rPr>
          <w:sz w:val="20"/>
          <w:szCs w:val="20"/>
          <w:color w:val="auto"/>
        </w:rPr>
      </w:pPr>
    </w:p>
    <w:p>
      <w:pPr>
        <w:ind w:right="560"/>
        <w:spacing w:after="0" w:line="197"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Carolina Beverage Group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134" w:lineRule="exact"/>
        <w:rPr>
          <w:sz w:val="20"/>
          <w:szCs w:val="20"/>
          <w:color w:val="auto"/>
        </w:rPr>
      </w:pPr>
    </w:p>
    <w:p>
      <w:pPr>
        <w:ind w:left="180" w:right="240" w:hanging="161"/>
        <w:spacing w:after="0" w:line="203" w:lineRule="auto"/>
        <w:rPr>
          <w:sz w:val="20"/>
          <w:szCs w:val="20"/>
          <w:color w:val="auto"/>
        </w:rPr>
      </w:pPr>
      <w:r>
        <w:rPr>
          <w:rFonts w:ascii="Arial" w:cs="Arial" w:eastAsia="Arial" w:hAnsi="Arial"/>
          <w:sz w:val="14"/>
          <w:szCs w:val="14"/>
          <w:color w:val="auto"/>
        </w:rPr>
        <w:t>Clover Technologies Group, LLC (Clover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CoActive Technologies LLC (fka CoActive Technologies, Inc.)</w:t>
      </w:r>
      <w:r>
        <w:rPr>
          <w:rFonts w:ascii="Arial" w:cs="Arial" w:eastAsia="Arial" w:hAnsi="Arial"/>
          <w:sz w:val="21"/>
          <w:szCs w:val="21"/>
          <w:color w:val="auto"/>
          <w:vertAlign w:val="superscript"/>
        </w:rPr>
        <w:t>7,</w:t>
      </w:r>
    </w:p>
    <w:p>
      <w:pPr>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6/18</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718,182</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718,182</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713,514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2,986,055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3,000,900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B</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3/19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2,887,500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2,878,820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2,888,366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Delayed Draw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1,582,475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1,575,088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1,582,316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U.S. Term B Loans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2,191,119</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2,180,891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2,190,900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New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3,990,000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4,003,966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3,991,995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7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10.0% Cash, Due 11/14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379,763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379,763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379,193</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w w:val="94"/>
              </w:rPr>
              <w:t>Senior Secured Bond — 10.625% - 08/2018 - 143818AA0 144A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10.6% Cash, Due 8/18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1,519,072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1,619,550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10/20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1,995,000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1,983,766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2,025,553</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2,850,292</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2,883,914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2,850,291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7.0% PIK, Due 1/15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2,063,007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1,987,358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1,863,721</w:t>
            </w: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Preferred Stock — 12.000% - 12/2049 - Series A Income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Preferred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10.0% Cash, 2.0% PIK, Due 12/49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-3566795</wp:posOffset>
            </wp:positionV>
            <wp:extent cx="724662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-3258185</wp:posOffset>
            </wp:positionV>
            <wp:extent cx="724662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-2949575</wp:posOffset>
            </wp:positionV>
            <wp:extent cx="724662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-2640965</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-2331720</wp:posOffset>
            </wp:positionV>
            <wp:extent cx="724662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-2023110</wp:posOffset>
            </wp:positionV>
            <wp:extent cx="724662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-1619885</wp:posOffset>
            </wp:positionV>
            <wp:extent cx="724662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-1311275</wp:posOffset>
            </wp:positionV>
            <wp:extent cx="72466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-1002665</wp:posOffset>
            </wp:positionV>
            <wp:extent cx="724662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-694055</wp:posOffset>
            </wp:positionV>
            <wp:extent cx="724662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-282575</wp:posOffset>
            </wp:positionV>
            <wp:extent cx="7246620"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-3884295</wp:posOffset>
            </wp:positionV>
            <wp:extent cx="72466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760" w:space="20"/>
            <w:col w:w="7640"/>
          </w:cols>
          <w:pgMar w:left="240" w:top="88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CSM Bakery Supplies LLC</w:t>
            </w:r>
            <w:r>
              <w:rPr>
                <w:rFonts w:ascii="Arial" w:cs="Arial" w:eastAsia="Arial" w:hAnsi="Arial"/>
                <w:sz w:val="18"/>
                <w:szCs w:val="18"/>
                <w:color w:val="auto"/>
                <w:vertAlign w:val="superscript"/>
              </w:rPr>
              <w:t>9</w:t>
            </w:r>
          </w:p>
        </w:tc>
        <w:tc>
          <w:tcPr>
            <w:tcW w:w="120" w:type="dxa"/>
            <w:vAlign w:val="bottom"/>
            <w:tcBorders>
              <w:top w:val="single" w:sz="8" w:color="CCFFCC"/>
            </w:tcBorders>
            <w:shd w:val="clear" w:color="auto" w:fill="CCFFCC"/>
          </w:tcPr>
          <w:p>
            <w:pPr>
              <w:spacing w:after="0"/>
              <w:rPr>
                <w:sz w:val="14"/>
                <w:szCs w:val="14"/>
                <w:color w:val="auto"/>
              </w:rPr>
            </w:pPr>
          </w:p>
        </w:tc>
        <w:tc>
          <w:tcPr>
            <w:tcW w:w="37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Borders>
              <w:top w:val="single" w:sz="8" w:color="CCFFCC"/>
            </w:tcBorders>
            <w:shd w:val="clear" w:color="auto" w:fill="CCFFCC"/>
          </w:tcPr>
          <w:p>
            <w:pPr>
              <w:spacing w:after="0"/>
              <w:rPr>
                <w:sz w:val="14"/>
                <w:szCs w:val="14"/>
                <w:color w:val="auto"/>
              </w:rPr>
            </w:pPr>
          </w:p>
        </w:tc>
        <w:tc>
          <w:tcPr>
            <w:tcW w:w="1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Beverage, Food and Tobacco</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8.5% Cash, Due 7/21</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3,018,871</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3,001,500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CSM Bakery Supplies LLC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Beverage, Food and Tobacco</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4.8% Cash, Due 7/20</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3,657,500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3,655,989</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3,659,329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Beverage, Food and Tobacco</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4.0% Cash, Due 3/18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2,789,388</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2,783,753</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2,803,321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Drew Marine Group Inc.</w:t>
            </w:r>
            <w:r>
              <w:rPr>
                <w:rFonts w:ascii="Arial" w:cs="Arial" w:eastAsia="Arial" w:hAnsi="Arial"/>
                <w:sz w:val="19"/>
                <w:szCs w:val="19"/>
                <w:color w:val="auto"/>
                <w:vertAlign w:val="superscript"/>
              </w:rPr>
              <w:t>9</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Transportation: Cargo</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8.0% Cash, Due 5/21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2,493,817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2,493,750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8.0% Cash, Due 6/18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1,898,703</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1,835,507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1,893,577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Fender Musical Instruments Corporation</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Initial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Hotel, Gaming &amp; Leisure</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5.8% Cash, Due 4/19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2,421,986</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2,434,723</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2,463,620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FHC Health Systems,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&amp; Pharmaceuticals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5.8% Cash, Due 1/18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3,864,809</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9</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Finance</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10.8% Cash, Due 4/19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2,951,174</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2,999,400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2018 Dollar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4.2% Cash, Due 3/18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1,875,135</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2,006,520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Flexera Software LLC (fka Flexera Software,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5.0% Cash, Due 3/19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2,722,955</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2,734,588</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2,725,133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Fram Group Holdings Inc./Prestone Holdings Inc.</w:t>
            </w:r>
            <w:r>
              <w:rPr>
                <w:rFonts w:ascii="Arial" w:cs="Arial" w:eastAsia="Arial" w:hAnsi="Arial"/>
                <w:sz w:val="19"/>
                <w:szCs w:val="19"/>
                <w:color w:val="auto"/>
                <w:vertAlign w:val="superscript"/>
              </w:rPr>
              <w:t>9, 11</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Automotive</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6.5% Cash, Due 7/17</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966,900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970,557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966,610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Freescale Semiconductor, Inc.</w:t>
            </w:r>
          </w:p>
        </w:tc>
        <w:tc>
          <w:tcPr>
            <w:tcW w:w="120" w:type="dxa"/>
            <w:vAlign w:val="bottom"/>
            <w:shd w:val="clear" w:color="auto" w:fill="CCFFCC"/>
          </w:tcPr>
          <w:p>
            <w:pPr>
              <w:spacing w:after="0"/>
              <w:rPr>
                <w:sz w:val="11"/>
                <w:szCs w:val="11"/>
                <w:color w:val="auto"/>
              </w:rPr>
            </w:pPr>
          </w:p>
        </w:tc>
        <w:tc>
          <w:tcPr>
            <w:tcW w:w="3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Senior Subordinated Bond — 10.125% - 12/2016 - 35687MAP2</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High Tech Industries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10.1% Cash, Due 12/16</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1,036,000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1,037,707</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1,051,540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1" w:name="page22"/>
    <w:bookmarkEnd w:id="2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Hargray Communications Group, Inc. (HCP Acquisition LLC)</w:t>
      </w:r>
      <w:r>
        <w:rPr>
          <w:rFonts w:ascii="Arial" w:cs="Arial" w:eastAsia="Arial" w:hAnsi="Arial"/>
          <w:sz w:val="21"/>
          <w:szCs w:val="21"/>
          <w:color w:val="auto"/>
          <w:vertAlign w:val="superscript"/>
        </w:rPr>
        <w:t>9,</w:t>
      </w:r>
    </w:p>
    <w:p>
      <w:pPr>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145"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10/19</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3,711,259</w:t>
            </w:r>
          </w:p>
        </w:tc>
        <w:tc>
          <w:tcPr>
            <w:tcW w:w="340" w:type="dxa"/>
            <w:vAlign w:val="bottom"/>
            <w:gridSpan w:val="2"/>
            <w:shd w:val="clear" w:color="auto" w:fill="CCFFCC"/>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3,711,065</w:t>
            </w:r>
          </w:p>
        </w:tc>
        <w:tc>
          <w:tcPr>
            <w:tcW w:w="220" w:type="dxa"/>
            <w:vAlign w:val="bottom"/>
            <w:gridSpan w:val="2"/>
            <w:shd w:val="clear" w:color="auto" w:fill="CCFFCC"/>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3,471,698</w:t>
            </w: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First Lien Tranche A Credit-Linked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Deposit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1,257,143</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1,224,101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37,714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First Lien Tranche B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2,694,857</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2,624,028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80,846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11.8% Cash, Due 6/12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2,715,997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9.0%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3,924,752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3,991,600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3,980,000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3,985,209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3,980,398</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8.5%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PIK, Due 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2,977,500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2,928,848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2,813,738</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13.8% PIK, Due 7/18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6,865,363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6,817,300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1,421,105</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1,377,305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1,332,286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6/19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2,985,000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2,957,575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2,986,194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B-3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3,456,250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3,424,170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3,488,341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2/15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4,074,074</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4,049,553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3,911,111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-3472815</wp:posOffset>
            </wp:positionV>
            <wp:extent cx="7246620"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-3094990</wp:posOffset>
            </wp:positionV>
            <wp:extent cx="724662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-2786380</wp:posOffset>
            </wp:positionV>
            <wp:extent cx="724662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-2477770</wp:posOffset>
            </wp:positionV>
            <wp:extent cx="724662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-2169160</wp:posOffset>
            </wp:positionV>
            <wp:extent cx="724662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-1860550</wp:posOffset>
            </wp:positionV>
            <wp:extent cx="72466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-1551305</wp:posOffset>
            </wp:positionV>
            <wp:extent cx="72466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-1242695</wp:posOffset>
            </wp:positionV>
            <wp:extent cx="724662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-934085</wp:posOffset>
            </wp:positionV>
            <wp:extent cx="7246620"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-3789680</wp:posOffset>
            </wp:positionV>
            <wp:extent cx="72466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740" w:space="40"/>
            <w:col w:w="7640"/>
          </w:cols>
          <w:pgMar w:left="240" w:top="88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22" w:name="page23"/>
    <w:bookmarkEnd w:id="2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Landslide Holdings, Inc. (Crimson Acquisition Corp.)</w:t>
      </w:r>
      <w:r>
        <w:rPr>
          <w:rFonts w:ascii="Arial" w:cs="Arial" w:eastAsia="Arial" w:hAnsi="Arial"/>
          <w:sz w:val="21"/>
          <w:szCs w:val="21"/>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LTS Buyer LLC (Sidera Networks,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Unsecured Bond — 8.375% - 05/2019 - 45072PAD4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8.4%</w:t>
            </w:r>
          </w:p>
        </w:tc>
        <w:tc>
          <w:tcPr>
            <w:tcW w:w="3560" w:type="dxa"/>
            <w:vAlign w:val="bottom"/>
            <w:gridSpan w:val="2"/>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5/19</w:t>
            </w:r>
          </w:p>
        </w:tc>
        <w:tc>
          <w:tcPr>
            <w:tcW w:w="18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60"/>
              <w:spacing w:after="0" w:line="152"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52" w:lineRule="exact"/>
              <w:rPr>
                <w:sz w:val="20"/>
                <w:szCs w:val="20"/>
                <w:color w:val="auto"/>
              </w:rPr>
            </w:pPr>
            <w:r>
              <w:rPr>
                <w:rFonts w:ascii="Arial" w:cs="Arial" w:eastAsia="Arial" w:hAnsi="Arial"/>
                <w:sz w:val="14"/>
                <w:szCs w:val="14"/>
                <w:color w:val="auto"/>
              </w:rPr>
              <w:t>2,892,521</w:t>
            </w:r>
          </w:p>
        </w:tc>
        <w:tc>
          <w:tcPr>
            <w:tcW w:w="12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3,187,500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88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12.0% Cash, Due 5/15</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247,636</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228,563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9/15</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1,214,195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1,214,195</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1,214,195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9/15</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2,925,620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2,925,620</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2,925,620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4.8%</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2,692,152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2,679,887</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2,696,459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Dollar Term D-1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1,989,979</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2,003,621</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2,003,661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Dollar Term D-1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1,994,979</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2,012,272</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2,008,695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5.3%</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3,482,500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3,492,130</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3,483,893</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1/10</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3,034,968</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3,034,968</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40,669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B Loan (First Lien)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4/20</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3,980,000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3,974,154</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4,003,024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FFCC"/>
            </w:tcBorders>
            <w:gridSpan w:val="2"/>
            <w:shd w:val="clear" w:color="auto" w:fill="CCFFCC"/>
          </w:tcPr>
          <w:p>
            <w:pPr>
              <w:ind w:left="120"/>
              <w:spacing w:after="0"/>
              <w:rPr>
                <w:sz w:val="20"/>
                <w:szCs w:val="20"/>
                <w:color w:val="auto"/>
              </w:rPr>
            </w:pPr>
            <w:r>
              <w:rPr>
                <w:rFonts w:ascii="Arial" w:cs="Arial" w:eastAsia="Arial" w:hAnsi="Arial"/>
                <w:sz w:val="14"/>
                <w:szCs w:val="14"/>
                <w:color w:val="auto"/>
                <w:w w:val="93"/>
              </w:rPr>
              <w:t>6.0%</w:t>
            </w:r>
          </w:p>
        </w:tc>
        <w:tc>
          <w:tcPr>
            <w:tcW w:w="356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18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3,980,000</w:t>
            </w:r>
          </w:p>
        </w:tc>
        <w:tc>
          <w:tcPr>
            <w:tcW w:w="2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3,944,023</w:t>
            </w: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3,980,796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12/19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3,960,421</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3,999,200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-3343910</wp:posOffset>
            </wp:positionV>
            <wp:extent cx="724662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-3035300</wp:posOffset>
            </wp:positionV>
            <wp:extent cx="724662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-2726690</wp:posOffset>
            </wp:positionV>
            <wp:extent cx="724662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-2417445</wp:posOffset>
            </wp:positionV>
            <wp:extent cx="724662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-2108835</wp:posOffset>
            </wp:positionV>
            <wp:extent cx="72466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-1800225</wp:posOffset>
            </wp:positionV>
            <wp:extent cx="724662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-1491615</wp:posOffset>
            </wp:positionV>
            <wp:extent cx="724662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-1183005</wp:posOffset>
            </wp:positionV>
            <wp:extent cx="724662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-874395</wp:posOffset>
            </wp:positionV>
            <wp:extent cx="724662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-565150</wp:posOffset>
            </wp:positionV>
            <wp:extent cx="7246620" cy="257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-3661410</wp:posOffset>
            </wp:positionV>
            <wp:extent cx="72466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60" w:space="420"/>
            <w:col w:w="7640"/>
          </w:cols>
          <w:pgMar w:left="240" w:top="888" w:right="2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80" w:hanging="161"/>
        <w:spacing w:after="0" w:line="198" w:lineRule="auto"/>
        <w:rPr>
          <w:sz w:val="20"/>
          <w:szCs w:val="20"/>
          <w:color w:val="auto"/>
        </w:rPr>
      </w:pPr>
      <w:r>
        <w:rPr>
          <w:rFonts w:ascii="Arial" w:cs="Arial" w:eastAsia="Arial" w:hAnsi="Arial"/>
          <w:sz w:val="14"/>
          <w:szCs w:val="14"/>
          <w:color w:val="auto"/>
        </w:rPr>
        <w:t>Michael Foods Group, Inc. (f/k/a M-Foods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Beverage, Food and Tobacco</w:t>
      </w:r>
    </w:p>
    <w:p>
      <w:pPr>
        <w:spacing w:after="0" w:line="86" w:lineRule="exact"/>
        <w:rPr>
          <w:sz w:val="20"/>
          <w:szCs w:val="20"/>
          <w:color w:val="auto"/>
        </w:rPr>
      </w:pPr>
    </w:p>
    <w:p>
      <w:pPr>
        <w:jc w:val="right"/>
        <w:ind w:right="1780"/>
        <w:spacing w:after="0"/>
        <w:rPr>
          <w:sz w:val="20"/>
          <w:szCs w:val="20"/>
          <w:color w:val="auto"/>
        </w:rPr>
      </w:pPr>
      <w:r>
        <w:rPr>
          <w:rFonts w:ascii="Arial" w:cs="Arial" w:eastAsia="Arial" w:hAnsi="Arial"/>
          <w:sz w:val="13"/>
          <w:szCs w:val="13"/>
          <w:color w:val="auto"/>
        </w:rPr>
        <w:t>Nellson Nutraceutical, LLC</w:t>
      </w:r>
      <w:r>
        <w:rPr>
          <w:rFonts w:ascii="Arial" w:cs="Arial" w:eastAsia="Arial" w:hAnsi="Arial"/>
          <w:sz w:val="20"/>
          <w:szCs w:val="20"/>
          <w:color w:val="auto"/>
          <w:vertAlign w:val="superscript"/>
        </w:rPr>
        <w:t>9, 11</w:t>
      </w:r>
    </w:p>
    <w:p>
      <w:pPr>
        <w:jc w:val="right"/>
        <w:ind w:right="176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124" w:lineRule="exact"/>
        <w:rPr>
          <w:sz w:val="20"/>
          <w:szCs w:val="20"/>
          <w:color w:val="auto"/>
        </w:rPr>
      </w:pPr>
    </w:p>
    <w:p>
      <w:pPr>
        <w:ind w:right="80"/>
        <w:spacing w:after="0" w:line="197" w:lineRule="auto"/>
        <w:rPr>
          <w:sz w:val="20"/>
          <w:szCs w:val="20"/>
          <w:color w:val="auto"/>
        </w:rPr>
      </w:pPr>
      <w:r>
        <w:rPr>
          <w:rFonts w:ascii="Arial" w:cs="Arial" w:eastAsia="Arial" w:hAnsi="Arial"/>
          <w:sz w:val="14"/>
          <w:szCs w:val="14"/>
          <w:color w:val="auto"/>
        </w:rPr>
        <w:t>Pharmaceutical Product Development, Inc. (Jaguar Holdings,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134" w:lineRule="exact"/>
        <w:rPr>
          <w:sz w:val="20"/>
          <w:szCs w:val="20"/>
          <w:color w:val="auto"/>
        </w:rPr>
      </w:pPr>
    </w:p>
    <w:p>
      <w:pPr>
        <w:ind w:left="180" w:right="760" w:hanging="161"/>
        <w:spacing w:after="0" w:line="188" w:lineRule="auto"/>
        <w:rPr>
          <w:sz w:val="20"/>
          <w:szCs w:val="20"/>
          <w:color w:val="auto"/>
        </w:rPr>
      </w:pPr>
      <w:r>
        <w:rPr>
          <w:rFonts w:ascii="Arial" w:cs="Arial" w:eastAsia="Arial" w:hAnsi="Arial"/>
          <w:sz w:val="13"/>
          <w:szCs w:val="13"/>
          <w:color w:val="auto"/>
        </w:rPr>
        <w:t>Puerto Rico Cable Acquisition Company Inc.</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Media: Broadcasting &amp; Subscription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 L.P.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Spin Holdco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Secured Loan — Term B Facility</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4.3%</w:t>
            </w:r>
          </w:p>
        </w:tc>
        <w:tc>
          <w:tcPr>
            <w:tcW w:w="3560" w:type="dxa"/>
            <w:vAlign w:val="bottom"/>
            <w:gridSpan w:val="2"/>
            <w:shd w:val="clear" w:color="auto" w:fill="CCFFCC"/>
          </w:tcPr>
          <w:p>
            <w:pPr>
              <w:ind w:left="20"/>
              <w:spacing w:after="0" w:line="152" w:lineRule="exact"/>
              <w:rPr>
                <w:sz w:val="20"/>
                <w:szCs w:val="20"/>
                <w:color w:val="auto"/>
              </w:rPr>
            </w:pPr>
            <w:r>
              <w:rPr>
                <w:rFonts w:ascii="Arial" w:cs="Arial" w:eastAsia="Arial" w:hAnsi="Arial"/>
                <w:sz w:val="14"/>
                <w:szCs w:val="14"/>
                <w:color w:val="auto"/>
              </w:rPr>
              <w:t>Cash, Due 2/18</w:t>
            </w:r>
          </w:p>
        </w:tc>
        <w:tc>
          <w:tcPr>
            <w:tcW w:w="18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60"/>
              <w:spacing w:after="0" w:line="152" w:lineRule="exact"/>
              <w:rPr>
                <w:sz w:val="20"/>
                <w:szCs w:val="20"/>
                <w:color w:val="auto"/>
              </w:rPr>
            </w:pPr>
            <w:r>
              <w:rPr>
                <w:rFonts w:ascii="Arial" w:cs="Arial" w:eastAsia="Arial" w:hAnsi="Arial"/>
                <w:sz w:val="14"/>
                <w:szCs w:val="14"/>
                <w:color w:val="auto"/>
              </w:rPr>
              <w:t>1,751,716</w:t>
            </w:r>
          </w:p>
        </w:tc>
        <w:tc>
          <w:tcPr>
            <w:tcW w:w="220" w:type="dxa"/>
            <w:vAlign w:val="bottom"/>
            <w:shd w:val="clear" w:color="auto" w:fill="CCFFC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52" w:lineRule="exact"/>
              <w:rPr>
                <w:sz w:val="20"/>
                <w:szCs w:val="20"/>
                <w:color w:val="auto"/>
              </w:rPr>
            </w:pPr>
            <w:r>
              <w:rPr>
                <w:rFonts w:ascii="Arial" w:cs="Arial" w:eastAsia="Arial" w:hAnsi="Arial"/>
                <w:sz w:val="14"/>
                <w:szCs w:val="14"/>
                <w:color w:val="auto"/>
              </w:rPr>
              <w:t>1,761,555</w:t>
            </w:r>
          </w:p>
        </w:tc>
        <w:tc>
          <w:tcPr>
            <w:tcW w:w="12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1,753,116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8/18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1,995,000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1,981,056</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1,995,000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5/19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3,548,085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3,536,235</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3,549,504</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New Loans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11/17</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1,979,592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1,987,274</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1,992,746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2013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12/18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3,517,594</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3,529,732</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3,546,526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7/18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980,693</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982,374</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981,086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7/18</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2,942,080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2,928,491</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2,943,257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11/20</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2,985,253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3,005,625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Due 3/19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2,213,423</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2,193,867</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2,213,645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3/19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3,475,281</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3,454,967</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3,475,629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(First Lien)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4.3%</w:t>
            </w:r>
          </w:p>
        </w:tc>
        <w:tc>
          <w:tcPr>
            <w:tcW w:w="35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11/19</w:t>
            </w:r>
          </w:p>
        </w:tc>
        <w:tc>
          <w:tcPr>
            <w:tcW w:w="1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1,246,875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1,245,425</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1,255,454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-3086735</wp:posOffset>
            </wp:positionV>
            <wp:extent cx="72466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-2778125</wp:posOffset>
            </wp:positionV>
            <wp:extent cx="724662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-2469515</wp:posOffset>
            </wp:positionV>
            <wp:extent cx="72466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-2160270</wp:posOffset>
            </wp:positionV>
            <wp:extent cx="7246620"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-1757680</wp:posOffset>
            </wp:positionV>
            <wp:extent cx="724662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-1448435</wp:posOffset>
            </wp:positionV>
            <wp:extent cx="724662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-1139825</wp:posOffset>
            </wp:positionV>
            <wp:extent cx="724662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-3404235</wp:posOffset>
            </wp:positionV>
            <wp:extent cx="7246620" cy="222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20" w:space="160"/>
            <w:col w:w="7640"/>
          </w:cols>
          <w:pgMar w:left="240" w:top="888" w:right="239" w:bottom="1440" w:gutter="0" w:footer="0" w:header="0"/>
        </w:sectPr>
      </w:pPr>
    </w:p>
    <w:bookmarkStart w:id="24" w:name="page25"/>
    <w:bookmarkEnd w:id="24"/>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Spin Holdco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Stafford Logistics, Inc.(dba Custom Ecology,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Steinway Musical Instruments,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Sun Products Corporation, The (fka Huish Detergents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126" w:lineRule="exact"/>
        <w:rPr>
          <w:sz w:val="20"/>
          <w:szCs w:val="20"/>
          <w:color w:val="auto"/>
        </w:rPr>
      </w:pPr>
    </w:p>
    <w:p>
      <w:pPr>
        <w:ind w:left="180" w:right="820" w:hanging="161"/>
        <w:spacing w:after="0" w:line="221" w:lineRule="auto"/>
        <w:rPr>
          <w:sz w:val="20"/>
          <w:szCs w:val="20"/>
          <w:color w:val="auto"/>
        </w:rPr>
      </w:pPr>
      <w:r>
        <w:rPr>
          <w:rFonts w:ascii="Arial" w:cs="Arial" w:eastAsia="Arial" w:hAnsi="Arial"/>
          <w:sz w:val="13"/>
          <w:szCs w:val="13"/>
          <w:color w:val="auto"/>
        </w:rPr>
        <w:t>TPF II LC, LLC (TPF II Rolling Hills, LLC)</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Utilities: Electric</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TriZetto Group, Inc. (TZ Merger Sub,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TUI University,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Senior Secured Loan — Initial Term Loan (First Lien)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4.3%</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 Due 11/19</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60"/>
              <w:spacing w:after="0" w:line="152" w:lineRule="exact"/>
              <w:rPr>
                <w:sz w:val="20"/>
                <w:szCs w:val="20"/>
                <w:color w:val="auto"/>
              </w:rPr>
            </w:pPr>
            <w:r>
              <w:rPr>
                <w:rFonts w:ascii="Arial" w:cs="Arial" w:eastAsia="Arial" w:hAnsi="Arial"/>
                <w:sz w:val="14"/>
                <w:szCs w:val="14"/>
                <w:color w:val="auto"/>
              </w:rPr>
              <w:t>2,743,125</w:t>
            </w:r>
          </w:p>
        </w:tc>
        <w:tc>
          <w:tcPr>
            <w:tcW w:w="220" w:type="dxa"/>
            <w:vAlign w:val="bottom"/>
            <w:shd w:val="clear" w:color="auto" w:fill="CCFFC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52" w:lineRule="exact"/>
              <w:rPr>
                <w:sz w:val="20"/>
                <w:szCs w:val="20"/>
                <w:color w:val="auto"/>
              </w:rPr>
            </w:pPr>
            <w:r>
              <w:rPr>
                <w:rFonts w:ascii="Arial" w:cs="Arial" w:eastAsia="Arial" w:hAnsi="Arial"/>
                <w:sz w:val="14"/>
                <w:szCs w:val="14"/>
                <w:color w:val="auto"/>
              </w:rPr>
              <w:t>2,742,255</w:t>
            </w:r>
          </w:p>
        </w:tc>
        <w:tc>
          <w:tcPr>
            <w:tcW w:w="12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2,761,998</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6/19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2,985,000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2,957,663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2,985,896</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9.3%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9/20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990,403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1,001,900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Tranche B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3/20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3,970,000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3,941,540</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3,780,433</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8/19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2,985,000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2,942,573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2,987,985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4,864,844</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4,843,792</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4,863,871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7/16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3,891,875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3,875,033</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3,891,097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Unsecured Loan — Revolving Credit Facility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9.0%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11/17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23,000,000</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4.8%</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5/18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3,676,604</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3,684,234</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3,639,857</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11.0% Cash, , Due 12/17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10,400,000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10,234,558</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10,608,000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10/14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1,647,733</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1,637,909</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1,614,779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-2992120</wp:posOffset>
            </wp:positionV>
            <wp:extent cx="72466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-2683510</wp:posOffset>
            </wp:positionV>
            <wp:extent cx="724662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-2374900</wp:posOffset>
            </wp:positionV>
            <wp:extent cx="72466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-2066290</wp:posOffset>
            </wp:positionV>
            <wp:extent cx="724662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-1757680</wp:posOffset>
            </wp:positionV>
            <wp:extent cx="724662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-1448435</wp:posOffset>
            </wp:positionV>
            <wp:extent cx="724662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-1139825</wp:posOffset>
            </wp:positionV>
            <wp:extent cx="724662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-3309620</wp:posOffset>
            </wp:positionV>
            <wp:extent cx="724662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40" w:space="140"/>
            <w:col w:w="7640"/>
          </w:cols>
          <w:pgMar w:left="240" w:top="888" w:right="239" w:bottom="1440" w:gutter="0" w:footer="0" w:header="0"/>
        </w:sectPr>
      </w:pPr>
    </w:p>
    <w:bookmarkStart w:id="25" w:name="page26"/>
    <w:bookmarkEnd w:id="25"/>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w:t>
      </w:r>
    </w:p>
    <w:p>
      <w:pPr>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24" w:lineRule="exact"/>
        <w:rPr>
          <w:sz w:val="20"/>
          <w:szCs w:val="20"/>
          <w:color w:val="auto"/>
        </w:rPr>
      </w:pPr>
    </w:p>
    <w:p>
      <w:pPr>
        <w:spacing w:after="0" w:line="197" w:lineRule="auto"/>
        <w:rPr>
          <w:sz w:val="20"/>
          <w:szCs w:val="20"/>
          <w:color w:val="auto"/>
        </w:rPr>
      </w:pPr>
      <w:r>
        <w:rPr>
          <w:rFonts w:ascii="Arial" w:cs="Arial" w:eastAsia="Arial" w:hAnsi="Arial"/>
          <w:sz w:val="14"/>
          <w:szCs w:val="14"/>
          <w:color w:val="auto"/>
        </w:rPr>
        <w:t>Vestcom International, Inc. (fka Vector Investment Holdings,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40" w:type="dxa"/>
            <w:vAlign w:val="bottom"/>
            <w:gridSpan w:val="2"/>
            <w:shd w:val="clear" w:color="auto" w:fill="CCFFCC"/>
          </w:tcPr>
          <w:p>
            <w:pPr>
              <w:ind w:left="120"/>
              <w:spacing w:after="0" w:line="152"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52" w:lineRule="exact"/>
              <w:rPr>
                <w:sz w:val="20"/>
                <w:szCs w:val="20"/>
                <w:color w:val="auto"/>
              </w:rPr>
            </w:pPr>
            <w:r>
              <w:rPr>
                <w:rFonts w:ascii="Arial" w:cs="Arial" w:eastAsia="Arial" w:hAnsi="Arial"/>
                <w:sz w:val="14"/>
                <w:szCs w:val="14"/>
                <w:color w:val="auto"/>
              </w:rPr>
              <w:t>Cash, , Due 6/20</w:t>
            </w:r>
          </w:p>
        </w:tc>
        <w:tc>
          <w:tcPr>
            <w:tcW w:w="280" w:type="dxa"/>
            <w:vAlign w:val="bottom"/>
            <w:gridSpan w:val="2"/>
            <w:shd w:val="clear" w:color="auto" w:fill="CCFFCC"/>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60"/>
              <w:spacing w:after="0" w:line="152"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FFCC"/>
          </w:tcPr>
          <w:p>
            <w:pPr>
              <w:jc w:val="right"/>
              <w:ind w:right="4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52" w:lineRule="exact"/>
              <w:rPr>
                <w:sz w:val="20"/>
                <w:szCs w:val="20"/>
                <w:color w:val="auto"/>
              </w:rPr>
            </w:pPr>
            <w:r>
              <w:rPr>
                <w:rFonts w:ascii="Arial" w:cs="Arial" w:eastAsia="Arial" w:hAnsi="Arial"/>
                <w:sz w:val="14"/>
                <w:szCs w:val="14"/>
                <w:color w:val="auto"/>
              </w:rPr>
              <w:t>1,004,735</w:t>
            </w:r>
          </w:p>
        </w:tc>
        <w:tc>
          <w:tcPr>
            <w:tcW w:w="120" w:type="dxa"/>
            <w:vAlign w:val="bottom"/>
            <w:shd w:val="clear" w:color="auto" w:fill="CCFFCC"/>
          </w:tcPr>
          <w:p>
            <w:pPr>
              <w:jc w:val="right"/>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1,030,005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3.5%</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2/17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1,965,101</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1,980,166</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1,975,379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5.0%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6/17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2,924,675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2,921,597</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2,906,601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 (2013)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4.3%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10/19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1,202,077</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1,201,491</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1,203,039</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7.0%</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12/18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2,977,500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2,939,085</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2,978,095</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990,219</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990,000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3"/>
              </w:rPr>
              <w:t>6.3%</w:t>
            </w:r>
          </w:p>
        </w:tc>
        <w:tc>
          <w:tcPr>
            <w:tcW w:w="344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 Due 11/18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3,960,876</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3,960,000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Junior Secured Loan — Subordinated Note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14.0% Cash, , Due 10/17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6,648,596</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6,614,827</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-2160270</wp:posOffset>
            </wp:positionV>
            <wp:extent cx="724662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-1851660</wp:posOffset>
            </wp:positionV>
            <wp:extent cx="72466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-1543050</wp:posOffset>
            </wp:positionV>
            <wp:extent cx="72466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-1234440</wp:posOffset>
            </wp:positionV>
            <wp:extent cx="724662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-831215</wp:posOffset>
            </wp:positionV>
            <wp:extent cx="724662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-522605</wp:posOffset>
            </wp:positionV>
            <wp:extent cx="724662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-213995</wp:posOffset>
            </wp:positionV>
            <wp:extent cx="724662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-2477770</wp:posOffset>
            </wp:positionV>
            <wp:extent cx="72466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260"/>
            <w:col w:w="7640"/>
          </w:cols>
          <w:pgMar w:left="240" w:top="888" w:right="239" w:bottom="1440" w:gutter="0" w:footer="0" w:header="0"/>
        </w:sectPr>
      </w:pPr>
    </w:p>
    <w:bookmarkStart w:id="26" w:name="page27"/>
    <w:bookmarkEnd w:id="26"/>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 Principal Business</w:t>
      </w:r>
    </w:p>
    <w:p>
      <w:pPr>
        <w:spacing w:after="0" w:line="197" w:lineRule="auto"/>
        <w:rPr>
          <w:sz w:val="20"/>
          <w:szCs w:val="20"/>
          <w:color w:val="auto"/>
        </w:rPr>
      </w:pPr>
      <w:r>
        <w:rPr>
          <w:rFonts w:ascii="Arial" w:cs="Arial" w:eastAsia="Arial" w:hAnsi="Arial"/>
          <w:sz w:val="14"/>
          <w:szCs w:val="14"/>
          <w:color w:val="auto"/>
        </w:rPr>
        <w:t>WideOpenWest Finance , LLC</w:t>
      </w:r>
      <w:r>
        <w:rPr>
          <w:rFonts w:ascii="Arial" w:cs="Arial" w:eastAsia="Arial" w:hAnsi="Arial"/>
          <w:sz w:val="23"/>
          <w:szCs w:val="23"/>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WTG Holdings III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147" w:lineRule="exact"/>
        <w:rPr>
          <w:sz w:val="20"/>
          <w:szCs w:val="20"/>
          <w:color w:val="auto"/>
        </w:rPr>
      </w:pPr>
    </w:p>
    <w:p>
      <w:pPr>
        <w:ind w:left="180" w:right="580" w:hanging="161"/>
        <w:spacing w:after="0" w:line="342" w:lineRule="auto"/>
        <w:rPr>
          <w:sz w:val="20"/>
          <w:szCs w:val="20"/>
          <w:color w:val="auto"/>
        </w:rPr>
      </w:pPr>
      <w:r>
        <w:rPr>
          <w:rFonts w:ascii="Arial" w:cs="Arial" w:eastAsia="Arial" w:hAnsi="Arial"/>
          <w:sz w:val="12"/>
          <w:szCs w:val="12"/>
          <w:b w:val="1"/>
          <w:bCs w:val="1"/>
          <w:color w:val="auto"/>
        </w:rPr>
        <w:t>Total Investment in Debt Securities (107%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CCFFCC"/>
          </w:tcPr>
          <w:p>
            <w:pPr>
              <w:spacing w:after="0"/>
              <w:rPr>
                <w:sz w:val="13"/>
                <w:szCs w:val="13"/>
                <w:color w:val="auto"/>
              </w:rPr>
            </w:pPr>
          </w:p>
        </w:tc>
        <w:tc>
          <w:tcPr>
            <w:tcW w:w="3760" w:type="dxa"/>
            <w:vAlign w:val="bottom"/>
            <w:shd w:val="clear" w:color="auto" w:fill="CCFFCC"/>
          </w:tcPr>
          <w:p>
            <w:pPr>
              <w:spacing w:after="0" w:line="152" w:lineRule="exact"/>
              <w:rPr>
                <w:sz w:val="20"/>
                <w:szCs w:val="20"/>
                <w:color w:val="auto"/>
              </w:rPr>
            </w:pPr>
            <w:r>
              <w:rPr>
                <w:rFonts w:ascii="Arial" w:cs="Arial" w:eastAsia="Arial" w:hAnsi="Arial"/>
                <w:sz w:val="14"/>
                <w:szCs w:val="14"/>
                <w:color w:val="auto"/>
              </w:rPr>
              <w:t>4.8% Cash, , Due 4/19</w:t>
            </w:r>
          </w:p>
        </w:tc>
        <w:tc>
          <w:tcPr>
            <w:tcW w:w="280" w:type="dxa"/>
            <w:vAlign w:val="bottom"/>
            <w:gridSpan w:val="2"/>
            <w:shd w:val="clear" w:color="auto" w:fill="CCFFCC"/>
          </w:tcPr>
          <w:p>
            <w:pPr>
              <w:jc w:val="right"/>
              <w:ind w:right="8"/>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2,984,962</w:t>
            </w:r>
          </w:p>
        </w:tc>
        <w:tc>
          <w:tcPr>
            <w:tcW w:w="34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line="152" w:lineRule="exact"/>
              <w:rPr>
                <w:sz w:val="20"/>
                <w:szCs w:val="20"/>
                <w:color w:val="auto"/>
              </w:rPr>
            </w:pPr>
            <w:r>
              <w:rPr>
                <w:rFonts w:ascii="Arial" w:cs="Arial" w:eastAsia="Arial" w:hAnsi="Arial"/>
                <w:sz w:val="14"/>
                <w:szCs w:val="14"/>
                <w:color w:val="auto"/>
              </w:rPr>
              <w:t>3,005,566</w:t>
            </w:r>
          </w:p>
        </w:tc>
        <w:tc>
          <w:tcPr>
            <w:tcW w:w="220" w:type="dxa"/>
            <w:vAlign w:val="bottom"/>
            <w:gridSpan w:val="2"/>
            <w:shd w:val="clear" w:color="auto" w:fill="CCFFCC"/>
          </w:tcPr>
          <w:p>
            <w:pPr>
              <w:jc w:val="right"/>
              <w:ind w:right="20"/>
              <w:spacing w:after="0" w:line="15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line="152" w:lineRule="exact"/>
              <w:rPr>
                <w:sz w:val="20"/>
                <w:szCs w:val="20"/>
                <w:color w:val="auto"/>
              </w:rPr>
            </w:pPr>
            <w:r>
              <w:rPr>
                <w:rFonts w:ascii="Arial" w:cs="Arial" w:eastAsia="Arial" w:hAnsi="Arial"/>
                <w:sz w:val="14"/>
                <w:szCs w:val="14"/>
                <w:color w:val="auto"/>
              </w:rPr>
              <w:t>3,005,111</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11.8% Cash, , Due 5/17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4,977,052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5,121,000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shd w:val="clear" w:color="auto" w:fill="CCFFCC"/>
          </w:tcPr>
          <w:p>
            <w:pPr>
              <w:spacing w:after="0"/>
              <w:rPr>
                <w:sz w:val="12"/>
                <w:szCs w:val="12"/>
                <w:color w:val="auto"/>
              </w:rPr>
            </w:pPr>
          </w:p>
        </w:tc>
        <w:tc>
          <w:tcPr>
            <w:tcW w:w="3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11.8% Cash, , Due 5/17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2,986,231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3,072,600</w:t>
            </w: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8.5% Cash, , Due 1/22</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4,000,000</w:t>
            </w: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3,980,000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3,980,000</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276,978,279</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275,213,594</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266,830,427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-1148715</wp:posOffset>
            </wp:positionV>
            <wp:extent cx="724662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-840105</wp:posOffset>
            </wp:positionV>
            <wp:extent cx="724662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-530860</wp:posOffset>
            </wp:positionV>
            <wp:extent cx="7246620" cy="222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-205105</wp:posOffset>
            </wp:positionV>
            <wp:extent cx="7246620"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-1465580</wp:posOffset>
            </wp:positionV>
            <wp:extent cx="7246620"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720"/>
            <w:col w:w="7640"/>
          </w:cols>
          <w:pgMar w:left="240" w:top="8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Investment</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Interest/Shares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1660" w:type="dxa"/>
            <w:vAlign w:val="bottom"/>
          </w:tcPr>
          <w:p>
            <w:pPr>
              <w:spacing w:after="0"/>
              <w:rPr>
                <w:sz w:val="20"/>
                <w:szCs w:val="20"/>
                <w:color w:val="auto"/>
              </w:rPr>
            </w:pPr>
            <w:r>
              <w:rPr>
                <w:rFonts w:ascii="Arial" w:cs="Arial" w:eastAsia="Arial" w:hAnsi="Arial"/>
                <w:sz w:val="14"/>
                <w:szCs w:val="14"/>
                <w:color w:val="auto"/>
              </w:rPr>
              <w:t>Partnership Interests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Aerostructures Holdings L.P.</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1660" w:type="dxa"/>
            <w:vAlign w:val="bottom"/>
          </w:tcPr>
          <w:p>
            <w:pPr>
              <w:spacing w:after="0"/>
              <w:rPr>
                <w:sz w:val="20"/>
                <w:szCs w:val="20"/>
                <w:color w:val="auto"/>
              </w:rPr>
            </w:pPr>
            <w:r>
              <w:rPr>
                <w:rFonts w:ascii="Arial" w:cs="Arial" w:eastAsia="Arial" w:hAnsi="Arial"/>
                <w:sz w:val="14"/>
                <w:szCs w:val="14"/>
                <w:color w:val="auto"/>
                <w:w w:val="94"/>
              </w:rPr>
              <w:t>Series A Preferred Interests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tcPr>
          <w:p>
            <w:pPr>
              <w:spacing w:after="0"/>
              <w:rPr>
                <w:sz w:val="20"/>
                <w:szCs w:val="20"/>
                <w:color w:val="auto"/>
              </w:rPr>
            </w:pPr>
            <w:r>
              <w:rPr>
                <w:rFonts w:ascii="Arial" w:cs="Arial" w:eastAsia="Arial" w:hAnsi="Arial"/>
                <w:sz w:val="14"/>
                <w:szCs w:val="14"/>
                <w:color w:val="auto"/>
              </w:rPr>
              <w:t>Class A Warrants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tcPr>
          <w:p>
            <w:pPr>
              <w:spacing w:after="0"/>
              <w:rPr>
                <w:sz w:val="20"/>
                <w:szCs w:val="20"/>
                <w:color w:val="auto"/>
              </w:rPr>
            </w:pPr>
            <w:r>
              <w:rPr>
                <w:rFonts w:ascii="Arial" w:cs="Arial" w:eastAsia="Arial" w:hAnsi="Arial"/>
                <w:sz w:val="14"/>
                <w:szCs w:val="14"/>
                <w:color w:val="auto"/>
              </w:rPr>
              <w:t>Class B Warrants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tcPr>
          <w:p>
            <w:pPr>
              <w:spacing w:after="0"/>
              <w:rPr>
                <w:sz w:val="20"/>
                <w:szCs w:val="20"/>
                <w:color w:val="auto"/>
              </w:rPr>
            </w:pPr>
            <w:r>
              <w:rPr>
                <w:rFonts w:ascii="Arial" w:cs="Arial" w:eastAsia="Arial" w:hAnsi="Arial"/>
                <w:sz w:val="14"/>
                <w:szCs w:val="14"/>
                <w:color w:val="auto"/>
              </w:rPr>
              <w:t>Class C Warrants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Banking, Finance, Insurance &amp; Real Estate</w:t>
            </w:r>
          </w:p>
        </w:tc>
        <w:tc>
          <w:tcPr>
            <w:tcW w:w="1660" w:type="dxa"/>
            <w:vAlign w:val="bottom"/>
          </w:tcPr>
          <w:p>
            <w:pPr>
              <w:spacing w:after="0"/>
              <w:rPr>
                <w:sz w:val="20"/>
                <w:szCs w:val="20"/>
                <w:color w:val="auto"/>
              </w:rPr>
            </w:pPr>
            <w:r>
              <w:rPr>
                <w:rFonts w:ascii="Arial" w:cs="Arial" w:eastAsia="Arial" w:hAnsi="Arial"/>
                <w:sz w:val="14"/>
                <w:szCs w:val="14"/>
                <w:color w:val="auto"/>
              </w:rPr>
              <w:t>Common Stock 2013</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900" w:type="dxa"/>
            <w:vAlign w:val="bottom"/>
            <w:gridSpan w:val="3"/>
          </w:tcPr>
          <w:p>
            <w:pPr>
              <w:spacing w:after="0"/>
              <w:rPr>
                <w:sz w:val="20"/>
                <w:szCs w:val="20"/>
                <w:color w:val="auto"/>
              </w:rPr>
            </w:pPr>
            <w:r>
              <w:rPr>
                <w:rFonts w:ascii="Arial" w:cs="Arial" w:eastAsia="Arial" w:hAnsi="Arial"/>
                <w:sz w:val="14"/>
                <w:szCs w:val="14"/>
                <w:color w:val="auto"/>
              </w:rPr>
              <w:t>Caribe Media Inc. (fka Caribe Information Investments</w:t>
            </w:r>
          </w:p>
        </w:tc>
        <w:tc>
          <w:tcPr>
            <w:tcW w:w="1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900" w:type="dxa"/>
            <w:vAlign w:val="bottom"/>
            <w:gridSpan w:val="3"/>
          </w:tcPr>
          <w:p>
            <w:pPr>
              <w:spacing w:after="0" w:line="179"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5, 9</w:t>
            </w:r>
          </w:p>
        </w:tc>
        <w:tc>
          <w:tcPr>
            <w:tcW w:w="1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Media: Advertising, Printing &amp; Publishing</w:t>
            </w:r>
          </w:p>
        </w:tc>
        <w:tc>
          <w:tcPr>
            <w:tcW w:w="1660" w:type="dxa"/>
            <w:vAlign w:val="bottom"/>
          </w:tcPr>
          <w:p>
            <w:pPr>
              <w:spacing w:after="0"/>
              <w:rPr>
                <w:sz w:val="20"/>
                <w:szCs w:val="20"/>
                <w:color w:val="auto"/>
              </w:rPr>
            </w:pPr>
            <w:r>
              <w:rPr>
                <w:rFonts w:ascii="Arial" w:cs="Arial" w:eastAsia="Arial" w:hAnsi="Arial"/>
                <w:sz w:val="14"/>
                <w:szCs w:val="14"/>
                <w:color w:val="auto"/>
              </w:rPr>
              <w:t>Common</w:t>
            </w: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Coastal Concrete Holding II, LLC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Construction &amp; Building</w:t>
            </w:r>
          </w:p>
        </w:tc>
        <w:tc>
          <w:tcPr>
            <w:tcW w:w="1660" w:type="dxa"/>
            <w:vAlign w:val="bottom"/>
          </w:tcPr>
          <w:p>
            <w:pPr>
              <w:spacing w:after="0"/>
              <w:rPr>
                <w:sz w:val="20"/>
                <w:szCs w:val="20"/>
                <w:color w:val="auto"/>
              </w:rPr>
            </w:pPr>
            <w:r>
              <w:rPr>
                <w:rFonts w:ascii="Arial" w:cs="Arial" w:eastAsia="Arial" w:hAnsi="Arial"/>
                <w:sz w:val="14"/>
                <w:szCs w:val="14"/>
                <w:color w:val="auto"/>
              </w:rPr>
              <w:t>Class A Units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eInstruction Acquisition, LLC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Services: Consumer</w:t>
            </w:r>
          </w:p>
        </w:tc>
        <w:tc>
          <w:tcPr>
            <w:tcW w:w="1660" w:type="dxa"/>
            <w:vAlign w:val="bottom"/>
          </w:tcPr>
          <w:p>
            <w:pPr>
              <w:spacing w:after="0"/>
              <w:rPr>
                <w:sz w:val="20"/>
                <w:szCs w:val="20"/>
                <w:color w:val="auto"/>
              </w:rPr>
            </w:pPr>
            <w:r>
              <w:rPr>
                <w:rFonts w:ascii="Arial" w:cs="Arial" w:eastAsia="Arial" w:hAnsi="Arial"/>
                <w:sz w:val="14"/>
                <w:szCs w:val="14"/>
                <w:color w:val="auto"/>
              </w:rPr>
              <w:t>Membership Units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FP WRCA Coinvestment Fund VII, Ltd.</w:t>
            </w:r>
            <w:r>
              <w:rPr>
                <w:rFonts w:ascii="Arial" w:cs="Arial" w:eastAsia="Arial" w:hAnsi="Arial"/>
                <w:sz w:val="23"/>
                <w:szCs w:val="23"/>
                <w:color w:val="auto"/>
                <w:vertAlign w:val="superscript"/>
              </w:rPr>
              <w:t>3, 5,</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Capital Equipment</w:t>
            </w:r>
          </w:p>
        </w:tc>
        <w:tc>
          <w:tcPr>
            <w:tcW w:w="1660" w:type="dxa"/>
            <w:vAlign w:val="bottom"/>
          </w:tcPr>
          <w:p>
            <w:pPr>
              <w:spacing w:after="0"/>
              <w:rPr>
                <w:sz w:val="20"/>
                <w:szCs w:val="20"/>
                <w:color w:val="auto"/>
              </w:rPr>
            </w:pPr>
            <w:r>
              <w:rPr>
                <w:rFonts w:ascii="Arial" w:cs="Arial" w:eastAsia="Arial" w:hAnsi="Arial"/>
                <w:sz w:val="14"/>
                <w:szCs w:val="14"/>
                <w:color w:val="auto"/>
              </w:rPr>
              <w:t>Class A Shares</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Hotel, Gaming &amp; Leisure</w:t>
            </w:r>
          </w:p>
        </w:tc>
        <w:tc>
          <w:tcPr>
            <w:tcW w:w="1660" w:type="dxa"/>
            <w:vAlign w:val="bottom"/>
          </w:tcPr>
          <w:p>
            <w:pPr>
              <w:spacing w:after="0"/>
              <w:rPr>
                <w:sz w:val="20"/>
                <w:szCs w:val="20"/>
                <w:color w:val="auto"/>
              </w:rPr>
            </w:pPr>
            <w:r>
              <w:rPr>
                <w:rFonts w:ascii="Arial" w:cs="Arial" w:eastAsia="Arial" w:hAnsi="Arial"/>
                <w:sz w:val="14"/>
                <w:szCs w:val="14"/>
                <w:color w:val="auto"/>
              </w:rPr>
              <w:t>Common</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Investment</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Interest/Shares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tcPr>
          <w:p>
            <w:pPr>
              <w:spacing w:after="0" w:line="163"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8"/>
                <w:szCs w:val="18"/>
                <w:color w:val="auto"/>
                <w:vertAlign w:val="superscript"/>
              </w:rPr>
              <w:t>5, 9</w:t>
            </w:r>
          </w:p>
        </w:tc>
        <w:tc>
          <w:tcPr>
            <w:tcW w:w="1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Consumer goods: Durable</w:t>
            </w:r>
          </w:p>
        </w:tc>
        <w:tc>
          <w:tcPr>
            <w:tcW w:w="1660" w:type="dxa"/>
            <w:vAlign w:val="bottom"/>
          </w:tcPr>
          <w:p>
            <w:pPr>
              <w:spacing w:after="0"/>
              <w:rPr>
                <w:sz w:val="20"/>
                <w:szCs w:val="20"/>
                <w:color w:val="auto"/>
              </w:rPr>
            </w:pPr>
            <w:r>
              <w:rPr>
                <w:rFonts w:ascii="Arial" w:cs="Arial" w:eastAsia="Arial" w:hAnsi="Arial"/>
                <w:sz w:val="14"/>
                <w:szCs w:val="14"/>
                <w:color w:val="auto"/>
              </w:rPr>
              <w:t>Common</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7.8%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Plumbing Holdings Corporation</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Consumer goods: Durable</w:t>
            </w:r>
          </w:p>
        </w:tc>
        <w:tc>
          <w:tcPr>
            <w:tcW w:w="1660" w:type="dxa"/>
            <w:vAlign w:val="bottom"/>
          </w:tcPr>
          <w:p>
            <w:pPr>
              <w:spacing w:after="0"/>
              <w:rPr>
                <w:sz w:val="20"/>
                <w:szCs w:val="20"/>
                <w:color w:val="auto"/>
              </w:rPr>
            </w:pPr>
            <w:r>
              <w:rPr>
                <w:rFonts w:ascii="Arial" w:cs="Arial" w:eastAsia="Arial" w:hAnsi="Arial"/>
                <w:sz w:val="14"/>
                <w:szCs w:val="14"/>
                <w:color w:val="auto"/>
              </w:rPr>
              <w:t>Preferred</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900" w:type="dxa"/>
            <w:vAlign w:val="bottom"/>
            <w:gridSpan w:val="3"/>
          </w:tcPr>
          <w:p>
            <w:pPr>
              <w:spacing w:after="0"/>
              <w:rPr>
                <w:sz w:val="20"/>
                <w:szCs w:val="20"/>
                <w:color w:val="auto"/>
              </w:rPr>
            </w:pPr>
            <w:r>
              <w:rPr>
                <w:rFonts w:ascii="Arial" w:cs="Arial" w:eastAsia="Arial" w:hAnsi="Arial"/>
                <w:sz w:val="14"/>
                <w:szCs w:val="14"/>
                <w:color w:val="auto"/>
              </w:rPr>
              <w:t>TRSO II, Inc.</w:t>
            </w:r>
            <w:r>
              <w:rPr>
                <w:rFonts w:ascii="Arial" w:cs="Arial" w:eastAsia="Arial" w:hAnsi="Arial"/>
                <w:sz w:val="23"/>
                <w:szCs w:val="23"/>
                <w:color w:val="auto"/>
                <w:vertAlign w:val="superscript"/>
              </w:rPr>
              <w:t>5, 9</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i w:val="1"/>
                <w:iCs w:val="1"/>
                <w:color w:val="auto"/>
              </w:rPr>
              <w:t>Energy: Oil &amp; Gas</w:t>
            </w:r>
          </w:p>
        </w:tc>
        <w:tc>
          <w:tcPr>
            <w:tcW w:w="1660" w:type="dxa"/>
            <w:vAlign w:val="bottom"/>
          </w:tcPr>
          <w:p>
            <w:pPr>
              <w:spacing w:after="0"/>
              <w:rPr>
                <w:sz w:val="20"/>
                <w:szCs w:val="20"/>
                <w:color w:val="auto"/>
              </w:rPr>
            </w:pPr>
            <w:r>
              <w:rPr>
                <w:rFonts w:ascii="Arial" w:cs="Arial" w:eastAsia="Arial" w:hAnsi="Arial"/>
                <w:sz w:val="14"/>
                <w:szCs w:val="14"/>
                <w:color w:val="auto"/>
              </w:rPr>
              <w:t>Common Stock</w:t>
            </w:r>
          </w:p>
        </w:tc>
        <w:tc>
          <w:tcPr>
            <w:tcW w:w="3440" w:type="dxa"/>
            <w:vAlign w:val="bottom"/>
            <w:gridSpan w:val="4"/>
          </w:tcPr>
          <w:p>
            <w:pPr>
              <w:jc w:val="right"/>
              <w:ind w:right="60"/>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1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6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12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4"/>
                <w:szCs w:val="14"/>
                <w:b w:val="1"/>
                <w:bCs w:val="1"/>
                <w:color w:val="auto"/>
              </w:rPr>
              <w:t>(4% of net asset value at fair value)</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tcPr>
          <w:p>
            <w:pPr>
              <w:jc w:val="right"/>
              <w:ind w:right="178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-4982210</wp:posOffset>
            </wp:positionV>
            <wp:extent cx="724662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-4672965</wp:posOffset>
            </wp:positionV>
            <wp:extent cx="724662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-4364355</wp:posOffset>
            </wp:positionV>
            <wp:extent cx="724662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-3747135</wp:posOffset>
            </wp:positionV>
            <wp:extent cx="724662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246620" cy="308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4662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-2726690</wp:posOffset>
            </wp:positionV>
            <wp:extent cx="724662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-2417445</wp:posOffset>
            </wp:positionV>
            <wp:extent cx="724662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-5299075</wp:posOffset>
            </wp:positionV>
            <wp:extent cx="7246620"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1974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222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860" w:type="dxa"/>
            <w:vAlign w:val="bottom"/>
          </w:tcPr>
          <w:p>
            <w:pPr>
              <w:jc w:val="right"/>
              <w:ind w:right="504"/>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color w:val="auto"/>
                <w:w w:val="95"/>
                <w:vertAlign w:val="superscript"/>
              </w:rPr>
              <w:t>2</w:t>
            </w:r>
          </w:p>
        </w:tc>
      </w:tr>
      <w:tr>
        <w:trPr>
          <w:trHeight w:val="346"/>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1,000,000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rPr>
              <w:t>250,961</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207,988</w:t>
            </w:r>
          </w:p>
        </w:tc>
      </w:tr>
      <w:tr>
        <w:trPr>
          <w:trHeight w:val="471"/>
        </w:trPr>
        <w:tc>
          <w:tcPr>
            <w:tcW w:w="86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1"/>
        </w:trPr>
        <w:tc>
          <w:tcPr>
            <w:tcW w:w="860" w:type="dxa"/>
            <w:vAlign w:val="bottom"/>
          </w:tcPr>
          <w:p>
            <w:pPr>
              <w:jc w:val="right"/>
              <w:ind w:right="144"/>
              <w:spacing w:after="0"/>
              <w:rPr>
                <w:sz w:val="20"/>
                <w:szCs w:val="20"/>
                <w:color w:val="auto"/>
              </w:rPr>
            </w:pPr>
            <w:r>
              <w:rPr>
                <w:rFonts w:ascii="Arial" w:cs="Arial" w:eastAsia="Arial" w:hAnsi="Arial"/>
                <w:sz w:val="14"/>
                <w:szCs w:val="14"/>
                <w:color w:val="auto"/>
              </w:rPr>
              <w:t>314,325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309,363</w:t>
            </w:r>
          </w:p>
        </w:tc>
      </w:tr>
      <w:tr>
        <w:trPr>
          <w:trHeight w:val="635"/>
        </w:trPr>
        <w:tc>
          <w:tcPr>
            <w:tcW w:w="860" w:type="dxa"/>
            <w:vAlign w:val="bottom"/>
          </w:tcPr>
          <w:p>
            <w:pPr>
              <w:jc w:val="right"/>
              <w:ind w:right="144"/>
              <w:spacing w:after="0"/>
              <w:rPr>
                <w:sz w:val="20"/>
                <w:szCs w:val="20"/>
                <w:color w:val="auto"/>
              </w:rPr>
            </w:pPr>
            <w:r>
              <w:rPr>
                <w:rFonts w:ascii="Arial" w:cs="Arial" w:eastAsia="Arial" w:hAnsi="Arial"/>
                <w:sz w:val="14"/>
                <w:szCs w:val="14"/>
                <w:color w:val="auto"/>
              </w:rPr>
              <w:t>359,765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692,710</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8,625,626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1,079,617</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1,500,000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1,735,604</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98"/>
        </w:trPr>
        <w:tc>
          <w:tcPr>
            <w:tcW w:w="860" w:type="dxa"/>
            <w:vAlign w:val="bottom"/>
          </w:tcPr>
          <w:p>
            <w:pPr>
              <w:jc w:val="right"/>
              <w:ind w:right="504"/>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color w:val="auto"/>
                <w:w w:val="95"/>
                <w:vertAlign w:val="superscript"/>
              </w:rPr>
              <w:t>2</w:t>
            </w:r>
          </w:p>
        </w:tc>
      </w:tr>
      <w:tr>
        <w:trPr>
          <w:trHeight w:val="346"/>
        </w:trPr>
        <w:tc>
          <w:tcPr>
            <w:tcW w:w="86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1,581,481</w:t>
            </w:r>
          </w:p>
        </w:tc>
      </w:tr>
      <w:tr>
        <w:trPr>
          <w:trHeight w:val="486"/>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3,725,390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4,152,689</w:t>
            </w:r>
          </w:p>
        </w:tc>
      </w:tr>
      <w:tr>
        <w:trPr>
          <w:trHeight w:val="485"/>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99"/>
              </w:rPr>
              <w:t>1,500,000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2,322,563</w:t>
            </w:r>
          </w:p>
        </w:tc>
      </w:tr>
      <w:tr>
        <w:trPr>
          <w:trHeight w:val="453"/>
        </w:trPr>
        <w:tc>
          <w:tcPr>
            <w:tcW w:w="860" w:type="dxa"/>
            <w:vAlign w:val="bottom"/>
          </w:tcPr>
          <w:p>
            <w:pPr>
              <w:jc w:val="right"/>
              <w:ind w:right="144"/>
              <w:spacing w:after="0"/>
              <w:rPr>
                <w:sz w:val="20"/>
                <w:szCs w:val="20"/>
                <w:color w:val="auto"/>
              </w:rPr>
            </w:pPr>
            <w:r>
              <w:rPr>
                <w:rFonts w:ascii="Arial" w:cs="Arial" w:eastAsia="Arial" w:hAnsi="Arial"/>
                <w:sz w:val="14"/>
                <w:szCs w:val="14"/>
                <w:color w:val="auto"/>
                <w:w w:val="88"/>
              </w:rPr>
              <w:t>18,755,684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11,006,398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-8255</wp:posOffset>
            </wp:positionV>
            <wp:extent cx="643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-307975</wp:posOffset>
            </wp:positionV>
            <wp:extent cx="643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2">
            <w:col w:w="9140" w:space="300"/>
            <w:col w:w="1880"/>
          </w:cols>
          <w:pgMar w:left="24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vMerge w:val="continue"/>
            <w:shd w:val="clear" w:color="auto" w:fill="CCFFCC"/>
          </w:tcPr>
          <w:p>
            <w:pPr>
              <w:spacing w:after="0"/>
              <w:rPr>
                <w:sz w:val="15"/>
                <w:szCs w:val="15"/>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22.2%</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4,715,553</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1,052,164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3, 10</w:t>
            </w:r>
          </w:p>
        </w:tc>
        <w:tc>
          <w:tcPr>
            <w:tcW w:w="388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1,618,611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3, 10</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4,499,793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1,478,978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3, 6</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3,390,005</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1,230,731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2,023,287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829,739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3, 6</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11,770,993</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5,932,163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31,064,973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27,758,379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3, 6</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3,542,300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2,519,210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Subordinate Notes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2,721,500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1,844,276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3, 6</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Notes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2,784,200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3,133,900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2,513,261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3, 6</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8,943,900</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6,846,520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2013-1 Ltd.</w:t>
            </w:r>
            <w:r>
              <w:rPr>
                <w:rFonts w:ascii="Arial" w:cs="Arial" w:eastAsia="Arial" w:hAnsi="Arial"/>
                <w:sz w:val="21"/>
                <w:szCs w:val="21"/>
                <w:color w:val="auto"/>
                <w:vertAlign w:val="superscript"/>
              </w:rPr>
              <w:t>3, 6</w:t>
            </w:r>
          </w:p>
        </w:tc>
        <w:tc>
          <w:tcPr>
            <w:tcW w:w="388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9,960,400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8,225,100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23"/>
                <w:szCs w:val="23"/>
                <w:color w:val="auto"/>
                <w:vertAlign w:val="superscript"/>
              </w:rPr>
              <w:t>3</w:t>
            </w: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3,063,200</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2,973,750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3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96,552,615</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65,512,219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ectPr>
          <w:pgSz w:w="11900" w:h="16838" w:orient="portrait"/>
          <w:cols w:equalWidth="0" w:num="1">
            <w:col w:w="11420"/>
          </w:cols>
          <w:pgMar w:left="240" w:top="904"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3, 6</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163" w:lineRule="exact"/>
        <w:rPr>
          <w:sz w:val="20"/>
          <w:szCs w:val="20"/>
          <w:color w:val="auto"/>
        </w:rPr>
      </w:pPr>
    </w:p>
    <w:p>
      <w:pPr>
        <w:ind w:left="180" w:right="640" w:hanging="161"/>
        <w:spacing w:after="0" w:line="297" w:lineRule="auto"/>
        <w:rPr>
          <w:sz w:val="20"/>
          <w:szCs w:val="20"/>
          <w:color w:val="auto"/>
        </w:rPr>
      </w:pPr>
      <w:r>
        <w:rPr>
          <w:rFonts w:ascii="Arial" w:cs="Arial" w:eastAsia="Arial" w:hAnsi="Arial"/>
          <w:sz w:val="13"/>
          <w:szCs w:val="13"/>
          <w:b w:val="1"/>
          <w:bCs w:val="1"/>
          <w:color w:val="auto"/>
        </w:rPr>
        <w:t>Total Investment in CLO Fund Securities (32% of net asset value at fair value)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Percentage</w:t>
            </w: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color w:val="auto"/>
                <w:w w:val="95"/>
                <w:vertAlign w:val="superscript"/>
              </w:rPr>
              <w:t>2</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Floating - 04/2022 - B2L - 48602NAA8</w:t>
            </w: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Par Value of $10,500,000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.0%, Due 4/22</w:t>
            </w:r>
          </w:p>
        </w:tc>
        <w:tc>
          <w:tcPr>
            <w:tcW w:w="14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  $</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1,300,937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9,740,000</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Float - 12/2023 - F - 14889CAE0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Par Value of $4,500,000</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tcPr>
          <w:p>
            <w:pPr>
              <w:ind w:left="60"/>
              <w:spacing w:after="0"/>
              <w:rPr>
                <w:sz w:val="20"/>
                <w:szCs w:val="20"/>
                <w:color w:val="auto"/>
              </w:rPr>
            </w:pPr>
            <w:r>
              <w:rPr>
                <w:rFonts w:ascii="Arial" w:cs="Arial" w:eastAsia="Arial" w:hAnsi="Arial"/>
                <w:sz w:val="14"/>
                <w:szCs w:val="14"/>
                <w:color w:val="auto"/>
              </w:rPr>
              <w:t>.0%, Due 12/23</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3,843,398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4,200,001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5,144,335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13,940,001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101,696,950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79,452,220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-513715</wp:posOffset>
            </wp:positionV>
            <wp:extent cx="724662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-307975</wp:posOffset>
            </wp:positionV>
            <wp:extent cx="72466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-1097280</wp:posOffset>
            </wp:positionV>
            <wp:extent cx="7246620" cy="291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180" w:space="720"/>
            <w:col w:w="7520"/>
          </w:cols>
          <w:pgMar w:left="240" w:top="904"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120" w:type="dxa"/>
            <w:vAlign w:val="bottom"/>
          </w:tcPr>
          <w:p>
            <w:pPr>
              <w:spacing w:after="0"/>
              <w:rPr>
                <w:sz w:val="14"/>
                <w:szCs w:val="14"/>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9</w:t>
            </w:r>
          </w:p>
        </w:tc>
        <w:tc>
          <w:tcPr>
            <w:tcW w:w="120" w:type="dxa"/>
            <w:vAlign w:val="bottom"/>
            <w:shd w:val="clear" w:color="auto" w:fill="CCFFCC"/>
          </w:tcPr>
          <w:p>
            <w:pPr>
              <w:spacing w:after="0"/>
              <w:rPr>
                <w:sz w:val="15"/>
                <w:szCs w:val="15"/>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83,378,741</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76,148,000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 in Asset Manager Affiliates</w:t>
            </w:r>
          </w:p>
        </w:tc>
        <w:tc>
          <w:tcPr>
            <w:tcW w:w="120" w:type="dxa"/>
            <w:vAlign w:val="bottom"/>
            <w:shd w:val="clear" w:color="auto" w:fill="CCFFCC"/>
          </w:tcPr>
          <w:p>
            <w:pPr>
              <w:spacing w:after="0"/>
              <w:rPr>
                <w:sz w:val="14"/>
                <w:szCs w:val="14"/>
                <w:color w:val="auto"/>
              </w:rPr>
            </w:pPr>
          </w:p>
        </w:tc>
        <w:tc>
          <w:tcPr>
            <w:tcW w:w="3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83,378,741</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76,148,000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FFCC"/>
            </w:tcBorders>
            <w:shd w:val="clear" w:color="auto" w:fill="CCFFCC"/>
          </w:tcPr>
          <w:p>
            <w:pPr>
              <w:ind w:left="160"/>
              <w:spacing w:after="0" w:line="142" w:lineRule="exact"/>
              <w:rPr>
                <w:sz w:val="20"/>
                <w:szCs w:val="20"/>
                <w:color w:val="auto"/>
              </w:rPr>
            </w:pPr>
            <w:r>
              <w:rPr>
                <w:rFonts w:ascii="Arial" w:cs="Arial" w:eastAsia="Arial" w:hAnsi="Arial"/>
                <w:sz w:val="14"/>
                <w:szCs w:val="14"/>
                <w:b w:val="1"/>
                <w:bCs w:val="1"/>
                <w:color w:val="auto"/>
              </w:rPr>
              <w:t>(30% of net asset value at fair value)</w:t>
            </w:r>
          </w:p>
        </w:tc>
        <w:tc>
          <w:tcPr>
            <w:tcW w:w="120" w:type="dxa"/>
            <w:vAlign w:val="bottom"/>
            <w:tcBorders>
              <w:top w:val="single" w:sz="8" w:color="CCFFCC"/>
            </w:tcBorders>
            <w:shd w:val="clear" w:color="auto" w:fill="CCFFCC"/>
          </w:tcPr>
          <w:p>
            <w:pPr>
              <w:spacing w:after="0"/>
              <w:rPr>
                <w:sz w:val="12"/>
                <w:szCs w:val="12"/>
                <w:color w:val="auto"/>
              </w:rPr>
            </w:pPr>
          </w:p>
        </w:tc>
        <w:tc>
          <w:tcPr>
            <w:tcW w:w="37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Time Deposit and Money Market Accounts</w:t>
            </w:r>
          </w:p>
        </w:tc>
        <w:tc>
          <w:tcPr>
            <w:tcW w:w="1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 / Cost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8, 9</w:t>
            </w:r>
          </w:p>
        </w:tc>
        <w:tc>
          <w:tcPr>
            <w:tcW w:w="120" w:type="dxa"/>
            <w:vAlign w:val="bottom"/>
            <w:shd w:val="clear" w:color="auto" w:fill="CCFFCC"/>
          </w:tcPr>
          <w:p>
            <w:pPr>
              <w:spacing w:after="0"/>
              <w:rPr>
                <w:sz w:val="15"/>
                <w:szCs w:val="15"/>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2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237,088</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237,088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gridSpan w:val="2"/>
          </w:tcPr>
          <w:p>
            <w:pPr>
              <w:spacing w:after="0"/>
              <w:rPr>
                <w:sz w:val="12"/>
                <w:szCs w:val="12"/>
                <w:color w:val="auto"/>
              </w:rPr>
            </w:pPr>
          </w:p>
        </w:tc>
        <w:tc>
          <w:tcPr>
            <w:tcW w:w="1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FFCC"/>
          </w:tcPr>
          <w:p>
            <w:pPr>
              <w:spacing w:after="0" w:line="202" w:lineRule="exact"/>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9</w:t>
            </w:r>
          </w:p>
        </w:tc>
        <w:tc>
          <w:tcPr>
            <w:tcW w:w="120" w:type="dxa"/>
            <w:vAlign w:val="bottom"/>
            <w:shd w:val="clear" w:color="auto" w:fill="CCFFCC"/>
          </w:tcPr>
          <w:p>
            <w:pPr>
              <w:spacing w:after="0"/>
              <w:rPr>
                <w:sz w:val="17"/>
                <w:szCs w:val="17"/>
                <w:color w:val="auto"/>
              </w:rPr>
            </w:pPr>
          </w:p>
        </w:tc>
        <w:tc>
          <w:tcPr>
            <w:tcW w:w="38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6,875,861</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6,875,861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6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Time Deposit and Money Market</w:t>
            </w:r>
          </w:p>
        </w:tc>
        <w:tc>
          <w:tcPr>
            <w:tcW w:w="120" w:type="dxa"/>
            <w:vAlign w:val="bottom"/>
            <w:shd w:val="clear" w:color="auto" w:fill="CCFFCC"/>
          </w:tcPr>
          <w:p>
            <w:pPr>
              <w:spacing w:after="0"/>
              <w:rPr>
                <w:sz w:val="10"/>
                <w:szCs w:val="10"/>
                <w:color w:val="auto"/>
              </w:rPr>
            </w:pPr>
          </w:p>
        </w:tc>
        <w:tc>
          <w:tcPr>
            <w:tcW w:w="3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Accounts</w:t>
            </w:r>
          </w:p>
        </w:tc>
        <w:tc>
          <w:tcPr>
            <w:tcW w:w="120" w:type="dxa"/>
            <w:vAlign w:val="bottom"/>
            <w:shd w:val="clear" w:color="auto" w:fill="CCFFCC"/>
          </w:tcPr>
          <w:p>
            <w:pPr>
              <w:spacing w:after="0"/>
              <w:rPr>
                <w:sz w:val="16"/>
                <w:szCs w:val="16"/>
                <w:color w:val="auto"/>
              </w:rPr>
            </w:pPr>
          </w:p>
        </w:tc>
        <w:tc>
          <w:tcPr>
            <w:tcW w:w="3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7,112,949</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7,112,949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FFCC"/>
            </w:tcBorders>
            <w:shd w:val="clear" w:color="auto" w:fill="CCFFCC"/>
          </w:tcPr>
          <w:p>
            <w:pPr>
              <w:ind w:left="160"/>
              <w:spacing w:after="0" w:line="142" w:lineRule="exact"/>
              <w:rPr>
                <w:sz w:val="20"/>
                <w:szCs w:val="20"/>
                <w:color w:val="auto"/>
              </w:rPr>
            </w:pPr>
            <w:r>
              <w:rPr>
                <w:rFonts w:ascii="Arial" w:cs="Arial" w:eastAsia="Arial" w:hAnsi="Arial"/>
                <w:sz w:val="14"/>
                <w:szCs w:val="14"/>
                <w:b w:val="1"/>
                <w:bCs w:val="1"/>
                <w:color w:val="auto"/>
              </w:rPr>
              <w:t>(3% of net asset value at fair value)</w:t>
            </w:r>
          </w:p>
        </w:tc>
        <w:tc>
          <w:tcPr>
            <w:tcW w:w="120" w:type="dxa"/>
            <w:vAlign w:val="bottom"/>
            <w:tcBorders>
              <w:top w:val="single" w:sz="8" w:color="CCFFCC"/>
            </w:tcBorders>
            <w:shd w:val="clear" w:color="auto" w:fill="CCFFCC"/>
          </w:tcPr>
          <w:p>
            <w:pPr>
              <w:spacing w:after="0"/>
              <w:rPr>
                <w:sz w:val="12"/>
                <w:szCs w:val="12"/>
                <w:color w:val="auto"/>
              </w:rPr>
            </w:pPr>
          </w:p>
        </w:tc>
        <w:tc>
          <w:tcPr>
            <w:tcW w:w="37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5</w:t>
            </w:r>
          </w:p>
        </w:tc>
        <w:tc>
          <w:tcPr>
            <w:tcW w:w="120" w:type="dxa"/>
            <w:vAlign w:val="bottom"/>
            <w:shd w:val="clear" w:color="auto" w:fill="CCFFCC"/>
          </w:tcPr>
          <w:p>
            <w:pPr>
              <w:spacing w:after="0"/>
              <w:rPr>
                <w:sz w:val="17"/>
                <w:szCs w:val="17"/>
                <w:color w:val="auto"/>
              </w:rPr>
            </w:pPr>
          </w:p>
        </w:tc>
        <w:tc>
          <w:tcPr>
            <w:tcW w:w="37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486,157,918</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440,549,994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FFCC"/>
            </w:tcBorders>
            <w:shd w:val="clear" w:color="auto" w:fill="CCFFCC"/>
          </w:tcPr>
          <w:p>
            <w:pPr>
              <w:ind w:left="160"/>
              <w:spacing w:after="0" w:line="142" w:lineRule="exact"/>
              <w:rPr>
                <w:sz w:val="20"/>
                <w:szCs w:val="20"/>
                <w:color w:val="auto"/>
              </w:rPr>
            </w:pPr>
            <w:r>
              <w:rPr>
                <w:rFonts w:ascii="Arial" w:cs="Arial" w:eastAsia="Arial" w:hAnsi="Arial"/>
                <w:sz w:val="14"/>
                <w:szCs w:val="14"/>
                <w:b w:val="1"/>
                <w:bCs w:val="1"/>
                <w:color w:val="auto"/>
              </w:rPr>
              <w:t>(176% of net asset value at fair value)</w:t>
            </w:r>
          </w:p>
        </w:tc>
        <w:tc>
          <w:tcPr>
            <w:tcW w:w="120" w:type="dxa"/>
            <w:vAlign w:val="bottom"/>
            <w:tcBorders>
              <w:top w:val="single" w:sz="8" w:color="CCFFCC"/>
            </w:tcBorders>
            <w:shd w:val="clear" w:color="auto" w:fill="CCFFCC"/>
          </w:tcPr>
          <w:p>
            <w:pPr>
              <w:spacing w:after="0"/>
              <w:rPr>
                <w:sz w:val="12"/>
                <w:szCs w:val="12"/>
                <w:color w:val="auto"/>
              </w:rPr>
            </w:pPr>
          </w:p>
        </w:tc>
        <w:tc>
          <w:tcPr>
            <w:tcW w:w="37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w:t>
      </w:r>
    </w:p>
    <w:p>
      <w:pPr>
        <w:spacing w:after="0" w:line="2" w:lineRule="exact"/>
        <w:rPr>
          <w:sz w:val="20"/>
          <w:szCs w:val="20"/>
          <w:color w:val="auto"/>
        </w:rPr>
      </w:pPr>
    </w:p>
    <w:p>
      <w:pPr>
        <w:ind w:left="340" w:right="200"/>
        <w:spacing w:after="0" w:line="264" w:lineRule="auto"/>
        <w:rPr>
          <w:sz w:val="20"/>
          <w:szCs w:val="20"/>
          <w:color w:val="auto"/>
        </w:rPr>
      </w:pPr>
      <w:r>
        <w:rPr>
          <w:rFonts w:ascii="Arial" w:cs="Arial" w:eastAsia="Arial" w:hAnsi="Arial"/>
          <w:sz w:val="17"/>
          <w:szCs w:val="17"/>
          <w:color w:val="auto"/>
        </w:rPr>
        <w:t>an alternate Base Rate (commonly based on the Federal Funds Rate or the Prime Rate), which typically resets semi-annually, quarterly, or monthly. For each such loan, the Company has provided the weighted average annual stated interest rate in effect at December 31, 2013.</w:t>
      </w:r>
    </w:p>
    <w:p>
      <w:pPr>
        <w:ind w:left="340" w:hanging="332"/>
        <w:spacing w:after="0" w:line="180"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2013, as determined by the Company’s Board of Directors.</w:t>
      </w:r>
    </w:p>
    <w:p>
      <w:pPr>
        <w:ind w:left="340" w:hanging="332"/>
        <w:spacing w:after="0" w:line="181"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340" w:right="660" w:hanging="332"/>
        <w:spacing w:after="0" w:line="20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$486 million. The aggregate gross unrealized appreciation is approximately $15 million, the aggregate gross unrealized depreciation is approximately $61 million, and the net unrealized depreciation is approximately $46 million.</w:t>
      </w:r>
    </w:p>
    <w:p>
      <w:pPr>
        <w:ind w:left="340" w:hanging="332"/>
        <w:spacing w:after="0" w:line="181"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40" w:hanging="332"/>
        <w:spacing w:after="0" w:line="181"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40" w:hanging="332"/>
        <w:spacing w:after="0" w:line="18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40" w:hanging="332"/>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340" w:hanging="332"/>
        <w:spacing w:after="0" w:line="180"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As of December 31, 2013, this CLO Fund Security was not providing a dividend distribution.</w:t>
      </w:r>
    </w:p>
    <w:p>
      <w:pPr>
        <w:spacing w:after="0" w:line="2" w:lineRule="exact"/>
        <w:rPr>
          <w:rFonts w:ascii="Arial" w:cs="Arial" w:eastAsia="Arial" w:hAnsi="Arial"/>
          <w:sz w:val="25"/>
          <w:szCs w:val="25"/>
          <w:color w:val="auto"/>
          <w:vertAlign w:val="superscript"/>
        </w:rPr>
      </w:pPr>
    </w:p>
    <w:p>
      <w:pPr>
        <w:ind w:left="340" w:right="440" w:hanging="332"/>
        <w:spacing w:after="0" w:line="187"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As of December 31, 2013, investment was owned by KCAP Senior Funding I, LLC and has been pledged to secure KCAP Senior Funding I, LLC’s obligations.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shd w:val="clear" w:color="auto" w:fill="CCFFCC"/>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42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FFCC"/>
          </w:tcPr>
          <w:p>
            <w:pPr>
              <w:spacing w:after="0"/>
              <w:rPr>
                <w:sz w:val="22"/>
                <w:szCs w:val="22"/>
                <w:color w:val="auto"/>
              </w:rPr>
            </w:pPr>
          </w:p>
        </w:tc>
        <w:tc>
          <w:tcPr>
            <w:tcW w:w="4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0" w:type="dxa"/>
            <w:vAlign w:val="bottom"/>
          </w:tcPr>
          <w:p>
            <w:pPr>
              <w:ind w:left="3280"/>
              <w:spacing w:after="0" w:line="135" w:lineRule="exact"/>
              <w:rPr>
                <w:sz w:val="20"/>
                <w:szCs w:val="20"/>
                <w:color w:val="auto"/>
              </w:rPr>
            </w:pPr>
            <w:r>
              <w:rPr>
                <w:rFonts w:ascii="Arial" w:cs="Arial" w:eastAsia="Arial" w:hAnsi="Arial"/>
                <w:sz w:val="15"/>
                <w:szCs w:val="15"/>
                <w:color w:val="auto"/>
              </w:rPr>
              <w:t>1</w:t>
            </w: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vMerge w:val="restart"/>
          </w:tcPr>
          <w:p>
            <w:pPr>
              <w:jc w:val="right"/>
              <w:ind w:right="200"/>
              <w:spacing w:after="0" w:line="16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2"/>
            <w:vMerge w:val="restart"/>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ind w:left="160"/>
              <w:spacing w:after="0" w:line="27" w:lineRule="exact"/>
              <w:rPr>
                <w:sz w:val="20"/>
                <w:szCs w:val="20"/>
                <w:color w:val="auto"/>
              </w:rPr>
            </w:pPr>
            <w:r>
              <w:rPr>
                <w:rFonts w:ascii="Arial" w:cs="Arial" w:eastAsia="Arial" w:hAnsi="Arial"/>
                <w:sz w:val="3"/>
                <w:szCs w:val="3"/>
                <w:color w:val="auto"/>
              </w:rPr>
              <w:t>Net realized gain (losses) from investments</w:t>
            </w: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gridSpan w:val="2"/>
          </w:tcPr>
          <w:p>
            <w:pPr>
              <w:jc w:val="right"/>
              <w:ind w:right="80"/>
              <w:spacing w:after="0" w:line="95"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shd w:val="clear" w:color="auto" w:fill="CCFFCC"/>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42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FFCC"/>
          </w:tcPr>
          <w:p>
            <w:pPr>
              <w:spacing w:after="0"/>
              <w:rPr>
                <w:sz w:val="23"/>
                <w:szCs w:val="23"/>
                <w:color w:val="auto"/>
              </w:rPr>
            </w:pPr>
          </w:p>
        </w:tc>
        <w:tc>
          <w:tcPr>
            <w:tcW w:w="420" w:type="dxa"/>
            <w:vAlign w:val="bottom"/>
            <w:shd w:val="clear" w:color="auto" w:fill="CCFFCC"/>
          </w:tcPr>
          <w:p>
            <w:pPr>
              <w:spacing w:after="0"/>
              <w:rPr>
                <w:sz w:val="23"/>
                <w:szCs w:val="23"/>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distributions:</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 (not including dividend reinvestment plan)</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 based compensation expense</w:t>
            </w:r>
          </w:p>
        </w:tc>
        <w:tc>
          <w:tcPr>
            <w:tcW w:w="14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42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end of period</w:t>
            </w:r>
          </w:p>
        </w:tc>
        <w:tc>
          <w:tcPr>
            <w:tcW w:w="142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Ratio/Supplemental Data:</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17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8.66</w:t>
            </w:r>
          </w:p>
        </w:tc>
        <w:tc>
          <w:tcPr>
            <w:tcW w:w="4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Shares outstanding at end of period</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33,340,607</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31,936,480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254,102,611</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265,872,325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Portfolio turnover rate</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Average par debt outstanding</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195,658,000</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Average par debt outstanding per share</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Asset coverage ratio</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Ratio of interest expense to average net assets</w:t>
            </w:r>
          </w:p>
        </w:tc>
        <w:tc>
          <w:tcPr>
            <w:tcW w:w="14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1" w:lineRule="exact"/>
        <w:rPr>
          <w:sz w:val="20"/>
          <w:szCs w:val="20"/>
          <w:color w:val="auto"/>
        </w:rPr>
      </w:pPr>
    </w:p>
    <w:p>
      <w:pPr>
        <w:ind w:left="340" w:right="120" w:hanging="332"/>
        <w:spacing w:after="0" w:line="187"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1" w:lineRule="exact"/>
        <w:rPr>
          <w:sz w:val="20"/>
          <w:szCs w:val="20"/>
          <w:color w:val="auto"/>
        </w:rPr>
      </w:pPr>
    </w:p>
    <w:p>
      <w:pPr>
        <w:ind w:left="340" w:right="60" w:hanging="332"/>
        <w:spacing w:after="0" w:line="187"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market price over the beginning of period price per share plus distributions, divided by the beginning price.</w:t>
      </w:r>
    </w:p>
    <w:p>
      <w:pPr>
        <w:ind w:left="340" w:hanging="332"/>
        <w:spacing w:after="0" w:line="182"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Balance rounds to less than $0.01.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60" w:firstLine="270"/>
        <w:spacing w:after="0" w:line="277" w:lineRule="auto"/>
        <w:rPr>
          <w:sz w:val="20"/>
          <w:szCs w:val="20"/>
          <w:color w:val="auto"/>
        </w:rPr>
      </w:pPr>
      <w:r>
        <w:rPr>
          <w:rFonts w:ascii="Arial" w:cs="Arial" w:eastAsia="Arial" w:hAnsi="Arial"/>
          <w:sz w:val="18"/>
          <w:szCs w:val="18"/>
          <w:color w:val="auto"/>
        </w:rPr>
        <w:t>KCAP Financial, Inc. (“KCAP” or the “Company”) is an internally managed, non-diversified closed-end investment company that is regulated as a business development company (“BDC”) under the Investment Company Act of 1940 (the “1940 Act”).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three principal areas of investment:</w:t>
      </w:r>
    </w:p>
    <w:p>
      <w:pPr>
        <w:spacing w:after="0" w:line="225"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First, we originate, structure, and invest in senior secured term loans and mezzanine debt primarily in privately-held middle market companies (the “Debt Securities Portfolio”). In addition, from time to time we may invest in the equity securities of privately held middle market companies.</w:t>
      </w:r>
    </w:p>
    <w:p>
      <w:pPr>
        <w:spacing w:after="0" w:line="14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Second, we have invested in asset management companies (Katonah Debt Advisors and Trimaran Advisors, collectively the “Asset Manager Affiliates”) who manage collateralized loan obligations (“CLOs”).</w:t>
      </w:r>
    </w:p>
    <w:p>
      <w:pPr>
        <w:spacing w:after="0" w:line="170"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Third, we invest in debt and subordinated securities issued by CLOs (“CLO Fund Securities”). These CLO Fund Securities are primarily managed by our Asset Manager Affiliates, but from time-to-time we make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taxes on any income that it distributes in a timely manner to its stockholders.</w:t>
      </w:r>
    </w:p>
    <w:p>
      <w:pPr>
        <w:spacing w:after="0" w:line="183" w:lineRule="exact"/>
        <w:rPr>
          <w:sz w:val="20"/>
          <w:szCs w:val="20"/>
          <w:color w:val="auto"/>
        </w:rPr>
      </w:pPr>
    </w:p>
    <w:p>
      <w:pPr>
        <w:ind w:left="340" w:right="7760" w:hanging="332"/>
        <w:spacing w:after="0" w:line="503" w:lineRule="auto"/>
        <w:tabs>
          <w:tab w:leader="none" w:pos="19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00" w:firstLine="414"/>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consolidated financial statements and notes thereto in the Company’s Form 10-K for the year ended December 31, 2013, as filed with the U.S. Securities and Exchange Commission (the “Commission” or the “SEC”).</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year’s presentation.</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2" w:name="page33"/>
    <w:bookmarkEnd w:id="32"/>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United States Securities and Exchange Commission (“SEC”). This additional financial information regarding the Asset Manager Affiliates does not directly impact the financial position or results of operations of the Company.</w:t>
      </w:r>
    </w:p>
    <w:p>
      <w:pPr>
        <w:spacing w:after="0" w:line="1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addition, in accordance with Rules 3-09, Rule 4-08(g) and 1-02 of Regulation S-X promulgated by the SEC, additional financial information with respect to two of the CLO Funds in which the Company has an investment, Katonah 2007-I CLO Ltd. (“Katonah 2007-I CLO”), and Katonah X CLO Ltd. (“Katonah X CLO”) are required to be included in the Company’s SEC filings. The additional financial information regarding the Asset Manager Affiliates, Katonah 2007-I CLO (pursuant to Rule 3-09) and Katonah X CLO (pursuant to Rule 4-08(g)) is set forth in Note 5 to these consolidated financial statements.</w:t>
      </w:r>
    </w:p>
    <w:p>
      <w:pPr>
        <w:spacing w:after="0" w:line="15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June 2013, the FASB issued Accounting Standards Update 2013-08 “Financial Services-Investment Companies (Topic 946) Amendments to the Scope, Measurement, and Disclosure Requirements” (“ASU 2013-08”). ASU 2013-08 clarifies the characteristics of an investment company and requires reporting entities to disclose information about the following items: (i) the type and amount of financial support provided to investee companies, including situations in which the Company assisted an investee in obtaining financial support, (ii) the primary reasons for providing the financial support, (iii) the type and amount of financial support the Company is contractually required to provide to an investee, but has not yet provided, and (iv) the primary reasons for the contractual requirement to provide the financial support. The Company adopted ASU 2013-08 during the three months ended March 31, 2014 as the amendments in ASU 2013-08 are effective for an entity’s interim and annual reporting periods in fiscal years that begin after December 15, 2013.</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first quarter of 2014, the Company provided $29 million of financial support in the form of investments in securities of portfolio companies to support their growth objectives. None of this support was contractually obligated. See also note 8 – Commitments and Contingencies. As of March 31, 2014, the Company holds loans it has made to 65 investee companies with aggregate principal amounts of $246 million. The details of such loans have been disclosed on the consolidated schedule of investments as well as in Notes 4 (Investments) and (Fair Value Measurements).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three month period ended March 31, 2014, the Company did not make any such introductions or lead any syndicates.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Interest income is recorded on an accrual basis and includes the accretion of discounts and amortization of premiums.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premiums to par value on debt securities purchased are accreted/amortized into interest income over the life of the respective debt security using the effective yield method. The amortized cost of debt securities represents the original cost adjusted for the accretion of discounts and amortization of premiums, if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firstLine="414"/>
        <w:spacing w:after="0" w:line="259" w:lineRule="auto"/>
        <w:rPr>
          <w:sz w:val="20"/>
          <w:szCs w:val="20"/>
          <w:color w:val="auto"/>
        </w:rPr>
      </w:pPr>
      <w:r>
        <w:rPr>
          <w:rFonts w:ascii="Arial" w:cs="Arial" w:eastAsia="Arial" w:hAnsi="Arial"/>
          <w:sz w:val="18"/>
          <w:szCs w:val="18"/>
          <w:color w:val="auto"/>
        </w:rPr>
        <w:t>Generally, when interest and/or principal payments on a debt security become past due, or if the Company otherwise does not expect the borrower to be able to service its debt and other obligations, the Company will place the debt security on non-accrual status and will generally cease recognizing interest income on that debt security for financial reporting purposes until all principal and interest have been brought current through payment or due to restructuring such that the interest income is deemed to be collectible</w:t>
      </w:r>
      <w:r>
        <w:rPr>
          <w:rFonts w:ascii="Arial" w:cs="Arial" w:eastAsia="Arial" w:hAnsi="Arial"/>
          <w:sz w:val="18"/>
          <w:szCs w:val="18"/>
          <w:i w:val="1"/>
          <w:iCs w:val="1"/>
          <w:color w:val="auto"/>
        </w:rPr>
        <w:t>.</w:t>
      </w:r>
    </w:p>
    <w:p>
      <w:pPr>
        <w:spacing w:after="0" w:line="187" w:lineRule="exact"/>
        <w:rPr>
          <w:sz w:val="20"/>
          <w:szCs w:val="20"/>
          <w:color w:val="auto"/>
        </w:rPr>
      </w:pPr>
    </w:p>
    <w:p>
      <w:pPr>
        <w:ind w:right="20" w:firstLine="414"/>
        <w:spacing w:after="0" w:line="289"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 faith determination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67" w:lineRule="exact"/>
        <w:rPr>
          <w:sz w:val="20"/>
          <w:szCs w:val="20"/>
          <w:color w:val="auto"/>
        </w:rPr>
      </w:pPr>
    </w:p>
    <w:p>
      <w:pPr>
        <w:ind w:right="200" w:firstLine="414"/>
        <w:spacing w:after="0" w:line="286" w:lineRule="auto"/>
        <w:rPr>
          <w:sz w:val="20"/>
          <w:szCs w:val="20"/>
          <w:color w:val="auto"/>
        </w:rPr>
      </w:pPr>
      <w:r>
        <w:rPr>
          <w:rFonts w:ascii="Arial" w:cs="Arial" w:eastAsia="Arial" w:hAnsi="Arial"/>
          <w:sz w:val="17"/>
          <w:szCs w:val="17"/>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The guidance also required that purchases, sales, issuances and settlements be presented gross in the Level III reconciliation.</w:t>
      </w:r>
    </w:p>
    <w:p>
      <w:pPr>
        <w:spacing w:after="0" w:line="166" w:lineRule="exact"/>
        <w:rPr>
          <w:sz w:val="20"/>
          <w:szCs w:val="20"/>
          <w:color w:val="auto"/>
        </w:rPr>
      </w:pPr>
    </w:p>
    <w:p>
      <w:pPr>
        <w:ind w:right="500" w:firstLine="41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240" w:firstLine="414"/>
        <w:spacing w:after="0" w:line="302"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During the last review, the independent valuation firm concluded that the Company’s CLO model appropriately factors in all the necessary inputs required to build a CLO equity cash flow model for fair value purposes and that the inputs were being employed correctly.</w:t>
      </w:r>
    </w:p>
    <w:p>
      <w:pPr>
        <w:spacing w:after="0" w:line="154" w:lineRule="exact"/>
        <w:rPr>
          <w:sz w:val="20"/>
          <w:szCs w:val="20"/>
          <w:color w:val="auto"/>
        </w:rPr>
      </w:pPr>
    </w:p>
    <w:p>
      <w:pPr>
        <w:ind w:right="16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2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relies on several techniques for valuing its portfolio of investments, including:</w:t>
      </w:r>
    </w:p>
    <w:p>
      <w:pPr>
        <w:spacing w:after="0" w:line="225" w:lineRule="exact"/>
        <w:rPr>
          <w:sz w:val="20"/>
          <w:szCs w:val="20"/>
          <w:color w:val="auto"/>
        </w:rPr>
      </w:pPr>
    </w:p>
    <w:p>
      <w:pPr>
        <w:ind w:left="420" w:right="240" w:firstLine="2"/>
        <w:spacing w:after="0" w:line="264" w:lineRule="auto"/>
        <w:tabs>
          <w:tab w:leader="none" w:pos="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“Enterprise Value” – when there is no liquid public market, the investment is carried at fair value based on the enterprise value of the portfolio company, which is determined using (i) valuation data from publicly traded comparables, and (ii) a discounted cash flow analysis based on projected performance of an investment.</w:t>
      </w:r>
    </w:p>
    <w:p>
      <w:pPr>
        <w:spacing w:after="0" w:line="181" w:lineRule="exact"/>
        <w:rPr>
          <w:rFonts w:ascii="Arial" w:cs="Arial" w:eastAsia="Arial" w:hAnsi="Arial"/>
          <w:sz w:val="18"/>
          <w:szCs w:val="18"/>
          <w:color w:val="auto"/>
        </w:rPr>
      </w:pPr>
    </w:p>
    <w:p>
      <w:pPr>
        <w:ind w:left="420" w:right="160" w:firstLine="2"/>
        <w:spacing w:after="0" w:line="264" w:lineRule="auto"/>
        <w:tabs>
          <w:tab w:leader="none" w:pos="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“Income Approach” - 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4" w:name="page35"/>
    <w:bookmarkEnd w:id="34"/>
    <w:p>
      <w:pPr>
        <w:ind w:left="420" w:right="180" w:firstLine="2"/>
        <w:spacing w:after="0" w:line="308" w:lineRule="auto"/>
        <w:tabs>
          <w:tab w:leader="none" w:pos="5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“Market Approach” – if market quotations are readily available, valuations are based upon the closing public market prices on the balance sheet date. Securities that carry certain restrictions on sale are typically valued at a discount from the public market value of the security.</w:t>
      </w:r>
    </w:p>
    <w:p>
      <w:pPr>
        <w:spacing w:after="0" w:line="146" w:lineRule="exact"/>
        <w:rPr>
          <w:rFonts w:ascii="Arial" w:cs="Arial" w:eastAsia="Arial" w:hAnsi="Arial"/>
          <w:sz w:val="17"/>
          <w:szCs w:val="17"/>
          <w:color w:val="auto"/>
        </w:rPr>
      </w:pPr>
    </w:p>
    <w:p>
      <w:pPr>
        <w:ind w:left="420" w:right="320" w:firstLine="2"/>
        <w:spacing w:after="0" w:line="277" w:lineRule="auto"/>
        <w:tabs>
          <w:tab w:leader="none" w:pos="5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“Discounted Cash Flow” - a discounted cash flow model is based on the net present value of future cash flows, discounted at a rate appropriate for each cash flow.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The Company values debt securities using primarily Enterprise Value, Income Approach and Market Approach.</w:t>
      </w:r>
    </w:p>
    <w:p>
      <w:pPr>
        <w:spacing w:after="0" w:line="225" w:lineRule="exact"/>
        <w:rPr>
          <w:sz w:val="20"/>
          <w:szCs w:val="20"/>
          <w:color w:val="auto"/>
        </w:rPr>
      </w:pPr>
    </w:p>
    <w:p>
      <w:pPr>
        <w:ind w:right="100" w:firstLine="414"/>
        <w:spacing w:after="0" w:line="255" w:lineRule="auto"/>
        <w:rPr>
          <w:sz w:val="20"/>
          <w:szCs w:val="20"/>
          <w:color w:val="auto"/>
        </w:rPr>
      </w:pPr>
      <w:r>
        <w:rPr>
          <w:rFonts w:ascii="Arial" w:cs="Arial" w:eastAsia="Arial" w:hAnsi="Arial"/>
          <w:sz w:val="18"/>
          <w:szCs w:val="18"/>
          <w:color w:val="auto"/>
        </w:rPr>
        <w:t>To the extent that the Company’s investments are exchange traded and are priced or have sufficient price indications from normal 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89" w:lineRule="exact"/>
        <w:rPr>
          <w:sz w:val="20"/>
          <w:szCs w:val="20"/>
          <w:color w:val="auto"/>
        </w:rPr>
      </w:pPr>
    </w:p>
    <w:p>
      <w:pPr>
        <w:ind w:right="40" w:firstLine="414"/>
        <w:spacing w:after="0" w:line="268" w:lineRule="auto"/>
        <w:rPr>
          <w:sz w:val="20"/>
          <w:szCs w:val="20"/>
          <w:color w:val="auto"/>
        </w:rPr>
      </w:pPr>
      <w:r>
        <w:rPr>
          <w:rFonts w:ascii="Arial" w:cs="Arial" w:eastAsia="Arial" w:hAnsi="Arial"/>
          <w:sz w:val="17"/>
          <w:szCs w:val="17"/>
          <w:color w:val="auto"/>
        </w:rPr>
        <w:t>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83"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w:t>
      </w:r>
    </w:p>
    <w:p>
      <w:pPr>
        <w:spacing w:after="0" w:line="193" w:lineRule="exact"/>
        <w:rPr>
          <w:sz w:val="20"/>
          <w:szCs w:val="20"/>
          <w:color w:val="auto"/>
        </w:rPr>
      </w:pPr>
    </w:p>
    <w:p>
      <w:pPr>
        <w:ind w:right="80" w:firstLine="41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6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(as described below).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right="120" w:firstLine="414"/>
        <w:spacing w:after="0" w:line="286" w:lineRule="auto"/>
        <w:rPr>
          <w:sz w:val="20"/>
          <w:szCs w:val="20"/>
          <w:color w:val="auto"/>
        </w:rPr>
      </w:pPr>
      <w:r>
        <w:rPr>
          <w:rFonts w:ascii="Arial" w:cs="Arial" w:eastAsia="Arial" w:hAnsi="Arial"/>
          <w:sz w:val="17"/>
          <w:szCs w:val="17"/>
          <w:i w:val="1"/>
          <w:iCs w:val="1"/>
          <w:color w:val="auto"/>
        </w:rPr>
        <w:t>CLO Fund Securities</w:t>
      </w:r>
      <w:r>
        <w:rPr>
          <w:rFonts w:ascii="Arial" w:cs="Arial" w:eastAsia="Arial" w:hAnsi="Arial"/>
          <w:sz w:val="17"/>
          <w:szCs w:val="17"/>
          <w:color w:val="auto"/>
        </w:rPr>
        <w:t>. The Company typically makes a minority investment in the most junior class of securities of CLO Funds raised and managed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Manager Affiliates and may selectively invest in securities issued by funds managed by other asset management companies (collectively, “CLO Fund securities”). The investments held by CLO Funds generally relate to credit instruments issued by corporations.</w:t>
      </w:r>
    </w:p>
    <w:p>
      <w:pPr>
        <w:spacing w:after="0" w:line="166" w:lineRule="exact"/>
        <w:rPr>
          <w:sz w:val="20"/>
          <w:szCs w:val="20"/>
          <w:color w:val="auto"/>
        </w:rPr>
      </w:pPr>
    </w:p>
    <w:p>
      <w:pPr>
        <w:ind w:right="12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80" w:firstLine="41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2014 and 2013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3,441,590</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7,213,281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(28,183)</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Interest on Convertible Notes</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1,312,500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Amortization of Capitalized Costs on Convertible Notes</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106,115</w:t>
            </w:r>
          </w:p>
        </w:tc>
        <w:tc>
          <w:tcPr>
            <w:tcW w:w="0" w:type="dxa"/>
            <w:vAlign w:val="bottom"/>
          </w:tcPr>
          <w:p>
            <w:pPr>
              <w:spacing w:after="0"/>
              <w:rPr>
                <w:sz w:val="1"/>
                <w:szCs w:val="1"/>
                <w:color w:val="auto"/>
              </w:rPr>
            </w:pPr>
          </w:p>
        </w:tc>
      </w:tr>
      <w:tr>
        <w:trPr>
          <w:trHeight w:val="223"/>
        </w:trPr>
        <w:tc>
          <w:tcPr>
            <w:tcW w:w="71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2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3,413,407</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8,623,961</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 for basic shares computation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33,337,967</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29,266,186</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Effect of dilutive securities - stock options</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11,949</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Effect of dilutive Convertible Notes</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7,353,828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18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w w:val="97"/>
              </w:rPr>
              <w:t>Weighted average number of common and common stock equivalent shares outstanding for</w:t>
            </w:r>
          </w:p>
        </w:tc>
        <w:tc>
          <w:tcPr>
            <w:tcW w:w="20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1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940" w:type="dxa"/>
            <w:vAlign w:val="bottom"/>
            <w:tcBorders>
              <w:top w:val="single" w:sz="8" w:color="auto"/>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diluted shares computation</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33,349,916</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36,635,703</w:t>
            </w:r>
          </w:p>
        </w:tc>
        <w:tc>
          <w:tcPr>
            <w:tcW w:w="0" w:type="dxa"/>
            <w:vAlign w:val="bottom"/>
          </w:tcPr>
          <w:p>
            <w:pPr>
              <w:spacing w:after="0"/>
              <w:rPr>
                <w:sz w:val="1"/>
                <w:szCs w:val="1"/>
                <w:color w:val="auto"/>
              </w:rPr>
            </w:pPr>
          </w:p>
        </w:tc>
      </w:tr>
      <w:tr>
        <w:trPr>
          <w:trHeight w:val="20"/>
        </w:trPr>
        <w:tc>
          <w:tcPr>
            <w:tcW w:w="71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Net increase in net assets per basic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increase in net assets per diluted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For the quarters ended March 31, 2014 and 2013, options to purchase 11,949 and 15,689 shares of common stock, respectively, were included in the computation of diluted earnings per share.</w:t>
      </w:r>
    </w:p>
    <w:p>
      <w:pPr>
        <w:spacing w:after="0" w:line="170"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the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ended March 31, 2014 and 2013, the effects of the convertible notes are anti-dilutive and dilutive, respectively. For the year ended December 31, 2013, the effect of the convertible notes were anti-dilutive.</w:t>
      </w:r>
    </w:p>
    <w:p>
      <w:pPr>
        <w:spacing w:after="0" w:line="189"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The if-converted method of computing the dilutive effects on convertible notes assumes a conversion even if the contracted conversion price exceeds the market value of the shares. As of March 31, 2014 the current conversion rate of the Convertible Notes is approximately 127.4733 shares of our common stock per $1,000 principal amount of the conversion rate, equivalent to a conversion price of approximately $7.84 per share of the Company’s common stock. Upon conversion, the Company may issue the full amount of common stock and retire the full amount of debt outstanding or, at its option, settle the conversion in cash.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4. INVESTMENTS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40" w:type="dxa"/>
            <w:vAlign w:val="bottom"/>
            <w:gridSpan w:val="14"/>
          </w:tcPr>
          <w:p>
            <w:pPr>
              <w:ind w:left="340"/>
              <w:spacing w:after="0"/>
              <w:rPr>
                <w:sz w:val="20"/>
                <w:szCs w:val="20"/>
                <w:color w:val="auto"/>
              </w:rPr>
            </w:pPr>
            <w:r>
              <w:rPr>
                <w:rFonts w:ascii="Arial" w:cs="Arial" w:eastAsia="Arial" w:hAnsi="Arial"/>
                <w:sz w:val="18"/>
                <w:szCs w:val="18"/>
                <w:color w:val="auto"/>
                <w:w w:val="91"/>
              </w:rPr>
              <w:t>The following table shows the Company’s portfolio by security type at March 31, 2014 and December 31, 2013: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March 31, 2014 (unaudited)</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 2013</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r>
      <w:tr>
        <w:trPr>
          <w:trHeight w:val="210"/>
        </w:trPr>
        <w:tc>
          <w:tcPr>
            <w:tcW w:w="2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159,596,442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152,797,023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175,021,272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168,188,453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r>
      <w:tr>
        <w:trPr>
          <w:trHeight w:val="216"/>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57,494,889</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54,978,035</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50,831,407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48,443,384</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27,000,000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2,948,836</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2,385,000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2,948,332</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2,546,400</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4,268,289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4,268,550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1,037,707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1,051,540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10,896,631</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11,085,303</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10,855,804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11,381,100</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1,619,550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1,519,072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1,619,550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101,169,147</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77,747,524</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101,696,950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79,452,220</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16,289,233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8,212,286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18,755,684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11,006,398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10,054,444</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10,657,711</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10,600,000</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74,075,000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83,378,741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23"/>
        </w:trPr>
        <w:tc>
          <w:tcPr>
            <w:tcW w:w="26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479,294,183</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428,959,411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500" w:type="dxa"/>
            <w:vAlign w:val="bottom"/>
            <w:tcBorders>
              <w:top w:val="single" w:sz="8" w:color="auto"/>
              <w:bottom w:val="single" w:sz="8" w:color="auto"/>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486,157,918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440,549,994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300" w:hanging="292"/>
        <w:spacing w:after="0" w:line="184" w:lineRule="auto"/>
        <w:tabs>
          <w:tab w:leader="none" w:pos="30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2014 and December 31, 2013,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w w:val="94"/>
              </w:rPr>
              <w:t>March 31, 2014 (unaudited)</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7"/>
              </w:rPr>
              <w:t>December 31, 2013³</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7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FFC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FFC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CCFFC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FFCC"/>
            </w:tcBorders>
          </w:tcPr>
          <w:p>
            <w:pPr>
              <w:spacing w:after="0"/>
              <w:rPr>
                <w:sz w:val="21"/>
                <w:szCs w:val="21"/>
                <w:color w:val="auto"/>
              </w:rPr>
            </w:pPr>
          </w:p>
        </w:tc>
        <w:tc>
          <w:tcPr>
            <w:tcW w:w="900" w:type="dxa"/>
            <w:vAlign w:val="bottom"/>
            <w:tcBorders>
              <w:bottom w:val="single" w:sz="8" w:color="auto"/>
            </w:tcBorders>
          </w:tcPr>
          <w:p>
            <w:pPr>
              <w:jc w:val="right"/>
              <w:ind w:right="2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FFCC"/>
            </w:tcBorders>
          </w:tcPr>
          <w:p>
            <w:pPr>
              <w:spacing w:after="0"/>
              <w:rPr>
                <w:sz w:val="21"/>
                <w:szCs w:val="21"/>
                <w:color w:val="auto"/>
              </w:rPr>
            </w:pPr>
          </w:p>
        </w:tc>
      </w:tr>
      <w:tr>
        <w:trPr>
          <w:trHeight w:val="21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Aerospace and Defense</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9,241,598</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8,262,746</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9,244,538</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83,924,720</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74,075,000</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83,378,741</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Automotive</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15,092,066</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15,140,184</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15,248,090</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15,306,403</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30,106,699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30,073,375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4,190,265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4,299,050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Beverage, Food and Tobacco</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30,678,942</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30,891,888</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33,758,684</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34,026,889</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Capital Equipment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11,448,449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11,861,307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11,450,641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11,792,925</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Chemicals, Plastics and Rubber</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2,914,899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2,913,300</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2,921,597</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2,906,601</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101,169,147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77,747,524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101,696,950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79,452,220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Construction &amp; Building</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18,152,025</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217,860</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18,224,720</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190,244</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1,273,772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7,713,071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9,751,622</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Consumer goods: Non-durable</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20,753,460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20,068,181</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18,864,695</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18,266,939</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Energy: Oil &amp; Gas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11,744,827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13,419,317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11,734,558</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12,930,563</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Environmental Industries</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6,931,964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6,980,096</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6,937,663</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6,965,896</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Finance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26,669,356</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26,712,914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Healthcare &amp; Pharmaceuticals</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29,001,457</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28,744,797</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14,352,172</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14,430,726</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18,340,534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18,445,673</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High Tech Industries</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20,671,185</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20,725,084</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17,989,624</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17,989,034</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3,817,517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3,418,987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3,825,126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3,466,520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Media: Advertising, Printing &amp; Publishing</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14,208,104</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14,408,131</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12,797,615</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13,035,590</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9,699,508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9,667,758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9,853,341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9,915,921</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Metals &amp; Mining</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228,563</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228,563</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1,378,742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1,283,542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3,364,579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3,325,032</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Services: Business</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9,162,252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9,161,651</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2,984,555</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2,999,791</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Services: Consumer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4,627,502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4,637,023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4,065,671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3,001,899</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Telecommunications</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17,136,126</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17,174,621</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17,251,743</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17,337,834</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4</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4,133,429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4,133,429</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Transportation: Cargo</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16,076,036</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16,699,547</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16,030,051</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16,643,254</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Utilities: Electric</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5,915,349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5,978,291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5,927,826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5,993,610</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37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479,294,183</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428,959,411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169</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486,157,918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440,549,994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Represents the Asset Manager Affiliates.</w:t>
      </w:r>
    </w:p>
    <w:p>
      <w:pPr>
        <w:ind w:left="340" w:hanging="332"/>
        <w:spacing w:after="0" w:line="180"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Certain prior year amounts have been reclassified to conform to the current year presentation.</w:t>
      </w:r>
    </w:p>
    <w:p>
      <w:pPr>
        <w:ind w:left="340" w:hanging="332"/>
        <w:spacing w:after="0" w:line="181"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2" w:lineRule="exact"/>
        <w:rPr>
          <w:sz w:val="20"/>
          <w:szCs w:val="20"/>
          <w:color w:val="auto"/>
        </w:rPr>
      </w:pPr>
    </w:p>
    <w:p>
      <w:pPr>
        <w:ind w:right="240" w:firstLine="41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firstLine="414"/>
        <w:spacing w:after="0" w:line="259" w:lineRule="auto"/>
        <w:rPr>
          <w:sz w:val="20"/>
          <w:szCs w:val="20"/>
          <w:color w:val="auto"/>
        </w:rPr>
      </w:pPr>
      <w:r>
        <w:rPr>
          <w:rFonts w:ascii="Arial" w:cs="Arial" w:eastAsia="Arial" w:hAnsi="Arial"/>
          <w:sz w:val="18"/>
          <w:szCs w:val="18"/>
          <w:color w:val="auto"/>
        </w:rPr>
        <w:t>At March 31, 2014 and December 31, 2013, the total amount of non-qualifying assets was approximately 17% and 19% of total assets, respectively. The majority of non-qualifying assets were foreign investments which were approximately 17% and 18% of the Company’s total assets, respectively (including the Company’s investments in CLO Funds, which are typically domiciled outside the U.S. and represented approximately 17% of its total assets on such dates).</w:t>
      </w:r>
    </w:p>
    <w:p>
      <w:pPr>
        <w:spacing w:after="0" w:line="187" w:lineRule="exact"/>
        <w:rPr>
          <w:sz w:val="20"/>
          <w:szCs w:val="20"/>
          <w:color w:val="auto"/>
        </w:rPr>
      </w:pPr>
    </w:p>
    <w:p>
      <w:pPr>
        <w:ind w:right="200" w:firstLine="414"/>
        <w:spacing w:after="0" w:line="257" w:lineRule="auto"/>
        <w:rPr>
          <w:sz w:val="20"/>
          <w:szCs w:val="20"/>
          <w:color w:val="auto"/>
        </w:rPr>
      </w:pPr>
      <w:r>
        <w:rPr>
          <w:rFonts w:ascii="Arial" w:cs="Arial" w:eastAsia="Arial" w:hAnsi="Arial"/>
          <w:sz w:val="18"/>
          <w:szCs w:val="18"/>
          <w:color w:val="auto"/>
        </w:rPr>
        <w:t>At March 31, 2014 and December 31, 2013, the Company’s ten largest portfolio companies represented approximately 43% and 42%, respectively, of the total fair value of its investments. The Company’s largest investment, the Asset Manager Affiliates, which are its wholly-owned asset managers, represented 17% of the total fair value of the Company’s investments at both March 31, 2014 and December 31, 2013. Excluding the Asset Manager Affiliates and CLO Fund securities, the Company’s ten largest portfolio companies represented approximately 19% and 18% of the total fair value of the Company’s investments at March 31, 2014 and December 31, 2013, respectively.</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dividend distributions to the Company and are paying all senior and subordinate management fees to the Asset Manager Affiliates. With the exception of the Katonah III, Ltd. CLO Fund and the Katonah V, Ltd. CLO Funds, all third-party managed CLO Funds are making dividend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“Significant Accounting Policies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4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2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firstLine="41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2014 (unaudited) and December 31, 2013,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5"/>
              </w:rPr>
              <w:t>As of March 31, 2014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accounts</w:t>
            </w:r>
          </w:p>
        </w:tc>
        <w:tc>
          <w:tcPr>
            <w:tcW w:w="920" w:type="dxa"/>
            <w:vAlign w:val="bottom"/>
            <w:tcBorders>
              <w:top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72,025,686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192,765,486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264,791,172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920" w:type="dxa"/>
            <w:vAlign w:val="bottom"/>
            <w:shd w:val="clear" w:color="auto" w:fill="CCFFCC"/>
          </w:tcPr>
          <w:p>
            <w:pPr>
              <w:spacing w:after="0"/>
              <w:rPr>
                <w:sz w:val="18"/>
                <w:szCs w:val="18"/>
                <w:color w:val="auto"/>
              </w:rPr>
            </w:pP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77,747,524</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77,747,524</w:t>
            </w:r>
          </w:p>
        </w:tc>
        <w:tc>
          <w:tcPr>
            <w:tcW w:w="80" w:type="dxa"/>
            <w:vAlign w:val="bottom"/>
            <w:shd w:val="clear" w:color="auto" w:fill="CCFFC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8,212,286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8,212,286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920" w:type="dxa"/>
            <w:vAlign w:val="bottom"/>
            <w:shd w:val="clear" w:color="auto" w:fill="CCFFCC"/>
          </w:tcPr>
          <w:p>
            <w:pPr>
              <w:spacing w:after="0"/>
              <w:rPr>
                <w:sz w:val="19"/>
                <w:szCs w:val="19"/>
                <w:color w:val="auto"/>
              </w:rPr>
            </w:pP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74,075,000</w:t>
            </w: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74,075,000</w:t>
            </w:r>
          </w:p>
        </w:tc>
        <w:tc>
          <w:tcPr>
            <w:tcW w:w="80" w:type="dxa"/>
            <w:vAlign w:val="bottom"/>
            <w:shd w:val="clear" w:color="auto" w:fill="CCFFC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76,159,115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352,800,296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428,959,411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Arial" w:cs="Arial" w:eastAsia="Arial" w:hAnsi="Arial"/>
                <w:sz w:val="18"/>
                <w:szCs w:val="18"/>
                <w:b w:val="1"/>
                <w:bCs w:val="1"/>
                <w:color w:val="auto"/>
              </w:rPr>
              <w:t>As of December 31, 2013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accounts</w:t>
            </w:r>
          </w:p>
        </w:tc>
        <w:tc>
          <w:tcPr>
            <w:tcW w:w="920" w:type="dxa"/>
            <w:vAlign w:val="bottom"/>
            <w:tcBorders>
              <w:top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68,733,053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198,097,374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266,830,427</w:t>
            </w:r>
          </w:p>
        </w:tc>
        <w:tc>
          <w:tcPr>
            <w:tcW w:w="100" w:type="dxa"/>
            <w:vAlign w:val="bottom"/>
          </w:tcPr>
          <w:p>
            <w:pPr>
              <w:spacing w:after="0"/>
              <w:rPr>
                <w:sz w:val="18"/>
                <w:szCs w:val="18"/>
                <w:color w:val="auto"/>
              </w:rPr>
            </w:pPr>
          </w:p>
        </w:tc>
      </w:tr>
      <w:tr>
        <w:trPr>
          <w:trHeight w:val="216"/>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920" w:type="dxa"/>
            <w:vAlign w:val="bottom"/>
            <w:shd w:val="clear" w:color="auto" w:fill="CCFFCC"/>
          </w:tcPr>
          <w:p>
            <w:pPr>
              <w:spacing w:after="0"/>
              <w:rPr>
                <w:sz w:val="18"/>
                <w:szCs w:val="18"/>
                <w:color w:val="auto"/>
              </w:rPr>
            </w:pP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79,452,220</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79,452,220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11,006,398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11,006,398</w:t>
            </w:r>
          </w:p>
        </w:tc>
      </w:tr>
      <w:tr>
        <w:trPr>
          <w:trHeight w:val="230"/>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920" w:type="dxa"/>
            <w:vAlign w:val="bottom"/>
            <w:shd w:val="clear" w:color="auto" w:fill="CCFFCC"/>
          </w:tcPr>
          <w:p>
            <w:pPr>
              <w:spacing w:after="0"/>
              <w:rPr>
                <w:sz w:val="19"/>
                <w:szCs w:val="19"/>
                <w:color w:val="auto"/>
              </w:rPr>
            </w:pP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76,148,000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76,148,000</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75,846,002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364,703,992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440,549,994</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As a BDC, it is required that the Company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2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generally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2"/>
              </w:rPr>
              <w:t>Three Months Ended March 31, 2014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2013</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198,097,374</w:t>
            </w:r>
          </w:p>
        </w:tc>
        <w:tc>
          <w:tcPr>
            <w:tcW w:w="2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79,452,220</w:t>
            </w:r>
          </w:p>
        </w:tc>
        <w:tc>
          <w:tcPr>
            <w:tcW w:w="2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364,703,993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(17,598,201)</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(17,598,201)</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9,486,196</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9,486,196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53,815</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66,083</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14,331,952</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1,051,642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15,929,573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(4,840,848)</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(593,887)</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(3,516,700)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(8,951,435)</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191,567</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190,174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(6,956,369)</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(1,176,892)</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(327,662)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(2,618,979)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(11,079,902)</w:t>
            </w:r>
          </w:p>
        </w:tc>
        <w:tc>
          <w:tcPr>
            <w:tcW w:w="0" w:type="dxa"/>
            <w:vAlign w:val="bottom"/>
          </w:tcPr>
          <w:p>
            <w:pPr>
              <w:spacing w:after="0"/>
              <w:rPr>
                <w:sz w:val="1"/>
                <w:szCs w:val="1"/>
                <w:color w:val="auto"/>
              </w:rPr>
            </w:pPr>
          </w:p>
        </w:tc>
      </w:tr>
      <w:tr>
        <w:trPr>
          <w:trHeight w:val="223"/>
        </w:trPr>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March 31, 2014</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192,765,486</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77,747,524</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8,212,286</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74,075,000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352,800,296</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(7,001,369)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(1,176,892)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(327,662)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(2,618,979)</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(11,124,902)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6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Transfers out of Level III represent a transfer of $17,598,201 relating to debt securities for which pricing inputs, other than their quoted prices in active markets were observable as of March 31, 2014</w:t>
      </w:r>
    </w:p>
    <w:p>
      <w:pPr>
        <w:spacing w:after="0" w:line="206" w:lineRule="exact"/>
        <w:rPr>
          <w:sz w:val="20"/>
          <w:szCs w:val="20"/>
          <w:color w:val="auto"/>
        </w:rPr>
      </w:pPr>
    </w:p>
    <w:p>
      <w:pPr>
        <w:ind w:right="160"/>
        <w:spacing w:after="0" w:line="210"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Transfers into Level III represent a transfer of 9,486,196 relating to debt securities for which pricing inputs, other than their quoted prices in active markets were unobservable as of March 31,2014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9"/>
          </w:tcPr>
          <w:p>
            <w:pPr>
              <w:jc w:val="right"/>
              <w:ind w:right="1140"/>
              <w:spacing w:after="0"/>
              <w:rPr>
                <w:sz w:val="20"/>
                <w:szCs w:val="20"/>
                <w:color w:val="auto"/>
              </w:rPr>
            </w:pPr>
            <w:r>
              <w:rPr>
                <w:rFonts w:ascii="Arial" w:cs="Arial" w:eastAsia="Arial" w:hAnsi="Arial"/>
                <w:sz w:val="18"/>
                <w:szCs w:val="18"/>
                <w:b w:val="1"/>
                <w:bCs w:val="1"/>
                <w:color w:val="auto"/>
              </w:rPr>
              <w:t>Year Ended December 31, 2013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6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51,865,406</w:t>
            </w: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2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220,385,629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(2,783,195)</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(2,783,195)</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34,070,557</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34,070,557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174,977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216,443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217,212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192,112,854</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11,957,500</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207,884,192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(70,461,486)</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(623,403)</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(2,882,107)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(73,966,996)</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2,972,071</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2,420,435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(9,853,810)</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(15,355,827)</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2013</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198,097,374</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79,452,220</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364,703,993</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(9,853,810)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(15,355,827)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54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Transfers out of Level III represent a transfer of $2,783,195 relating to debt securities for which pricing inputs, other than their quoted prices in active markets were observable as of December 31, 2013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right="600"/>
        <w:spacing w:after="0" w:line="210"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Transfers into Level III represent a transfer of $34,070,557 relating to debt securities for which pricing inputs, other than their quoted prices in active markets were unobservable as of December 31, 2013.</w:t>
      </w:r>
    </w:p>
    <w:p>
      <w:pPr>
        <w:spacing w:after="0" w:line="20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March 31, 2014,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$76,159,115 as of March 31,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2014,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240" w:type="dxa"/>
            <w:vAlign w:val="bottom"/>
            <w:tcBorders>
              <w:top w:val="single" w:sz="8" w:color="auto"/>
            </w:tcBorders>
            <w:shd w:val="clear" w:color="auto" w:fill="DAEEF3"/>
          </w:tcPr>
          <w:p>
            <w:pPr>
              <w:spacing w:after="0"/>
              <w:rPr>
                <w:sz w:val="18"/>
                <w:szCs w:val="18"/>
                <w:color w:val="auto"/>
              </w:rPr>
            </w:pPr>
          </w:p>
        </w:tc>
        <w:tc>
          <w:tcPr>
            <w:tcW w:w="1260" w:type="dxa"/>
            <w:vAlign w:val="bottom"/>
            <w:tcBorders>
              <w:top w:val="single" w:sz="8" w:color="auto"/>
              <w:right w:val="single" w:sz="8" w:color="auto"/>
            </w:tcBorders>
            <w:shd w:val="clear" w:color="auto" w:fill="DAEEF3"/>
          </w:tcPr>
          <w:p>
            <w:pPr>
              <w:spacing w:after="0"/>
              <w:rPr>
                <w:sz w:val="18"/>
                <w:szCs w:val="18"/>
                <w:color w:val="auto"/>
              </w:rPr>
            </w:pPr>
          </w:p>
        </w:tc>
        <w:tc>
          <w:tcPr>
            <w:tcW w:w="2260" w:type="dxa"/>
            <w:vAlign w:val="bottom"/>
            <w:tcBorders>
              <w:top w:val="single" w:sz="8" w:color="auto"/>
              <w:right w:val="single" w:sz="8" w:color="auto"/>
            </w:tcBorders>
            <w:shd w:val="clear" w:color="auto" w:fill="DAEEF3"/>
          </w:tcPr>
          <w:p>
            <w:pPr>
              <w:ind w:left="400"/>
              <w:spacing w:after="0"/>
              <w:rPr>
                <w:sz w:val="20"/>
                <w:szCs w:val="20"/>
                <w:color w:val="auto"/>
              </w:rPr>
            </w:pPr>
            <w:r>
              <w:rPr>
                <w:rFonts w:ascii="Arial" w:cs="Arial" w:eastAsia="Arial" w:hAnsi="Arial"/>
                <w:sz w:val="18"/>
                <w:szCs w:val="18"/>
                <w:b w:val="1"/>
                <w:bCs w:val="1"/>
                <w:color w:val="auto"/>
              </w:rPr>
              <w:t>Primary Valuation</w:t>
            </w:r>
          </w:p>
        </w:tc>
        <w:tc>
          <w:tcPr>
            <w:tcW w:w="2700" w:type="dxa"/>
            <w:vAlign w:val="bottom"/>
            <w:tcBorders>
              <w:top w:val="single" w:sz="8" w:color="auto"/>
              <w:right w:val="single" w:sz="8" w:color="auto"/>
            </w:tcBorders>
            <w:shd w:val="clear" w:color="auto" w:fill="DAEEF3"/>
          </w:tcPr>
          <w:p>
            <w:pPr>
              <w:ind w:left="800"/>
              <w:spacing w:after="0"/>
              <w:rPr>
                <w:sz w:val="20"/>
                <w:szCs w:val="20"/>
                <w:color w:val="auto"/>
              </w:rPr>
            </w:pPr>
            <w:r>
              <w:rPr>
                <w:rFonts w:ascii="Arial" w:cs="Arial" w:eastAsia="Arial" w:hAnsi="Arial"/>
                <w:sz w:val="18"/>
                <w:szCs w:val="18"/>
                <w:b w:val="1"/>
                <w:bCs w:val="1"/>
                <w:color w:val="auto"/>
              </w:rPr>
              <w:t>Unobservable</w:t>
            </w:r>
          </w:p>
        </w:tc>
        <w:tc>
          <w:tcPr>
            <w:tcW w:w="2700" w:type="dxa"/>
            <w:vAlign w:val="bottom"/>
            <w:tcBorders>
              <w:top w:val="single" w:sz="8" w:color="auto"/>
              <w:right w:val="single" w:sz="8" w:color="auto"/>
            </w:tcBorders>
            <w:shd w:val="clear" w:color="auto" w:fill="DAEEF3"/>
          </w:tcPr>
          <w:p>
            <w:pPr>
              <w:ind w:left="7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240" w:type="dxa"/>
            <w:vAlign w:val="bottom"/>
            <w:tcBorders>
              <w:bottom w:val="single" w:sz="8" w:color="auto"/>
            </w:tcBorders>
            <w:shd w:val="clear" w:color="auto" w:fill="DAEEF3"/>
          </w:tcPr>
          <w:p>
            <w:pPr>
              <w:spacing w:after="0"/>
              <w:rPr>
                <w:sz w:val="20"/>
                <w:szCs w:val="20"/>
                <w:color w:val="auto"/>
              </w:rPr>
            </w:pPr>
          </w:p>
        </w:tc>
        <w:tc>
          <w:tcPr>
            <w:tcW w:w="1260" w:type="dxa"/>
            <w:vAlign w:val="bottom"/>
            <w:tcBorders>
              <w:bottom w:val="single" w:sz="8" w:color="auto"/>
              <w:right w:val="single" w:sz="8" w:color="auto"/>
            </w:tcBorders>
            <w:shd w:val="clear" w:color="auto" w:fill="DAEEF3"/>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260" w:type="dxa"/>
            <w:vAlign w:val="bottom"/>
            <w:tcBorders>
              <w:bottom w:val="single" w:sz="8" w:color="auto"/>
              <w:right w:val="single" w:sz="8" w:color="auto"/>
            </w:tcBorders>
            <w:shd w:val="clear" w:color="auto" w:fill="DAEEF3"/>
          </w:tcPr>
          <w:p>
            <w:pPr>
              <w:ind w:left="600"/>
              <w:spacing w:after="0"/>
              <w:rPr>
                <w:sz w:val="20"/>
                <w:szCs w:val="20"/>
                <w:color w:val="auto"/>
              </w:rPr>
            </w:pPr>
            <w:r>
              <w:rPr>
                <w:rFonts w:ascii="Arial" w:cs="Arial" w:eastAsia="Arial" w:hAnsi="Arial"/>
                <w:sz w:val="18"/>
                <w:szCs w:val="18"/>
                <w:b w:val="1"/>
                <w:bCs w:val="1"/>
                <w:color w:val="auto"/>
              </w:rPr>
              <w:t>Methodology</w:t>
            </w:r>
          </w:p>
        </w:tc>
        <w:tc>
          <w:tcPr>
            <w:tcW w:w="2700" w:type="dxa"/>
            <w:vAlign w:val="bottom"/>
            <w:tcBorders>
              <w:bottom w:val="single" w:sz="8" w:color="auto"/>
              <w:right w:val="single" w:sz="8" w:color="auto"/>
            </w:tcBorders>
            <w:shd w:val="clear" w:color="auto" w:fill="DAEEF3"/>
          </w:tcPr>
          <w:p>
            <w:pPr>
              <w:ind w:left="1080"/>
              <w:spacing w:after="0"/>
              <w:rPr>
                <w:sz w:val="20"/>
                <w:szCs w:val="20"/>
                <w:color w:val="auto"/>
              </w:rPr>
            </w:pPr>
            <w:r>
              <w:rPr>
                <w:rFonts w:ascii="Arial" w:cs="Arial" w:eastAsia="Arial" w:hAnsi="Arial"/>
                <w:sz w:val="18"/>
                <w:szCs w:val="18"/>
                <w:b w:val="1"/>
                <w:bCs w:val="1"/>
                <w:color w:val="auto"/>
              </w:rPr>
              <w:t>Inputs</w:t>
            </w:r>
          </w:p>
        </w:tc>
        <w:tc>
          <w:tcPr>
            <w:tcW w:w="2700" w:type="dxa"/>
            <w:vAlign w:val="bottom"/>
            <w:tcBorders>
              <w:bottom w:val="single" w:sz="8" w:color="auto"/>
              <w:right w:val="single" w:sz="8" w:color="auto"/>
            </w:tcBorders>
            <w:shd w:val="clear" w:color="auto" w:fill="DAEEF3"/>
          </w:tcPr>
          <w:p>
            <w:pPr>
              <w:ind w:left="5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95"/>
        </w:trPr>
        <w:tc>
          <w:tcPr>
            <w:tcW w:w="2260" w:type="dxa"/>
            <w:vAlign w:val="bottom"/>
            <w:tcBorders>
              <w:left w:val="single" w:sz="8" w:color="auto"/>
              <w:right w:val="single" w:sz="8" w:color="auto"/>
            </w:tcBorders>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7,172,482</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Enterprise Value</w:t>
            </w:r>
          </w:p>
        </w:tc>
        <w:tc>
          <w:tcPr>
            <w:tcW w:w="27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Average EBITDA Multiple/WAAC</w:t>
            </w:r>
          </w:p>
        </w:tc>
        <w:tc>
          <w:tcPr>
            <w:tcW w:w="27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8.5x/6.7% - 7.6x/14.3%</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(8.1x/10.0%)</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185,375,144</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Income Approach</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Implied Discount Rate</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2.1% - 9.4% (4.1%)</w:t>
            </w: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27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186,845</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Recovery Approach</w:t>
            </w:r>
          </w:p>
        </w:tc>
        <w:tc>
          <w:tcPr>
            <w:tcW w:w="27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Borders>
              <w:left w:val="single" w:sz="8" w:color="auto"/>
              <w:right w:val="single" w:sz="8" w:color="auto"/>
            </w:tcBorders>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8,208,286</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Enterprise Value</w:t>
            </w:r>
          </w:p>
        </w:tc>
        <w:tc>
          <w:tcPr>
            <w:tcW w:w="27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Average EBITDA Multiple/WAAC</w:t>
            </w:r>
          </w:p>
        </w:tc>
        <w:tc>
          <w:tcPr>
            <w:tcW w:w="27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3.3x/10.0% - 7.6x/14.3%</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(6.2x/13.5%)</w:t>
            </w: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27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 (11%)</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45,654,074</w:t>
            </w: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Discounted Cash Flow</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Probability of Default</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 - 15% (2.6%)</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40" w:type="dxa"/>
            <w:vAlign w:val="bottom"/>
            <w:vMerge w:val="continue"/>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2260" w:type="dxa"/>
            <w:vAlign w:val="bottom"/>
            <w:tcBorders>
              <w:right w:val="single" w:sz="8" w:color="auto"/>
            </w:tcBorders>
            <w:vMerge w:val="continue"/>
          </w:tcPr>
          <w:p>
            <w:pPr>
              <w:spacing w:after="0"/>
              <w:rPr>
                <w:sz w:val="18"/>
                <w:szCs w:val="18"/>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Loss Severity</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 - 30% (20.5%)</w:t>
            </w: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Recovery Rate</w:t>
            </w: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70% - 80% (79.5%)</w:t>
            </w:r>
          </w:p>
        </w:tc>
        <w:tc>
          <w:tcPr>
            <w:tcW w:w="0" w:type="dxa"/>
            <w:vAlign w:val="bottom"/>
          </w:tcPr>
          <w:p>
            <w:pPr>
              <w:spacing w:after="0"/>
              <w:rPr>
                <w:sz w:val="1"/>
                <w:szCs w:val="1"/>
                <w:color w:val="auto"/>
              </w:rPr>
            </w:pPr>
          </w:p>
        </w:tc>
      </w:tr>
      <w:tr>
        <w:trPr>
          <w:trHeight w:val="127"/>
        </w:trPr>
        <w:tc>
          <w:tcPr>
            <w:tcW w:w="2260" w:type="dxa"/>
            <w:vAlign w:val="bottom"/>
            <w:tcBorders>
              <w:left w:val="single" w:sz="8" w:color="auto"/>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vMerge w:val="continue"/>
          </w:tcPr>
          <w:p>
            <w:pPr>
              <w:spacing w:after="0"/>
              <w:rPr>
                <w:sz w:val="10"/>
                <w:szCs w:val="10"/>
                <w:color w:val="auto"/>
              </w:rPr>
            </w:pPr>
          </w:p>
        </w:tc>
        <w:tc>
          <w:tcPr>
            <w:tcW w:w="27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Rate</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 (30%)</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32,093,450</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Market Approach</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Third Party Quote</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75.5 – 93 (88.7)</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74,075,000</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Discounted Cash Flow</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1.99 - 7.78 (6.77)</w:t>
            </w:r>
          </w:p>
        </w:tc>
        <w:tc>
          <w:tcPr>
            <w:tcW w:w="0" w:type="dxa"/>
            <w:vAlign w:val="bottom"/>
          </w:tcPr>
          <w:p>
            <w:pPr>
              <w:spacing w:after="0"/>
              <w:rPr>
                <w:sz w:val="1"/>
                <w:szCs w:val="1"/>
                <w:color w:val="auto"/>
              </w:rPr>
            </w:pPr>
          </w:p>
        </w:tc>
      </w:tr>
      <w:tr>
        <w:trPr>
          <w:trHeight w:val="191"/>
        </w:trPr>
        <w:tc>
          <w:tcPr>
            <w:tcW w:w="2260" w:type="dxa"/>
            <w:vAlign w:val="bottom"/>
          </w:tcPr>
          <w:p>
            <w:pPr>
              <w:ind w:left="1020"/>
              <w:spacing w:after="0" w:line="191" w:lineRule="exact"/>
              <w:rPr>
                <w:sz w:val="20"/>
                <w:szCs w:val="20"/>
                <w:color w:val="auto"/>
              </w:rPr>
            </w:pPr>
            <w:r>
              <w:rPr>
                <w:rFonts w:ascii="Arial" w:cs="Arial" w:eastAsia="Arial" w:hAnsi="Arial"/>
                <w:sz w:val="18"/>
                <w:szCs w:val="18"/>
                <w:b w:val="1"/>
                <w:bCs w:val="1"/>
                <w:color w:val="auto"/>
              </w:rPr>
              <w:t>Total Level III</w:t>
            </w:r>
          </w:p>
        </w:tc>
        <w:tc>
          <w:tcPr>
            <w:tcW w:w="240" w:type="dxa"/>
            <w:vAlign w:val="bottom"/>
          </w:tcPr>
          <w:p>
            <w:pPr>
              <w:spacing w:after="0"/>
              <w:rPr>
                <w:sz w:val="16"/>
                <w:szCs w:val="16"/>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$352,800,296</w:t>
            </w:r>
          </w:p>
        </w:tc>
        <w:tc>
          <w:tcPr>
            <w:tcW w:w="2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260" w:type="dxa"/>
            <w:vAlign w:val="bottom"/>
            <w:vMerge w:val="restart"/>
          </w:tcPr>
          <w:p>
            <w:pPr>
              <w:ind w:left="1260"/>
              <w:spacing w:after="0"/>
              <w:rPr>
                <w:sz w:val="20"/>
                <w:szCs w:val="20"/>
                <w:color w:val="auto"/>
              </w:rPr>
            </w:pPr>
            <w:r>
              <w:rPr>
                <w:rFonts w:ascii="Arial" w:cs="Arial" w:eastAsia="Arial" w:hAnsi="Arial"/>
                <w:sz w:val="18"/>
                <w:szCs w:val="18"/>
                <w:b w:val="1"/>
                <w:bCs w:val="1"/>
                <w:color w:val="auto"/>
                <w:w w:val="91"/>
              </w:rPr>
              <w:t>Investments</w:t>
            </w:r>
          </w:p>
        </w:tc>
        <w:tc>
          <w:tcPr>
            <w:tcW w:w="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8"/>
        <w:spacing w:after="0" w:line="194" w:lineRule="auto"/>
        <w:tabs>
          <w:tab w:leader="none" w:pos="12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2"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3" w:name="page44"/>
    <w:bookmarkEnd w:id="43"/>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2014 and December 31, 2013, the Asset Manager Affiliates had approximately $3.0 billion and $3.2 billion, respectively, of par value of assets under management, and the Company’s 100% equity interest in the Asset Manager Affiliates had a fair value of approximately $74 million and $76 million, respectively.</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operating income equal to the amount by which their fee income exceeds their operating expenses, including compensation of their employees.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five managed funds made incentive fee distributions during the quarter ended March 31, 2014.</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net income that the Asset Manager Affiliates generate through their operations may be distributed to the Company. Any distributions of the Asset Manager Affiliates’ net income are recorded as “Dividends from Asset Manager Affiliates” and are recorded as declared (where declaration date represents ex-dividend date) by the Asset Manager Affiliates on the Company’s statement of operations. For the three months ended March 31, 2014, the Asset Manager Affiliates declared distributions of $3.0 million to the Company which was included in accounts receivable as of March 31, 2014.</w:t>
      </w:r>
    </w:p>
    <w:p>
      <w:pPr>
        <w:spacing w:after="0" w:line="171" w:lineRule="exact"/>
        <w:rPr>
          <w:sz w:val="20"/>
          <w:szCs w:val="20"/>
          <w:color w:val="auto"/>
        </w:rPr>
      </w:pPr>
    </w:p>
    <w:p>
      <w:pPr>
        <w:ind w:right="360" w:firstLine="41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“Significant Accounting Policies” and Note 4, “Investments” for further information relating to the Company’s valuation methodology.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right="300" w:firstLine="324"/>
        <w:spacing w:after="0" w:line="257" w:lineRule="auto"/>
        <w:rPr>
          <w:sz w:val="20"/>
          <w:szCs w:val="20"/>
          <w:color w:val="auto"/>
        </w:rPr>
      </w:pPr>
      <w:r>
        <w:rPr>
          <w:rFonts w:ascii="Arial" w:cs="Arial" w:eastAsia="Arial" w:hAnsi="Arial"/>
          <w:sz w:val="18"/>
          <w:szCs w:val="18"/>
          <w:color w:val="auto"/>
        </w:rPr>
        <w:t>As a result of the consolidation of the CLO Funds into the Asset Manager Affiliates, the financial results of the Asset Manager Affiliates indicate that they qualify as a “significant subsidiary” of the Company requiring the following additional disclosures. In addition, Katonah 2007-I CLO and Katonah X CLO qualify as “significant subsidiaries” of the Company and the Company is also required to make the additional disclosures about them below. These disclosures regarding the Asset Manager Affiliates and Katonah 2007-I CLO and Katonah X CLO do not directly impact the financial position, results of operations, or cash flows of the Company.</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4820" w:type="dxa"/>
            <w:vAlign w:val="bottom"/>
            <w:gridSpan w:val="3"/>
          </w:tcPr>
          <w:p>
            <w:pPr>
              <w:jc w:val="center"/>
              <w:ind w:right="1020"/>
              <w:spacing w:after="0"/>
              <w:rPr>
                <w:sz w:val="20"/>
                <w:szCs w:val="20"/>
                <w:color w:val="auto"/>
              </w:rPr>
            </w:pPr>
            <w:r>
              <w:rPr>
                <w:rFonts w:ascii="Arial" w:cs="Arial" w:eastAsia="Arial" w:hAnsi="Arial"/>
                <w:sz w:val="18"/>
                <w:szCs w:val="18"/>
                <w:color w:val="auto"/>
                <w:w w:val="90"/>
              </w:rPr>
              <w:t>Summarized Balance Sheet Information (unaudited)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3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of</w:t>
            </w:r>
          </w:p>
        </w:tc>
      </w:tr>
      <w:tr>
        <w:trPr>
          <w:trHeight w:val="234"/>
        </w:trPr>
        <w:tc>
          <w:tcPr>
            <w:tcW w:w="38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March 31, 2014</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December 31, 2013</w:t>
            </w:r>
          </w:p>
        </w:tc>
      </w:tr>
      <w:tr>
        <w:trPr>
          <w:trHeight w:val="210"/>
        </w:trPr>
        <w:tc>
          <w:tcPr>
            <w:tcW w:w="3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of CLO Funds, at fair value</w:t>
            </w:r>
          </w:p>
        </w:tc>
        <w:tc>
          <w:tcPr>
            <w:tcW w:w="3400" w:type="dxa"/>
            <w:vAlign w:val="bottom"/>
            <w:tcBorders>
              <w:top w:val="single" w:sz="8" w:color="CCFFCC"/>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6"/>
              </w:rPr>
              <w:t>$  2,800,248,201</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2,964,229,086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4820" w:type="dxa"/>
            <w:vAlign w:val="bottom"/>
            <w:gridSpan w:val="3"/>
          </w:tcPr>
          <w:p>
            <w:pPr>
              <w:jc w:val="right"/>
              <w:ind w:right="100"/>
              <w:spacing w:after="0"/>
              <w:rPr>
                <w:sz w:val="20"/>
                <w:szCs w:val="20"/>
                <w:color w:val="auto"/>
              </w:rPr>
            </w:pPr>
            <w:r>
              <w:rPr>
                <w:rFonts w:ascii="Arial" w:cs="Arial" w:eastAsia="Arial" w:hAnsi="Arial"/>
                <w:sz w:val="18"/>
                <w:szCs w:val="18"/>
                <w:color w:val="auto"/>
              </w:rPr>
              <w:t>223,264,573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278,813,923</w:t>
            </w:r>
          </w:p>
        </w:tc>
        <w:tc>
          <w:tcPr>
            <w:tcW w:w="100" w:type="dxa"/>
            <w:vAlign w:val="bottom"/>
          </w:tcPr>
          <w:p>
            <w:pPr>
              <w:spacing w:after="0"/>
              <w:rPr>
                <w:sz w:val="18"/>
                <w:szCs w:val="18"/>
                <w:color w:val="auto"/>
              </w:rPr>
            </w:pPr>
          </w:p>
        </w:tc>
      </w:tr>
      <w:tr>
        <w:trPr>
          <w:trHeight w:val="216"/>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3,068,014,753</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3,299,810,068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4820" w:type="dxa"/>
            <w:vAlign w:val="bottom"/>
            <w:gridSpan w:val="3"/>
          </w:tcPr>
          <w:p>
            <w:pPr>
              <w:jc w:val="right"/>
              <w:ind w:right="100"/>
              <w:spacing w:after="0"/>
              <w:rPr>
                <w:sz w:val="20"/>
                <w:szCs w:val="20"/>
                <w:color w:val="auto"/>
              </w:rPr>
            </w:pPr>
            <w:r>
              <w:rPr>
                <w:rFonts w:ascii="Arial" w:cs="Arial" w:eastAsia="Arial" w:hAnsi="Arial"/>
                <w:sz w:val="18"/>
                <w:szCs w:val="18"/>
                <w:color w:val="auto"/>
              </w:rPr>
              <w:t>2,885,936,474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3,079,835,713</w:t>
            </w:r>
          </w:p>
        </w:tc>
      </w:tr>
      <w:tr>
        <w:trPr>
          <w:trHeight w:val="216"/>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48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2,953,425,158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3,176,654,741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4820" w:type="dxa"/>
            <w:vAlign w:val="bottom"/>
            <w:gridSpan w:val="3"/>
          </w:tcPr>
          <w:p>
            <w:pPr>
              <w:jc w:val="right"/>
              <w:ind w:right="100"/>
              <w:spacing w:after="0"/>
              <w:rPr>
                <w:sz w:val="20"/>
                <w:szCs w:val="20"/>
                <w:color w:val="auto"/>
              </w:rPr>
            </w:pPr>
            <w:r>
              <w:rPr>
                <w:rFonts w:ascii="Arial" w:cs="Arial" w:eastAsia="Arial" w:hAnsi="Arial"/>
                <w:sz w:val="18"/>
                <w:szCs w:val="18"/>
                <w:color w:val="auto"/>
              </w:rPr>
              <w:t>40,782,843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38,855,099</w:t>
            </w:r>
          </w:p>
        </w:tc>
      </w:tr>
      <w:tr>
        <w:trPr>
          <w:trHeight w:val="216"/>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w w:val="91"/>
              </w:rPr>
              <w:t>Appropriated retained earnings of consolidated VIEs</w:t>
            </w:r>
          </w:p>
        </w:tc>
        <w:tc>
          <w:tcPr>
            <w:tcW w:w="48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76,841,811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84,300,228</w:t>
            </w:r>
          </w:p>
        </w:tc>
      </w:tr>
      <w:tr>
        <w:trPr>
          <w:trHeight w:val="418"/>
        </w:trPr>
        <w:tc>
          <w:tcPr>
            <w:tcW w:w="3820" w:type="dxa"/>
            <w:vAlign w:val="bottom"/>
          </w:tcPr>
          <w:p>
            <w:pPr>
              <w:spacing w:after="0"/>
              <w:rPr>
                <w:sz w:val="24"/>
                <w:szCs w:val="24"/>
                <w:color w:val="auto"/>
              </w:rPr>
            </w:pPr>
          </w:p>
        </w:tc>
        <w:tc>
          <w:tcPr>
            <w:tcW w:w="48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0"/>
              </w:rPr>
              <w:t>Asset Manager Affiliates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40" w:type="dxa"/>
            <w:vAlign w:val="bottom"/>
            <w:gridSpan w:val="4"/>
          </w:tcPr>
          <w:p>
            <w:pPr>
              <w:jc w:val="center"/>
              <w:ind w:left="271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c>
          <w:tcPr>
            <w:tcW w:w="1140" w:type="dxa"/>
            <w:vAlign w:val="bottom"/>
          </w:tcPr>
          <w:p>
            <w:pPr>
              <w:spacing w:after="0"/>
              <w:rPr>
                <w:sz w:val="19"/>
                <w:szCs w:val="19"/>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73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FF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 investments of CLO Funds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27,684,485</w:t>
            </w: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33,267,427</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income</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30,388,785</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36,311,272</w:t>
            </w:r>
          </w:p>
        </w:tc>
        <w:tc>
          <w:tcPr>
            <w:tcW w:w="1140" w:type="dxa"/>
            <w:vAlign w:val="bottom"/>
          </w:tcPr>
          <w:p>
            <w:pPr>
              <w:spacing w:after="0"/>
              <w:rPr>
                <w:sz w:val="18"/>
                <w:szCs w:val="18"/>
                <w:color w:val="auto"/>
              </w:rPr>
            </w:pPr>
          </w:p>
        </w:tc>
      </w:tr>
      <w:tr>
        <w:trPr>
          <w:trHeight w:val="216"/>
        </w:trPr>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of CLO Fund liabilities</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24,525,198</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29,772,085</w:t>
            </w:r>
          </w:p>
        </w:tc>
        <w:tc>
          <w:tcPr>
            <w:tcW w:w="114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30,906,163</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34,844,224</w:t>
            </w:r>
          </w:p>
        </w:tc>
        <w:tc>
          <w:tcPr>
            <w:tcW w:w="1140" w:type="dxa"/>
            <w:vAlign w:val="bottom"/>
          </w:tcPr>
          <w:p>
            <w:pPr>
              <w:spacing w:after="0"/>
              <w:rPr>
                <w:sz w:val="18"/>
                <w:szCs w:val="18"/>
                <w:color w:val="auto"/>
              </w:rPr>
            </w:pPr>
          </w:p>
        </w:tc>
      </w:tr>
      <w:tr>
        <w:trPr>
          <w:trHeight w:val="216"/>
        </w:trPr>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(4,718,488)</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(9,478,937)</w:t>
            </w:r>
          </w:p>
        </w:tc>
        <w:tc>
          <w:tcPr>
            <w:tcW w:w="114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 attributable to noncontrolling interests in consolidated Variable Interest Entities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(7,458,418)</w:t>
            </w:r>
          </w:p>
        </w:tc>
        <w:tc>
          <w:tcPr>
            <w:tcW w:w="3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(9,171,141)</w:t>
            </w:r>
          </w:p>
        </w:tc>
        <w:tc>
          <w:tcPr>
            <w:tcW w:w="1140" w:type="dxa"/>
            <w:vAlign w:val="bottom"/>
          </w:tcPr>
          <w:p>
            <w:pPr>
              <w:spacing w:after="0"/>
              <w:rPr>
                <w:sz w:val="18"/>
                <w:szCs w:val="18"/>
                <w:color w:val="auto"/>
              </w:rPr>
            </w:pPr>
          </w:p>
        </w:tc>
      </w:tr>
      <w:tr>
        <w:trPr>
          <w:trHeight w:val="216"/>
        </w:trPr>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Asset Manager Affiliates</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1,346,460</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762,649</w:t>
            </w:r>
          </w:p>
        </w:tc>
        <w:tc>
          <w:tcPr>
            <w:tcW w:w="1140" w:type="dxa"/>
            <w:vAlign w:val="bottom"/>
          </w:tcPr>
          <w:p>
            <w:pPr>
              <w:spacing w:after="0"/>
              <w:rPr>
                <w:sz w:val="18"/>
                <w:szCs w:val="18"/>
                <w:color w:val="auto"/>
              </w:rPr>
            </w:pPr>
          </w:p>
        </w:tc>
      </w:tr>
      <w:tr>
        <w:trPr>
          <w:trHeight w:val="648"/>
        </w:trPr>
        <w:tc>
          <w:tcPr>
            <w:tcW w:w="73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Summarized Balance Sheet Information (unaudited)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3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As of</w:t>
            </w:r>
          </w:p>
        </w:tc>
      </w:tr>
      <w:tr>
        <w:trPr>
          <w:trHeight w:val="234"/>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6"/>
              </w:rPr>
              <w:t>March 31, 2014</w:t>
            </w:r>
          </w:p>
        </w:tc>
        <w:tc>
          <w:tcPr>
            <w:tcW w:w="156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December 31, 2013</w:t>
            </w:r>
          </w:p>
        </w:tc>
      </w:tr>
      <w:tr>
        <w:trPr>
          <w:trHeight w:val="210"/>
        </w:trPr>
        <w:tc>
          <w:tcPr>
            <w:tcW w:w="3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35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315,959,003</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310,427,788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Cash</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9,793,137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15,260,243</w:t>
            </w: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326,380,541</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326,362,942</w:t>
            </w:r>
          </w:p>
        </w:tc>
        <w:tc>
          <w:tcPr>
            <w:tcW w:w="100" w:type="dxa"/>
            <w:vAlign w:val="bottom"/>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315,117,859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314,549,615</w:t>
            </w:r>
          </w:p>
        </w:tc>
        <w:tc>
          <w:tcPr>
            <w:tcW w:w="100" w:type="dxa"/>
            <w:vAlign w:val="bottom"/>
          </w:tcPr>
          <w:p>
            <w:pPr>
              <w:spacing w:after="0"/>
              <w:rPr>
                <w:sz w:val="18"/>
                <w:szCs w:val="18"/>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322,334,041</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320,828,003</w:t>
            </w:r>
          </w:p>
        </w:tc>
        <w:tc>
          <w:tcPr>
            <w:tcW w:w="100" w:type="dxa"/>
            <w:vAlign w:val="bottom"/>
            <w:shd w:val="clear" w:color="auto" w:fill="CCFFCC"/>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Net Assets</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4,046,500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5,534,939</w:t>
            </w:r>
          </w:p>
        </w:tc>
        <w:tc>
          <w:tcPr>
            <w:tcW w:w="100" w:type="dxa"/>
            <w:vAlign w:val="bottom"/>
          </w:tcPr>
          <w:p>
            <w:pPr>
              <w:spacing w:after="0"/>
              <w:rPr>
                <w:sz w:val="20"/>
                <w:szCs w:val="20"/>
                <w:color w:val="auto"/>
              </w:rPr>
            </w:pPr>
          </w:p>
        </w:tc>
      </w:tr>
      <w:tr>
        <w:trPr>
          <w:trHeight w:val="404"/>
        </w:trPr>
        <w:tc>
          <w:tcPr>
            <w:tcW w:w="3640" w:type="dxa"/>
            <w:vAlign w:val="bottom"/>
          </w:tcPr>
          <w:p>
            <w:pPr>
              <w:spacing w:after="0"/>
              <w:rPr>
                <w:sz w:val="24"/>
                <w:szCs w:val="24"/>
                <w:color w:val="auto"/>
              </w:rPr>
            </w:pPr>
          </w:p>
        </w:tc>
        <w:tc>
          <w:tcPr>
            <w:tcW w:w="39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6"/>
              </w:rPr>
              <w:t>Katonah 2007-I CLO Ltd.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720" w:type="dxa"/>
            <w:vAlign w:val="bottom"/>
            <w:gridSpan w:val="7"/>
          </w:tcPr>
          <w:p>
            <w:pPr>
              <w:jc w:val="center"/>
              <w:ind w:left="263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3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8"/>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98"/>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40" w:type="dxa"/>
            <w:vAlign w:val="bottom"/>
            <w:tcBorders>
              <w:bottom w:val="single" w:sz="8" w:color="CCFFCC"/>
            </w:tcBorders>
          </w:tcPr>
          <w:p>
            <w:pPr>
              <w:spacing w:after="0"/>
              <w:rPr>
                <w:sz w:val="19"/>
                <w:szCs w:val="19"/>
                <w:color w:val="auto"/>
              </w:rPr>
            </w:pPr>
          </w:p>
        </w:tc>
        <w:tc>
          <w:tcPr>
            <w:tcW w:w="35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9"/>
                <w:szCs w:val="19"/>
                <w:color w:val="auto"/>
              </w:rPr>
            </w:pPr>
          </w:p>
        </w:tc>
      </w:tr>
      <w:tr>
        <w:trPr>
          <w:trHeight w:val="210"/>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investments</w:t>
            </w:r>
          </w:p>
        </w:tc>
        <w:tc>
          <w:tcPr>
            <w:tcW w:w="3680" w:type="dxa"/>
            <w:vAlign w:val="bottom"/>
            <w:gridSpan w:val="2"/>
            <w:shd w:val="clear" w:color="auto" w:fill="CCFFCC"/>
          </w:tcPr>
          <w:p>
            <w:pPr>
              <w:spacing w:after="0"/>
              <w:rPr>
                <w:sz w:val="18"/>
                <w:szCs w:val="18"/>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2,992,131</w:t>
            </w:r>
          </w:p>
        </w:tc>
        <w:tc>
          <w:tcPr>
            <w:tcW w:w="60" w:type="dxa"/>
            <w:vAlign w:val="bottom"/>
            <w:shd w:val="clear" w:color="auto" w:fill="CCFFCC"/>
          </w:tcPr>
          <w:p>
            <w:pPr>
              <w:spacing w:after="0"/>
              <w:rPr>
                <w:sz w:val="18"/>
                <w:szCs w:val="18"/>
                <w:color w:val="auto"/>
              </w:rPr>
            </w:pPr>
          </w:p>
        </w:tc>
        <w:tc>
          <w:tcPr>
            <w:tcW w:w="140" w:type="dxa"/>
            <w:vAlign w:val="bottom"/>
            <w:gridSpan w:val="2"/>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3,225,687</w:t>
            </w:r>
          </w:p>
        </w:tc>
        <w:tc>
          <w:tcPr>
            <w:tcW w:w="100" w:type="dxa"/>
            <w:vAlign w:val="bottom"/>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income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3,297,648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3,386,608</w:t>
            </w:r>
          </w:p>
        </w:tc>
        <w:tc>
          <w:tcPr>
            <w:tcW w:w="100" w:type="dxa"/>
            <w:vAlign w:val="bottom"/>
          </w:tcPr>
          <w:p>
            <w:pPr>
              <w:spacing w:after="0"/>
              <w:rPr>
                <w:sz w:val="18"/>
                <w:szCs w:val="18"/>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2,793,908</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2,993,892</w:t>
            </w:r>
          </w:p>
        </w:tc>
        <w:tc>
          <w:tcPr>
            <w:tcW w:w="100" w:type="dxa"/>
            <w:vAlign w:val="bottom"/>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expenses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3,116,987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3,270,996</w:t>
            </w:r>
          </w:p>
        </w:tc>
        <w:tc>
          <w:tcPr>
            <w:tcW w:w="100" w:type="dxa"/>
            <w:vAlign w:val="bottom"/>
          </w:tcPr>
          <w:p>
            <w:pPr>
              <w:spacing w:after="0"/>
              <w:rPr>
                <w:sz w:val="18"/>
                <w:szCs w:val="18"/>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losses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(1,669,100)</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(1,759,451)</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3"/>
              </w:rPr>
              <w:t>Decrease in net assets resulting from operations</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(1,488,439)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(1,643,839)</w:t>
            </w:r>
          </w:p>
        </w:tc>
      </w:tr>
      <w:tr>
        <w:trPr>
          <w:trHeight w:val="404"/>
        </w:trPr>
        <w:tc>
          <w:tcPr>
            <w:tcW w:w="3640" w:type="dxa"/>
            <w:vAlign w:val="bottom"/>
          </w:tcPr>
          <w:p>
            <w:pPr>
              <w:spacing w:after="0"/>
              <w:rPr>
                <w:sz w:val="24"/>
                <w:szCs w:val="24"/>
                <w:color w:val="auto"/>
              </w:rPr>
            </w:pPr>
          </w:p>
        </w:tc>
        <w:tc>
          <w:tcPr>
            <w:tcW w:w="3980" w:type="dxa"/>
            <w:vAlign w:val="bottom"/>
            <w:gridSpan w:val="3"/>
          </w:tcPr>
          <w:p>
            <w:pPr>
              <w:jc w:val="right"/>
              <w:ind w:right="1045"/>
              <w:spacing w:after="0"/>
              <w:rPr>
                <w:sz w:val="20"/>
                <w:szCs w:val="20"/>
                <w:color w:val="auto"/>
              </w:rPr>
            </w:pPr>
            <w:r>
              <w:rPr>
                <w:rFonts w:ascii="Arial" w:cs="Arial" w:eastAsia="Arial" w:hAnsi="Arial"/>
                <w:sz w:val="18"/>
                <w:szCs w:val="18"/>
                <w:b w:val="1"/>
                <w:bCs w:val="1"/>
                <w:color w:val="auto"/>
              </w:rPr>
              <w:t>Katonah X CLO Ltd.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Summarized Balance Sheet Information (unaudited)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3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As of</w:t>
            </w:r>
          </w:p>
        </w:tc>
      </w:tr>
      <w:tr>
        <w:trPr>
          <w:trHeight w:val="234"/>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6"/>
              </w:rPr>
              <w:t>March 31, 2014</w:t>
            </w:r>
          </w:p>
        </w:tc>
        <w:tc>
          <w:tcPr>
            <w:tcW w:w="156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December 31, 2013</w:t>
            </w:r>
          </w:p>
        </w:tc>
      </w:tr>
      <w:tr>
        <w:trPr>
          <w:trHeight w:val="210"/>
        </w:trPr>
        <w:tc>
          <w:tcPr>
            <w:tcW w:w="3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35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371,104,906</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408,698,814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Cash</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28,249,249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26,050,568</w:t>
            </w: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400,389,122</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435,799,911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382,224,287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416,405,403</w:t>
            </w:r>
          </w:p>
        </w:tc>
        <w:tc>
          <w:tcPr>
            <w:tcW w:w="100" w:type="dxa"/>
            <w:vAlign w:val="bottom"/>
          </w:tcPr>
          <w:p>
            <w:pPr>
              <w:spacing w:after="0"/>
              <w:rPr>
                <w:sz w:val="18"/>
                <w:szCs w:val="18"/>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383,420,327</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417,800,701</w:t>
            </w:r>
          </w:p>
        </w:tc>
        <w:tc>
          <w:tcPr>
            <w:tcW w:w="100" w:type="dxa"/>
            <w:vAlign w:val="bottom"/>
            <w:shd w:val="clear" w:color="auto" w:fill="CCFFCC"/>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Net Assets</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16,968,795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17,999,210</w:t>
            </w:r>
          </w:p>
        </w:tc>
      </w:tr>
      <w:tr>
        <w:trPr>
          <w:trHeight w:val="404"/>
        </w:trPr>
        <w:tc>
          <w:tcPr>
            <w:tcW w:w="3640" w:type="dxa"/>
            <w:vAlign w:val="bottom"/>
          </w:tcPr>
          <w:p>
            <w:pPr>
              <w:spacing w:after="0"/>
              <w:rPr>
                <w:sz w:val="24"/>
                <w:szCs w:val="24"/>
                <w:color w:val="auto"/>
              </w:rPr>
            </w:pPr>
          </w:p>
        </w:tc>
        <w:tc>
          <w:tcPr>
            <w:tcW w:w="39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7"/>
              </w:rPr>
              <w:t>Katonah X CLO Ltd.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720" w:type="dxa"/>
            <w:vAlign w:val="bottom"/>
            <w:gridSpan w:val="7"/>
          </w:tcPr>
          <w:p>
            <w:pPr>
              <w:jc w:val="center"/>
              <w:ind w:left="257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3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8"/>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98"/>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40" w:type="dxa"/>
            <w:vAlign w:val="bottom"/>
            <w:tcBorders>
              <w:bottom w:val="single" w:sz="8" w:color="CCFFCC"/>
            </w:tcBorders>
          </w:tcPr>
          <w:p>
            <w:pPr>
              <w:spacing w:after="0"/>
              <w:rPr>
                <w:sz w:val="19"/>
                <w:szCs w:val="19"/>
                <w:color w:val="auto"/>
              </w:rPr>
            </w:pPr>
          </w:p>
        </w:tc>
        <w:tc>
          <w:tcPr>
            <w:tcW w:w="35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9"/>
                <w:szCs w:val="19"/>
                <w:color w:val="auto"/>
              </w:rPr>
            </w:pPr>
          </w:p>
        </w:tc>
      </w:tr>
      <w:tr>
        <w:trPr>
          <w:trHeight w:val="210"/>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investments</w:t>
            </w:r>
          </w:p>
        </w:tc>
        <w:tc>
          <w:tcPr>
            <w:tcW w:w="3680" w:type="dxa"/>
            <w:vAlign w:val="bottom"/>
            <w:gridSpan w:val="2"/>
            <w:shd w:val="clear" w:color="auto" w:fill="CCFFCC"/>
          </w:tcPr>
          <w:p>
            <w:pPr>
              <w:spacing w:after="0"/>
              <w:rPr>
                <w:sz w:val="18"/>
                <w:szCs w:val="18"/>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3,727,983</w:t>
            </w:r>
          </w:p>
        </w:tc>
        <w:tc>
          <w:tcPr>
            <w:tcW w:w="60" w:type="dxa"/>
            <w:vAlign w:val="bottom"/>
            <w:shd w:val="clear" w:color="auto" w:fill="CCFFCC"/>
          </w:tcPr>
          <w:p>
            <w:pPr>
              <w:spacing w:after="0"/>
              <w:rPr>
                <w:sz w:val="18"/>
                <w:szCs w:val="18"/>
                <w:color w:val="auto"/>
              </w:rPr>
            </w:pPr>
          </w:p>
        </w:tc>
        <w:tc>
          <w:tcPr>
            <w:tcW w:w="140" w:type="dxa"/>
            <w:vAlign w:val="bottom"/>
            <w:gridSpan w:val="2"/>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5,004,259</w:t>
            </w:r>
          </w:p>
        </w:tc>
        <w:tc>
          <w:tcPr>
            <w:tcW w:w="100" w:type="dxa"/>
            <w:vAlign w:val="bottom"/>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income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3,922,489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5,356,117</w:t>
            </w: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2,645,548</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4,737,682</w:t>
            </w:r>
          </w:p>
        </w:tc>
        <w:tc>
          <w:tcPr>
            <w:tcW w:w="100" w:type="dxa"/>
            <w:vAlign w:val="bottom"/>
            <w:shd w:val="clear" w:color="auto" w:fill="CCFFC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expenses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3,850,597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5,425,919</w:t>
            </w:r>
          </w:p>
        </w:tc>
        <w:tc>
          <w:tcPr>
            <w:tcW w:w="100" w:type="dxa"/>
            <w:vAlign w:val="bottom"/>
          </w:tcPr>
          <w:p>
            <w:pPr>
              <w:spacing w:after="0"/>
              <w:rPr>
                <w:sz w:val="18"/>
                <w:szCs w:val="18"/>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losses</w:t>
            </w:r>
          </w:p>
        </w:tc>
        <w:tc>
          <w:tcPr>
            <w:tcW w:w="3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(1,102,305)</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(1,136,684)</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3"/>
              </w:rPr>
              <w:t>Decrease in net assets resulting from operations</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(1,030,414)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(1,206,486)</w:t>
            </w:r>
          </w:p>
        </w:tc>
      </w:tr>
    </w:tbl>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depreciation, bonuses to employees and stock option expense,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46" w:name="page47"/>
    <w:bookmarkEnd w:id="46"/>
    <w:p>
      <w:pPr>
        <w:ind w:right="100" w:firstLine="324"/>
        <w:spacing w:after="0" w:line="273" w:lineRule="auto"/>
        <w:rPr>
          <w:sz w:val="20"/>
          <w:szCs w:val="20"/>
          <w:color w:val="auto"/>
        </w:rPr>
      </w:pPr>
      <w:r>
        <w:rPr>
          <w:rFonts w:ascii="Arial" w:cs="Arial" w:eastAsia="Arial" w:hAnsi="Arial"/>
          <w:sz w:val="17"/>
          <w:szCs w:val="17"/>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U.S. Internal Revenue Code. At the time of the transfer, Katonah Debt Advisors had equity of approximately $1 million resulting in tax goodwill of approximately $32 million which will be amortized for tax purposes on a straight-line basis over 15 years, which accounts for an annual difference between U.S. GAAP income and taxable income by approximately $2 million per year over such period.</w:t>
      </w:r>
    </w:p>
    <w:p>
      <w:pPr>
        <w:spacing w:after="0" w:line="17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its sole member, Commodore Holding, L.L.C., in exchange for shares of the KCAP Financial’s stock valued at $25.5 million and cash of $13.0 million. The transaction was considered an asset purchase under Section 351(a) of the code and resulted in tax goodwill of approximately $22.8 million which will be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had an expiration date of November 20, 2017 and bore interest at an annual rate of 9.0%. On December 27, 2012, the Senior Credit Facility was terminated and there are no borrowings outstanding.</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March 31, 2014, there was $23 million outstanding under the Trimaran Credit Facility, which is included in the Company’s Schedule of Investments. For the three months ended March 31, 2014, the Company recognized interest income of $517,500 related to the Trimaran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80" w:type="dxa"/>
            <w:vAlign w:val="bottom"/>
          </w:tcPr>
          <w:p>
            <w:pPr>
              <w:ind w:left="340"/>
              <w:spacing w:after="0"/>
              <w:rPr>
                <w:sz w:val="20"/>
                <w:szCs w:val="20"/>
                <w:color w:val="auto"/>
              </w:rPr>
            </w:pPr>
            <w:r>
              <w:rPr>
                <w:rFonts w:ascii="Arial" w:cs="Arial" w:eastAsia="Arial" w:hAnsi="Arial"/>
                <w:sz w:val="18"/>
                <w:szCs w:val="18"/>
                <w:color w:val="auto"/>
              </w:rPr>
              <w:t>The Company’s debt obligations consist of the following:</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 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6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December 31, 2013</w:t>
            </w:r>
          </w:p>
        </w:tc>
      </w:tr>
      <w:tr>
        <w:trPr>
          <w:trHeight w:val="210"/>
        </w:trPr>
        <w:tc>
          <w:tcPr>
            <w:tcW w:w="6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Notes, due March 15, 2016</w:t>
            </w:r>
          </w:p>
        </w:tc>
        <w:tc>
          <w:tcPr>
            <w:tcW w:w="3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49,008,000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49,008,000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7.375% Notes Due 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r>
      <w:tr>
        <w:trPr>
          <w:trHeight w:val="202"/>
        </w:trPr>
        <w:tc>
          <w:tcPr>
            <w:tcW w:w="68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Notes Issued by KCAP Senior Funding I, LLC (net of discount: 2014 - $3,065,627; 2013 -</w:t>
            </w:r>
          </w:p>
        </w:tc>
        <w:tc>
          <w:tcPr>
            <w:tcW w:w="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$3,139,780)</w:t>
            </w:r>
          </w:p>
        </w:tc>
        <w:tc>
          <w:tcPr>
            <w:tcW w:w="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102,293,250</w:t>
            </w:r>
          </w:p>
        </w:tc>
        <w:tc>
          <w:tcPr>
            <w:tcW w:w="3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102,184,373</w:t>
            </w:r>
          </w:p>
        </w:tc>
        <w:tc>
          <w:tcPr>
            <w:tcW w:w="100" w:type="dxa"/>
            <w:vAlign w:val="bottom"/>
            <w:shd w:val="clear" w:color="auto" w:fill="CCFFCC"/>
          </w:tcPr>
          <w:p>
            <w:pPr>
              <w:spacing w:after="0"/>
              <w:rPr>
                <w:sz w:val="20"/>
                <w:szCs w:val="20"/>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2014 were 5.08% and 7.17 years, respectively, and as of December 31, 2013 were 5.08% and 7.43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180" w:firstLine="32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March 31, 2014 the conversion rate was 127.4733 shares of common stock per $1,000 principal amount of Convertible Notes, which is equivalent to a conversion price of approximately $7.84 per share of common stock.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the Company incurred approximately $2.4 million of debt offering costs, which are being amortized over the term of the facility on an effective yield method, of which approximately $846,000 remains to be amortized, as recorded on the consolidated balance sheets in other assets.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Due to the cash conversion option embedded in the Convertible Notes, the Company applied the guidance in ASC 470-40-20, </w:t>
      </w:r>
      <w:r>
        <w:rPr>
          <w:rFonts w:ascii="Arial" w:cs="Arial" w:eastAsia="Arial" w:hAnsi="Arial"/>
          <w:sz w:val="17"/>
          <w:szCs w:val="17"/>
          <w:i w:val="1"/>
          <w:iCs w:val="1"/>
          <w:color w:val="auto"/>
        </w:rPr>
        <w:t>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Options </w:t>
      </w:r>
      <w:r>
        <w:rPr>
          <w:rFonts w:ascii="Arial" w:cs="Arial" w:eastAsia="Arial" w:hAnsi="Arial"/>
          <w:sz w:val="17"/>
          <w:szCs w:val="17"/>
          <w:color w:val="auto"/>
        </w:rPr>
        <w:t>and realized a loss on the extinguishment of this debt. For the three months ended March 31, 2014 there were no realized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of debt. The indenture governing the Convertible Notes contains certain restrictive covenants, including compliance with certain provisions of the 1940 Act and conditions governing the undertaking of new debt.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2014 and 2013, interest expense related to the Convertible Notes was $1.1 million and $1.3 million, respectively.</w:t>
      </w:r>
    </w:p>
    <w:p>
      <w:pPr>
        <w:spacing w:after="0" w:line="24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March 31, 2014, the Company was in compliance with all of its debt covenants.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$58.3 million at March 31, 2014. The fair value was determined based on an indicative closing price as of March 31, 2014.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contains certain restrictive covenants, including compliance with certain provisions of the 1940 Act relating to borrowing and dividends. At March 31, 2014, the Company was in compliance with all of its debt covenants.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7"/>
          <w:szCs w:val="17"/>
          <w:color w:val="auto"/>
        </w:rPr>
        <w:t>For both of the three month periods ended March 31, 2014 and 2013, interest expense related to the 7.375% Notes Due 2019 was $763,000.</w:t>
      </w:r>
    </w:p>
    <w:p>
      <w:pPr>
        <w:spacing w:after="0" w:line="23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term of the facility on an effective yield method, of which approximately $1.2 million remains to be amortized, as recorded on the consolidated balance sheets in other assets.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outstanding 7.375% Notes Due 2019 was approximately $43 million at March 31, 2014. The fair value was determined based on the closing price on March 31, 2014 for the 7.375% Notes Due 2019. The 7.375% Notes Due 2019 are categorized as Level I under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June 18, 2013,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Subordinated Notes,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secured notes (the “KCAP Senior Funding I Secured Notes”) were issued as Class A-1 senior secured floating rate notes which have an initial face amount of $77,250,000, are rated AAA (sf)/Aaa (sf) by Standard &amp; Poor’s Ratings Services and Moody’s Investors Service, Inc., respectively, and bear interest at the three-month LIBOR plus 1.50%, Class B-1 senior secured floating rate notes which have an initial face amount of $9,000,000, are rated AA (sf)/Aa2 (sf) by Standard &amp; Poor’s Ratings Services and Moody’s Investors Service, Inc., respectively, and bear interest at three-month LIBOR plus 3.25%, Class C-1 secured deferrable floating rate notes which have an initial face amount of $10,000,000, are rated A (sf)/A2 (sf) by Standard &amp; Poor’s Ratings Services and Moody’s Investors Service, Inc., respectively, and bear interest at three-month LIBOR plus 4.25%, and Class D-1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6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ind w:right="500" w:firstLine="324"/>
        <w:spacing w:after="0" w:line="329" w:lineRule="auto"/>
        <w:rPr>
          <w:sz w:val="20"/>
          <w:szCs w:val="20"/>
          <w:color w:val="auto"/>
        </w:rPr>
      </w:pPr>
      <w:r>
        <w:rPr>
          <w:rFonts w:ascii="Arial" w:cs="Arial" w:eastAsia="Arial" w:hAnsi="Arial"/>
          <w:sz w:val="16"/>
          <w:szCs w:val="16"/>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because each is a consolidated subsidiary,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of March 31, 2014, there were 47 investments in portfolio companies with a total fair value of approximately $133 million, collateralizing the secured notes of the Issuer. At March 31, 2014, there were unamortized issuance costs of approximately $3.5 million included in other assets, and unamortized original issue discount, (“OID”) costs of approximately $3.0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60" w:firstLine="324"/>
        <w:spacing w:after="0" w:line="302" w:lineRule="auto"/>
        <w:rPr>
          <w:sz w:val="20"/>
          <w:szCs w:val="20"/>
          <w:color w:val="auto"/>
        </w:rPr>
      </w:pPr>
      <w:r>
        <w:rPr>
          <w:rFonts w:ascii="Arial" w:cs="Arial" w:eastAsia="Arial" w:hAnsi="Arial"/>
          <w:sz w:val="16"/>
          <w:szCs w:val="16"/>
          <w:color w:val="auto"/>
        </w:rPr>
        <w:t>For the period ended March 31, 2014, interest expense, including the amortization of deferred debt issuance costs and the discount on the face amount of the notes, was approximately $1.0 million consisting of stated interest expense of approximately $770,000, accreted discount of approximately $109,000, and deferred debt issuance costs of approximately $127,000. As of March 31, 2014 the stated interest charged under the securitization was based on current three month LIBOR, which was 0.24%. The classes, stated interest rates, spread over LIBOR, and stated interest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Stated Interest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LIBOR Spread</w:t>
            </w:r>
          </w:p>
        </w:tc>
        <w:tc>
          <w:tcPr>
            <w:tcW w:w="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Stated Interest</w:t>
            </w:r>
          </w:p>
        </w:tc>
      </w:tr>
      <w:tr>
        <w:trPr>
          <w:trHeight w:val="234"/>
        </w:trPr>
        <w:tc>
          <w:tcPr>
            <w:tcW w:w="5760" w:type="dxa"/>
            <w:vAlign w:val="bottom"/>
            <w:tcBorders>
              <w:bottom w:val="single" w:sz="8" w:color="CCFFC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Borders>
              <w:bottom w:val="single" w:sz="8" w:color="CCFFCC"/>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(basis points)</w:t>
            </w:r>
          </w:p>
        </w:tc>
        <w:tc>
          <w:tcPr>
            <w:tcW w:w="20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Expense (1)</w:t>
            </w:r>
          </w:p>
        </w:tc>
        <w:tc>
          <w:tcPr>
            <w:tcW w:w="100" w:type="dxa"/>
            <w:vAlign w:val="bottom"/>
            <w:tcBorders>
              <w:bottom w:val="single" w:sz="8" w:color="CCFFCC"/>
            </w:tcBorders>
          </w:tcPr>
          <w:p>
            <w:pPr>
              <w:spacing w:after="0"/>
              <w:rPr>
                <w:sz w:val="20"/>
                <w:szCs w:val="20"/>
                <w:color w:val="auto"/>
              </w:rPr>
            </w:pPr>
          </w:p>
        </w:tc>
      </w:tr>
      <w:tr>
        <w:trPr>
          <w:trHeight w:val="21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257,125</w:t>
            </w:r>
          </w:p>
        </w:tc>
        <w:tc>
          <w:tcPr>
            <w:tcW w:w="100" w:type="dxa"/>
            <w:vAlign w:val="bottom"/>
            <w:shd w:val="clear" w:color="auto" w:fill="CCFFC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60,144</w:t>
            </w:r>
          </w:p>
        </w:tc>
      </w:tr>
      <w:tr>
        <w:trPr>
          <w:trHeight w:val="216"/>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85,993</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94,644</w:t>
            </w:r>
          </w:p>
        </w:tc>
      </w:tr>
      <w:tr>
        <w:trPr>
          <w:trHeight w:val="223"/>
        </w:trPr>
        <w:tc>
          <w:tcPr>
            <w:tcW w:w="57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3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497,906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Stated Interest Rate and Stated Interest Expense will vary based upon prevailing 3 month LIBOR as of the reset date. Stated Interest Expense amounts above represent the amounts payable and accrual at March 31, 2014 using prevailing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ratings and interest rates (expressed as a spread to LIBOR) of the Class A-1, B-1, C-1, and D-1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Class A-1 Notes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B-1 Notes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 C-1 Notes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 D-1 Notes</w:t>
            </w:r>
          </w:p>
        </w:tc>
        <w:tc>
          <w:tcPr>
            <w:tcW w:w="580" w:type="dxa"/>
            <w:vAlign w:val="bottom"/>
          </w:tcPr>
          <w:p>
            <w:pPr>
              <w:spacing w:after="0"/>
              <w:rPr>
                <w:sz w:val="20"/>
                <w:szCs w:val="20"/>
                <w:color w:val="auto"/>
              </w:rPr>
            </w:pPr>
          </w:p>
        </w:tc>
      </w:tr>
      <w:tr>
        <w:trPr>
          <w:trHeight w:val="195"/>
        </w:trPr>
        <w:tc>
          <w:tcPr>
            <w:tcW w:w="3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184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84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Borders>
              <w:top w:val="single" w:sz="8" w:color="CCFFCC"/>
            </w:tcBorders>
            <w:shd w:val="clear" w:color="auto" w:fill="CCFFCC"/>
          </w:tcPr>
          <w:p>
            <w:pPr>
              <w:spacing w:after="0"/>
              <w:rPr>
                <w:sz w:val="16"/>
                <w:szCs w:val="16"/>
                <w:color w:val="auto"/>
              </w:rPr>
            </w:pPr>
          </w:p>
        </w:tc>
        <w:tc>
          <w:tcPr>
            <w:tcW w:w="184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88"/>
              </w:rPr>
              <w:t>Secured Deferrable</w:t>
            </w:r>
          </w:p>
        </w:tc>
        <w:tc>
          <w:tcPr>
            <w:tcW w:w="120" w:type="dxa"/>
            <w:vAlign w:val="bottom"/>
            <w:tcBorders>
              <w:top w:val="single" w:sz="8" w:color="CCFFCC"/>
            </w:tcBorders>
            <w:shd w:val="clear" w:color="auto" w:fill="CCFFCC"/>
          </w:tcPr>
          <w:p>
            <w:pPr>
              <w:spacing w:after="0"/>
              <w:rPr>
                <w:sz w:val="16"/>
                <w:szCs w:val="16"/>
                <w:color w:val="auto"/>
              </w:rPr>
            </w:pPr>
          </w:p>
        </w:tc>
        <w:tc>
          <w:tcPr>
            <w:tcW w:w="184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Borders>
              <w:top w:val="single" w:sz="8" w:color="CCFFCC"/>
            </w:tcBorders>
            <w:shd w:val="clear" w:color="auto" w:fill="CCFFCC"/>
          </w:tcPr>
          <w:p>
            <w:pPr>
              <w:spacing w:after="0"/>
              <w:rPr>
                <w:sz w:val="16"/>
                <w:szCs w:val="16"/>
                <w:color w:val="auto"/>
              </w:rPr>
            </w:pPr>
          </w:p>
        </w:tc>
        <w:tc>
          <w:tcPr>
            <w:tcW w:w="580" w:type="dxa"/>
            <w:vAlign w:val="bottom"/>
          </w:tcPr>
          <w:p>
            <w:pPr>
              <w:spacing w:after="0"/>
              <w:rPr>
                <w:sz w:val="16"/>
                <w:szCs w:val="16"/>
                <w:color w:val="auto"/>
              </w:rPr>
            </w:pPr>
          </w:p>
        </w:tc>
      </w:tr>
      <w:tr>
        <w:trPr>
          <w:trHeight w:val="230"/>
        </w:trPr>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Type</w:t>
            </w:r>
          </w:p>
        </w:tc>
        <w:tc>
          <w:tcPr>
            <w:tcW w:w="18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Rate</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4"/>
              </w:rPr>
              <w:t>Rate</w:t>
            </w:r>
          </w:p>
        </w:tc>
        <w:tc>
          <w:tcPr>
            <w:tcW w:w="19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9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Floating Rate</w:t>
            </w:r>
          </w:p>
        </w:tc>
        <w:tc>
          <w:tcPr>
            <w:tcW w:w="580" w:type="dxa"/>
            <w:vAlign w:val="bottom"/>
          </w:tcPr>
          <w:p>
            <w:pPr>
              <w:spacing w:after="0"/>
              <w:rPr>
                <w:sz w:val="20"/>
                <w:szCs w:val="20"/>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$ 77,250,000</w:t>
            </w: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$ 9,000,000</w:t>
            </w:r>
          </w:p>
        </w:tc>
        <w:tc>
          <w:tcPr>
            <w:tcW w:w="100" w:type="dxa"/>
            <w:vAlign w:val="bottom"/>
          </w:tcPr>
          <w:p>
            <w:pPr>
              <w:spacing w:after="0"/>
              <w:rPr>
                <w:sz w:val="18"/>
                <w:szCs w:val="18"/>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$ 10,000,000</w:t>
            </w:r>
          </w:p>
        </w:tc>
        <w:tc>
          <w:tcPr>
            <w:tcW w:w="120" w:type="dxa"/>
            <w:vAlign w:val="bottom"/>
          </w:tcPr>
          <w:p>
            <w:pPr>
              <w:spacing w:after="0"/>
              <w:rPr>
                <w:sz w:val="18"/>
                <w:szCs w:val="18"/>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$ 9,000,000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8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8"/>
              </w:rPr>
              <w:t>"Aaa"</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8"/>
              </w:rPr>
              <w:t>"Aa2"</w:t>
            </w:r>
          </w:p>
        </w:tc>
        <w:tc>
          <w:tcPr>
            <w:tcW w:w="19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rPr>
              <w:t>"A2"</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"Baa2"</w:t>
            </w:r>
          </w:p>
        </w:tc>
        <w:tc>
          <w:tcPr>
            <w:tcW w:w="58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Standard &amp;amp; Poor's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840" w:type="dxa"/>
            <w:vAlign w:val="bottom"/>
          </w:tcPr>
          <w:p>
            <w:pPr>
              <w:jc w:val="center"/>
              <w:spacing w:after="0"/>
              <w:rPr>
                <w:sz w:val="20"/>
                <w:szCs w:val="20"/>
                <w:color w:val="auto"/>
              </w:rPr>
            </w:pPr>
            <w:r>
              <w:rPr>
                <w:rFonts w:ascii="Arial" w:cs="Arial" w:eastAsia="Arial" w:hAnsi="Arial"/>
                <w:sz w:val="18"/>
                <w:szCs w:val="18"/>
                <w:color w:val="auto"/>
              </w:rPr>
              <w:t>"AAA"</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"BBB"</w:t>
            </w:r>
          </w:p>
        </w:tc>
        <w:tc>
          <w:tcPr>
            <w:tcW w:w="580" w:type="dxa"/>
            <w:vAlign w:val="bottom"/>
          </w:tcPr>
          <w:p>
            <w:pPr>
              <w:spacing w:after="0"/>
              <w:rPr>
                <w:sz w:val="18"/>
                <w:szCs w:val="18"/>
                <w:color w:val="auto"/>
              </w:rPr>
            </w:pPr>
          </w:p>
        </w:tc>
      </w:tr>
      <w:tr>
        <w:trPr>
          <w:trHeight w:val="216"/>
        </w:trPr>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Rate</w:t>
            </w:r>
          </w:p>
        </w:tc>
        <w:tc>
          <w:tcPr>
            <w:tcW w:w="18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LIBOR + 1.50 %</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LIBOR + 3.25 %</w:t>
            </w:r>
          </w:p>
        </w:tc>
        <w:tc>
          <w:tcPr>
            <w:tcW w:w="1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LIBOR + 4.25 %</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LIBOR + 5.25 %</w:t>
            </w:r>
          </w:p>
        </w:tc>
        <w:tc>
          <w:tcPr>
            <w:tcW w:w="58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2024</w:t>
            </w:r>
          </w:p>
        </w:tc>
        <w:tc>
          <w:tcPr>
            <w:tcW w:w="580" w:type="dxa"/>
            <w:vAlign w:val="bottom"/>
          </w:tcPr>
          <w:p>
            <w:pPr>
              <w:spacing w:after="0"/>
              <w:rPr>
                <w:sz w:val="18"/>
                <w:szCs w:val="18"/>
                <w:color w:val="auto"/>
              </w:rPr>
            </w:pPr>
          </w:p>
        </w:tc>
      </w:tr>
      <w:tr>
        <w:trPr>
          <w:trHeight w:val="202"/>
        </w:trPr>
        <w:tc>
          <w:tcPr>
            <w:tcW w:w="3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4"/>
              </w:rPr>
              <w:t>B-1, C-1, D-1</w:t>
            </w:r>
          </w:p>
        </w:tc>
        <w:tc>
          <w:tcPr>
            <w:tcW w:w="194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94"/>
              </w:rPr>
              <w:t>C-1, D-1</w:t>
            </w:r>
          </w:p>
        </w:tc>
        <w:tc>
          <w:tcPr>
            <w:tcW w:w="196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90"/>
              </w:rPr>
              <w:t>D-1 and</w:t>
            </w:r>
          </w:p>
        </w:tc>
        <w:tc>
          <w:tcPr>
            <w:tcW w:w="1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Junior Classes</w:t>
            </w:r>
          </w:p>
        </w:tc>
        <w:tc>
          <w:tcPr>
            <w:tcW w:w="18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and Subordinated</w:t>
            </w:r>
          </w:p>
        </w:tc>
        <w:tc>
          <w:tcPr>
            <w:tcW w:w="194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88"/>
              </w:rPr>
              <w:t>and Subordinated</w:t>
            </w:r>
          </w:p>
        </w:tc>
        <w:tc>
          <w:tcPr>
            <w:tcW w:w="1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9"/>
              </w:rPr>
              <w:t>Subordinated</w:t>
            </w:r>
          </w:p>
        </w:tc>
        <w:tc>
          <w:tcPr>
            <w:tcW w:w="580" w:type="dxa"/>
            <w:vAlign w:val="bottom"/>
          </w:tcPr>
          <w:p>
            <w:pPr>
              <w:spacing w:after="0"/>
              <w:rPr>
                <w:sz w:val="20"/>
                <w:szCs w:val="20"/>
                <w:color w:val="auto"/>
              </w:rPr>
            </w:pPr>
          </w:p>
        </w:tc>
      </w:tr>
      <w:tr>
        <w:trPr>
          <w:trHeight w:val="648"/>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A-1, B-1, C-1 and D-1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March 31, 2014</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Principal Amount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Carrying Value</w:t>
            </w:r>
          </w:p>
        </w:tc>
        <w:tc>
          <w:tcPr>
            <w:tcW w:w="16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77,250,000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75,079,844</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75,511,875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8,747,166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8,685,000</w:t>
            </w:r>
          </w:p>
        </w:tc>
        <w:tc>
          <w:tcPr>
            <w:tcW w:w="100" w:type="dxa"/>
            <w:vAlign w:val="bottom"/>
          </w:tcPr>
          <w:p>
            <w:pPr>
              <w:spacing w:after="0"/>
              <w:rPr>
                <w:sz w:val="18"/>
                <w:szCs w:val="18"/>
                <w:color w:val="auto"/>
              </w:rPr>
            </w:pPr>
          </w:p>
        </w:tc>
      </w:tr>
      <w:tr>
        <w:trPr>
          <w:trHeight w:val="216"/>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9,719,074</w:t>
            </w: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9,550,000</w:t>
            </w:r>
          </w:p>
        </w:tc>
        <w:tc>
          <w:tcPr>
            <w:tcW w:w="100" w:type="dxa"/>
            <w:vAlign w:val="bottom"/>
            <w:shd w:val="clear" w:color="auto" w:fill="CCFFCC"/>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8,747,166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8,550,000</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105,250,000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102,293,250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102,296,875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Fair Value of KCAP Senior Funding-I. </w:t>
      </w:r>
      <w:r>
        <w:rPr>
          <w:rFonts w:ascii="Arial" w:cs="Arial" w:eastAsia="Arial" w:hAnsi="Arial"/>
          <w:sz w:val="18"/>
          <w:szCs w:val="18"/>
          <w:color w:val="auto"/>
        </w:rPr>
        <w:t>The Company carries the KCAP Senior Funding-I Notes at cost, net of unamortized discount of $2,956,750.</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KCAP Senior Funding-I Notes was approximately $102.3 million at March 31, 2014. The fair values were determined based on third party indicative values. The KCAP Senior Funding-I Notes are categorized as Level III under ASC 820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2014).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three months ended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Three Months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3,441,590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16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4,726,848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Excess capital gains over capital losses</w:t>
            </w:r>
          </w:p>
        </w:tc>
        <w:tc>
          <w:tcPr>
            <w:tcW w:w="160" w:type="dxa"/>
            <w:vAlign w:val="bottom"/>
            <w:shd w:val="clear" w:color="auto" w:fill="CCFFCC"/>
          </w:tcPr>
          <w:p>
            <w:pPr>
              <w:spacing w:after="0"/>
              <w:rPr>
                <w:sz w:val="18"/>
                <w:szCs w:val="18"/>
                <w:color w:val="auto"/>
              </w:rPr>
            </w:pPr>
          </w:p>
        </w:tc>
        <w:tc>
          <w:tcPr>
            <w:tcW w:w="2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(309,581)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Income not on GAAP books currently taxable</w:t>
            </w:r>
          </w:p>
        </w:tc>
        <w:tc>
          <w:tcPr>
            <w:tcW w:w="16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42,099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Income not currently taxable</w:t>
            </w:r>
          </w:p>
        </w:tc>
        <w:tc>
          <w:tcPr>
            <w:tcW w:w="160" w:type="dxa"/>
            <w:vAlign w:val="bottom"/>
            <w:shd w:val="clear" w:color="auto" w:fill="CCFFCC"/>
          </w:tcPr>
          <w:p>
            <w:pPr>
              <w:spacing w:after="0"/>
              <w:rPr>
                <w:sz w:val="18"/>
                <w:szCs w:val="18"/>
                <w:color w:val="auto"/>
              </w:rPr>
            </w:pPr>
          </w:p>
        </w:tc>
        <w:tc>
          <w:tcPr>
            <w:tcW w:w="2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(35,867)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Expenses not currently deductible</w:t>
            </w:r>
          </w:p>
        </w:tc>
        <w:tc>
          <w:tcPr>
            <w:tcW w:w="160" w:type="dxa"/>
            <w:vAlign w:val="bottom"/>
          </w:tcPr>
          <w:p>
            <w:pPr>
              <w:spacing w:after="0"/>
              <w:rPr>
                <w:sz w:val="19"/>
                <w:szCs w:val="19"/>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189,873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2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8,054,962</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660"/>
              <w:spacing w:after="0"/>
              <w:rPr>
                <w:sz w:val="20"/>
                <w:szCs w:val="20"/>
                <w:color w:val="auto"/>
              </w:rPr>
            </w:pPr>
            <w:r>
              <w:rPr>
                <w:rFonts w:ascii="Arial" w:cs="Arial" w:eastAsia="Arial" w:hAnsi="Arial"/>
                <w:sz w:val="18"/>
                <w:szCs w:val="18"/>
                <w:color w:val="auto"/>
              </w:rPr>
              <w:t>Taxable income before deductions for distributions per weighted average basic shares for the period</w:t>
            </w: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60" w:type="dxa"/>
            <w:vAlign w:val="bottom"/>
            <w:gridSpan w:val="2"/>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0.24</w:t>
            </w:r>
          </w:p>
        </w:tc>
        <w:tc>
          <w:tcPr>
            <w:tcW w:w="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 per weighted average diluted shares for the period</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860" w:type="dxa"/>
            <w:vAlign w:val="bottom"/>
            <w:tcBorders>
              <w:bottom w:val="single" w:sz="8" w:color="auto"/>
            </w:tcBorders>
            <w:gridSpan w:val="2"/>
          </w:tcPr>
          <w:p>
            <w:pPr>
              <w:jc w:val="right"/>
              <w:ind w:right="297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ind w:right="40" w:firstLine="414"/>
        <w:spacing w:after="0" w:line="279" w:lineRule="auto"/>
        <w:rPr>
          <w:sz w:val="20"/>
          <w:szCs w:val="20"/>
          <w:color w:val="auto"/>
        </w:rPr>
      </w:pPr>
      <w:r>
        <w:rPr>
          <w:rFonts w:ascii="Arial" w:cs="Arial" w:eastAsia="Arial" w:hAnsi="Arial"/>
          <w:sz w:val="17"/>
          <w:szCs w:val="17"/>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amortization of discount on CLO Fund securities; (3) amortization of organizational costs; (4) non-deductible expenses; (5) stock compensation expense that is not currently deductible for tax purposes; (6) excess of capital losses over capital gains; and (7) recognition of interest income on certain loans.</w:t>
      </w:r>
    </w:p>
    <w:p>
      <w:pPr>
        <w:spacing w:after="0" w:line="171" w:lineRule="exact"/>
        <w:rPr>
          <w:sz w:val="20"/>
          <w:szCs w:val="20"/>
          <w:color w:val="auto"/>
        </w:rPr>
      </w:pPr>
    </w:p>
    <w:p>
      <w:pPr>
        <w:ind w:right="120" w:firstLine="414"/>
        <w:spacing w:after="0" w:line="302" w:lineRule="auto"/>
        <w:rPr>
          <w:sz w:val="20"/>
          <w:szCs w:val="20"/>
          <w:color w:val="auto"/>
        </w:rPr>
      </w:pPr>
      <w:r>
        <w:rPr>
          <w:rFonts w:ascii="Arial" w:cs="Arial" w:eastAsia="Arial" w:hAnsi="Arial"/>
          <w:sz w:val="16"/>
          <w:szCs w:val="16"/>
          <w:color w:val="auto"/>
        </w:rPr>
        <w:t>Distributions to shareholders which exceed tax distributable income (tax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Distributions which exceed tax distributable income (tax net investment income and realized gains, if any) are reported as distributions of paid-in capital (</w:t>
      </w:r>
      <w:r>
        <w:rPr>
          <w:rFonts w:ascii="Arial" w:cs="Arial" w:eastAsia="Arial" w:hAnsi="Arial"/>
          <w:sz w:val="18"/>
          <w:szCs w:val="18"/>
          <w:i w:val="1"/>
          <w:iCs w:val="1"/>
          <w:color w:val="auto"/>
        </w:rPr>
        <w:t>i.e.</w:t>
      </w:r>
      <w:r>
        <w:rPr>
          <w:rFonts w:ascii="Arial" w:cs="Arial" w:eastAsia="Arial" w:hAnsi="Arial"/>
          <w:sz w:val="18"/>
          <w:szCs w:val="18"/>
          <w:color w:val="auto"/>
        </w:rPr>
        <w:t>, return of capital). The tax character of distributions paid during the three months ended March 31, 2014 and the year ended December 31, 2013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As of March 31,</w:t>
            </w:r>
          </w:p>
        </w:tc>
        <w:tc>
          <w:tcPr>
            <w:tcW w:w="1760" w:type="dxa"/>
            <w:vAlign w:val="bottom"/>
            <w:gridSpan w:val="4"/>
          </w:tcPr>
          <w:p>
            <w:pPr>
              <w:ind w:left="180"/>
              <w:spacing w:after="0"/>
              <w:rPr>
                <w:sz w:val="20"/>
                <w:szCs w:val="20"/>
                <w:color w:val="auto"/>
              </w:rPr>
            </w:pPr>
            <w:r>
              <w:rPr>
                <w:rFonts w:ascii="Arial" w:cs="Arial" w:eastAsia="Arial" w:hAnsi="Arial"/>
                <w:sz w:val="18"/>
                <w:szCs w:val="18"/>
                <w:b w:val="1"/>
                <w:bCs w:val="1"/>
                <w:color w:val="auto"/>
                <w:w w:val="93"/>
              </w:rPr>
              <w:t>As of December 31,</w:t>
            </w:r>
          </w:p>
        </w:tc>
      </w:tr>
      <w:tr>
        <w:trPr>
          <w:trHeight w:val="210"/>
        </w:trPr>
        <w:tc>
          <w:tcPr>
            <w:tcW w:w="4220" w:type="dxa"/>
            <w:vAlign w:val="bottom"/>
            <w:tcBorders>
              <w:bottom w:val="single" w:sz="8" w:color="CCFFCC"/>
            </w:tcBorders>
          </w:tcPr>
          <w:p>
            <w:pPr>
              <w:spacing w:after="0"/>
              <w:rPr>
                <w:sz w:val="18"/>
                <w:szCs w:val="18"/>
                <w:color w:val="auto"/>
              </w:rPr>
            </w:pPr>
          </w:p>
        </w:tc>
        <w:tc>
          <w:tcPr>
            <w:tcW w:w="24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18"/>
                <w:szCs w:val="18"/>
                <w:color w:val="auto"/>
              </w:rPr>
            </w:pPr>
          </w:p>
        </w:tc>
      </w:tr>
      <w:tr>
        <w:trPr>
          <w:trHeight w:val="210"/>
        </w:trPr>
        <w:tc>
          <w:tcPr>
            <w:tcW w:w="42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Distributions paid from:</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Ordinary income</w:t>
            </w:r>
          </w:p>
        </w:tc>
        <w:tc>
          <w:tcPr>
            <w:tcW w:w="272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8,054,962</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29,296,146</w:t>
            </w:r>
          </w:p>
        </w:tc>
      </w:tr>
      <w:tr>
        <w:trPr>
          <w:trHeight w:val="210"/>
        </w:trPr>
        <w:tc>
          <w:tcPr>
            <w:tcW w:w="4220" w:type="dxa"/>
            <w:vAlign w:val="bottom"/>
            <w:tcBorders>
              <w:top w:val="single" w:sz="8" w:color="CCFFCC"/>
            </w:tcBorders>
            <w:shd w:val="clear" w:color="auto" w:fill="CCFFCC"/>
          </w:tcPr>
          <w:p>
            <w:pPr>
              <w:spacing w:after="0"/>
              <w:rPr>
                <w:sz w:val="18"/>
                <w:szCs w:val="18"/>
                <w:color w:val="auto"/>
              </w:rPr>
            </w:pPr>
          </w:p>
        </w:tc>
        <w:tc>
          <w:tcPr>
            <w:tcW w:w="24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8,054,962</w:t>
            </w:r>
          </w:p>
        </w:tc>
        <w:tc>
          <w:tcPr>
            <w:tcW w:w="1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29,296,146</w:t>
            </w: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4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Tax Return of Capital</w:t>
            </w:r>
          </w:p>
        </w:tc>
        <w:tc>
          <w:tcPr>
            <w:tcW w:w="246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177,030</w:t>
            </w:r>
          </w:p>
        </w:tc>
        <w:tc>
          <w:tcPr>
            <w:tcW w:w="18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5,864,993</w:t>
            </w:r>
          </w:p>
        </w:tc>
        <w:tc>
          <w:tcPr>
            <w:tcW w:w="80" w:type="dxa"/>
            <w:vAlign w:val="bottom"/>
            <w:tcBorders>
              <w:bottom w:val="single" w:sz="8" w:color="CCFFCC"/>
            </w:tcBorders>
          </w:tcPr>
          <w:p>
            <w:pPr>
              <w:spacing w:after="0"/>
              <w:rPr>
                <w:sz w:val="19"/>
                <w:szCs w:val="19"/>
                <w:color w:val="auto"/>
              </w:rPr>
            </w:pPr>
          </w:p>
        </w:tc>
      </w:tr>
      <w:tr>
        <w:trPr>
          <w:trHeight w:val="223"/>
        </w:trPr>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8,231,992</w:t>
            </w:r>
          </w:p>
        </w:tc>
        <w:tc>
          <w:tcPr>
            <w:tcW w:w="18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35,161,139</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and December 31, 2013, the components of accumulated earnings on a tax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As of March 31,</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3"/>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Distributable ordinary income</w:t>
            </w:r>
          </w:p>
        </w:tc>
        <w:tc>
          <w:tcPr>
            <w:tcW w:w="280" w:type="dxa"/>
            <w:vAlign w:val="bottom"/>
            <w:shd w:val="clear" w:color="auto" w:fill="CCFFCC"/>
          </w:tcPr>
          <w:p>
            <w:pPr>
              <w:jc w:val="right"/>
              <w:ind w:right="11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1,367,463</w:t>
            </w: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1,223,060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Capital loss carryforward</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66,052,127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66,361,708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depreciation</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(50,334,774)</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(45,607,926)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March 21, 2014 the Company’s Board of Directors declared a distribution to shareholders of $0.25 per share for a total of $8.3 million. The record date was April 4, 2014 and the distribution was made on April 25, 2014.</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March 31, 2014, the Company had a net capital loss carryforward of $66 million to offset net capital gains, to the extent provided by federal tax law. The capital loss carryforward will begin to expire in the tax year ending December 31, 2015.</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2014, the Company had no outstanding commitments to make investments in delayed draw senior secured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During the three months ended March 31, 2014 and 2013, the Company issued 8,484 and 23,572 shares, respectively, of common stock under its dividend reinvestment plan. As of March 31, 2014 and December 31, 2013, there were 272,998 shares of unvested restricted shares. There were no grants, forfeitures, or vesting activity during the first quarter of 2014.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The total number of shares of the Company’s common stock issued and outstanding as of March 31, 2014 and December 31, 2013 was 33,340,607 and 33,332,123,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160" w:firstLine="414"/>
        <w:spacing w:after="0" w:line="255" w:lineRule="auto"/>
        <w:rPr>
          <w:sz w:val="20"/>
          <w:szCs w:val="20"/>
          <w:color w:val="auto"/>
        </w:rPr>
      </w:pPr>
      <w:r>
        <w:rPr>
          <w:rFonts w:ascii="Arial" w:cs="Arial" w:eastAsia="Arial" w:hAnsi="Arial"/>
          <w:sz w:val="18"/>
          <w:szCs w:val="18"/>
          <w:color w:val="auto"/>
        </w:rPr>
        <w:t>During 2006 and as amended in 2008, the Company established the equity incentive plan, (the “Equity Incentive Plan”) and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414"/>
        <w:spacing w:after="0" w:line="264" w:lineRule="auto"/>
        <w:rPr>
          <w:sz w:val="20"/>
          <w:szCs w:val="20"/>
          <w:color w:val="auto"/>
        </w:rPr>
      </w:pPr>
      <w:r>
        <w:rPr>
          <w:rFonts w:ascii="Arial" w:cs="Arial" w:eastAsia="Arial" w:hAnsi="Arial"/>
          <w:sz w:val="18"/>
          <w:szCs w:val="18"/>
          <w:color w:val="auto"/>
        </w:rPr>
        <w:t>On June 10, 2011, the Company’s shareholders approved the Amended and Restated Non-Employee Director Plan (the “Non-Employee Director Plan”). Accordingly, the annual grant of options to non-employee directors has been discontinued and replaced with an annual grant of shares of restricted stock as partial annual compensation for the services of the non-employee directors.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2013 through March 31, 2014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spacing w:after="0" w:line="183" w:lineRule="exact"/>
              <w:rPr>
                <w:sz w:val="20"/>
                <w:szCs w:val="20"/>
                <w:color w:val="auto"/>
              </w:rPr>
            </w:pPr>
            <w:r>
              <w:rPr>
                <w:rFonts w:ascii="Arial" w:cs="Arial" w:eastAsia="Arial" w:hAnsi="Arial"/>
                <w:sz w:val="18"/>
                <w:szCs w:val="18"/>
                <w:b w:val="1"/>
                <w:bCs w:val="1"/>
                <w:color w:val="auto"/>
              </w:rPr>
              <w:t>Exercise Price per</w:t>
            </w:r>
          </w:p>
        </w:tc>
        <w:tc>
          <w:tcPr>
            <w:tcW w:w="150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6"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color w:val="auto"/>
                <w:w w:val="98"/>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January 1, 2013</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December 31, 2013</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260" w:type="dxa"/>
            <w:vAlign w:val="bottom"/>
            <w:tcBorders>
              <w:top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2014</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FFCC"/>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Borders>
              <w:top w:val="single" w:sz="8" w:color="CCFFCC"/>
              <w:bottom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Total vested at March 31, 2014</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440" w:hanging="5612"/>
        <w:spacing w:after="0" w:line="618" w:lineRule="auto"/>
        <w:tabs>
          <w:tab w:leader="none" w:pos="261"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2014 and the exercise price of the options.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right="26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2014 and 2013, the Company did not recognize any non-cash compensation expense related to stock options. At March 31, 2014, the Company had no remaining compensation cost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On June 10, 2011, the Company’s shareholders approved the Non-Employee Director Plan, and the Board of Directors approved the grant of awards of 4,000 shares of restricted stock to the non-employee directors of the Company as partial annual compensation for their services as director. Such awards of restricted stock will vest as to 50% of the shares on the grant date and the remaining 50% of the shares on the first anniversary of the grant date.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15, 2012, 5,000 shares of restricted stock were awarded to the Company’s Board of Directors.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2012, the Company’s Board of Directors approved grants of 29,757 shares of restricted stock to employees of the Company as partial compensation for their services. 50% of such shares will vest on the third anniversary of the grant date and the remainder will vest on the fourth anniversary of the grant date.</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vested on the third anniversary of the grant date and the remaining 50% of the shares vested on the fourth anniversary of the grant date.</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June 14, 2013, 5,000 shares of restricted stock were awarded to the Company’s Board of Directors. 50% of such awards vested on the grant date, and 50% vested on the first anniversary of the grant date.</w:t>
      </w:r>
    </w:p>
    <w:p>
      <w:pPr>
        <w:spacing w:after="0" w:line="170"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There were no grants, vesting or forfeitures of restricted stock during the three months ended March 31, 2014 and as of March 31, 2014 there were 272,998 shares of restricted stock outstanding. Information with respect to restricted stock granted, exercised and forfeited under the Plan for the period January 1, 2013 through March 31, 2014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12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7"/>
              </w:rPr>
              <w:t>Non-vested</w:t>
            </w:r>
          </w:p>
        </w:tc>
        <w:tc>
          <w:tcPr>
            <w:tcW w:w="456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Restricted</w:t>
            </w:r>
          </w:p>
        </w:tc>
        <w:tc>
          <w:tcPr>
            <w:tcW w:w="456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4560" w:type="dxa"/>
            <w:vAlign w:val="bottom"/>
          </w:tcPr>
          <w:p>
            <w:pPr>
              <w:spacing w:after="0"/>
              <w:rPr>
                <w:sz w:val="20"/>
                <w:szCs w:val="20"/>
                <w:color w:val="auto"/>
              </w:rPr>
            </w:pPr>
          </w:p>
        </w:tc>
      </w:tr>
      <w:tr>
        <w:trPr>
          <w:trHeight w:val="210"/>
        </w:trPr>
        <w:tc>
          <w:tcPr>
            <w:tcW w:w="47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Non-vested shares outstanding at January 1, 2013</w:t>
            </w:r>
          </w:p>
        </w:tc>
        <w:tc>
          <w:tcPr>
            <w:tcW w:w="1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32,257</w:t>
            </w:r>
          </w:p>
        </w:tc>
        <w:tc>
          <w:tcPr>
            <w:tcW w:w="80" w:type="dxa"/>
            <w:vAlign w:val="bottom"/>
            <w:tcBorders>
              <w:top w:val="single" w:sz="8" w:color="CCFFCC"/>
            </w:tcBorders>
            <w:shd w:val="clear" w:color="auto" w:fill="CCFFCC"/>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245,741</w:t>
            </w:r>
          </w:p>
        </w:tc>
        <w:tc>
          <w:tcPr>
            <w:tcW w:w="4560" w:type="dxa"/>
            <w:vAlign w:val="bottom"/>
          </w:tcPr>
          <w:p>
            <w:pPr>
              <w:spacing w:after="0"/>
              <w:rPr>
                <w:sz w:val="18"/>
                <w:szCs w:val="18"/>
                <w:color w:val="auto"/>
              </w:rPr>
            </w:pP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21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(5,000)</w:t>
            </w:r>
          </w:p>
        </w:tc>
        <w:tc>
          <w:tcPr>
            <w:tcW w:w="456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9"/>
                <w:szCs w:val="19"/>
                <w:color w:val="auto"/>
              </w:rPr>
            </w:pPr>
          </w:p>
        </w:tc>
      </w:tr>
      <w:tr>
        <w:trPr>
          <w:trHeight w:val="210"/>
        </w:trPr>
        <w:tc>
          <w:tcPr>
            <w:tcW w:w="47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Non-vested shares outstanding at December 31, 2013</w:t>
            </w:r>
          </w:p>
        </w:tc>
        <w:tc>
          <w:tcPr>
            <w:tcW w:w="1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Borders>
              <w:top w:val="single" w:sz="8" w:color="CCFFCC"/>
            </w:tcBorders>
            <w:shd w:val="clear" w:color="auto" w:fill="CCFFCC"/>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9"/>
                <w:szCs w:val="19"/>
                <w:color w:val="auto"/>
              </w:rPr>
            </w:pPr>
          </w:p>
        </w:tc>
      </w:tr>
      <w:tr>
        <w:trPr>
          <w:trHeight w:val="223"/>
        </w:trPr>
        <w:tc>
          <w:tcPr>
            <w:tcW w:w="47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2014</w:t>
            </w:r>
          </w:p>
        </w:tc>
        <w:tc>
          <w:tcPr>
            <w:tcW w:w="120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45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57"/>
        </w:trPr>
        <w:tc>
          <w:tcPr>
            <w:tcW w:w="4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non-vested shares at March 31, 2014</w:t>
            </w:r>
          </w:p>
        </w:tc>
        <w:tc>
          <w:tcPr>
            <w:tcW w:w="21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272,998</w:t>
            </w:r>
          </w:p>
        </w:tc>
        <w:tc>
          <w:tcPr>
            <w:tcW w:w="4560" w:type="dxa"/>
            <w:vAlign w:val="bottom"/>
          </w:tcPr>
          <w:p>
            <w:pPr>
              <w:spacing w:after="0"/>
              <w:rPr>
                <w:sz w:val="22"/>
                <w:szCs w:val="22"/>
                <w:color w:val="auto"/>
              </w:rPr>
            </w:pPr>
          </w:p>
        </w:tc>
      </w:tr>
      <w:tr>
        <w:trPr>
          <w:trHeight w:val="648"/>
        </w:trPr>
        <w:tc>
          <w:tcPr>
            <w:tcW w:w="4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ind w:firstLine="414"/>
        <w:spacing w:after="0" w:line="302" w:lineRule="auto"/>
        <w:rPr>
          <w:sz w:val="20"/>
          <w:szCs w:val="20"/>
          <w:color w:val="auto"/>
        </w:rPr>
      </w:pPr>
      <w:r>
        <w:rPr>
          <w:rFonts w:ascii="Arial" w:cs="Arial" w:eastAsia="Arial" w:hAnsi="Arial"/>
          <w:sz w:val="16"/>
          <w:szCs w:val="16"/>
          <w:color w:val="auto"/>
        </w:rPr>
        <w:t>For the three months ended March 31, 2014, non-cash compensation expense related to restricted stock was approximately $188,000; of this amount approximately $96,000 was expensed at the Company, and approximately $92,000 was a reimbursable expense allocated to the Asset Manager Affiliates. For the three months ended March 31, 2013, non-cash compensation expense related to restricted stock was approximately $21,000; of this amount approximately $15,000 was expensed at the Company and approximately $6,000 was a reimbursable expense allocated to the Asset Manager Affiliates.</w:t>
      </w:r>
    </w:p>
    <w:p>
      <w:pPr>
        <w:spacing w:after="0" w:line="154" w:lineRule="exact"/>
        <w:rPr>
          <w:sz w:val="20"/>
          <w:szCs w:val="20"/>
          <w:color w:val="auto"/>
        </w:rPr>
      </w:pPr>
    </w:p>
    <w:p>
      <w:pPr>
        <w:ind w:right="100" w:firstLine="41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March 31, 2014, the company had approximately $1.0 million of total unrecognized compensation cost related to non-vested share-based awards. That cost is expected to be recognized over a weighted average period of 3.1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$20,000 and $11,000 was expensed during the three months ended March 31, 2014 and 2013, respectively, related to the 401K Plan.</w:t>
      </w:r>
    </w:p>
    <w:p>
      <w:pPr>
        <w:spacing w:after="0" w:line="18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$64,000 and $45,000 was expensed during the three months ended March 31, 2014 and 2013,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second quarter of 2014, the Company’s wholly owned portfolio company, Trimaran Advisors, L.L.C., closed Catamaran CLO 2014-1 Ltd., a $468 million Collateralized Loan Obligation fund. Trimaran will serve as the investment manager for the CLO, and KCAP invested approximately $12.5 million across certain junior tranches of notes issued by the fund.</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has evaluated events and transactions occurring subsequent to the balance sheet date of March 31, 2014 for items that should potentially be recognized or disclosed in these consolidated financial statements. Other than described above, management has determined that there are no material subsequent events that would require adjustment to or disclosure in these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consolidated financial statements and notes thereto in the Company’s Form 10-K for the year ended December 31, 2013,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2013.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We are an internally managed, non-diversified closed-end investment company that is regulated as a Business Development Company, or BDC under the 1940 Act. We have three principal areas of investments:</w:t>
      </w:r>
    </w:p>
    <w:p>
      <w:pPr>
        <w:spacing w:after="0" w:line="170"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First we originate, structure, and invest in senior secured term loans, mezzanine debt and selected equity securities primarily in privately-held middle market companies (the “Debt Securities Portfolio”).</w:t>
      </w:r>
    </w:p>
    <w:p>
      <w:pPr>
        <w:spacing w:after="0" w:line="170"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Second, we have invested in wholly-owned asset management companies (Katonah Debt Advisors and Trimaran Advisors, collectively the “Asset Manager Affiliates”).</w:t>
      </w:r>
    </w:p>
    <w:p>
      <w:pPr>
        <w:spacing w:after="0" w:line="170"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Third, we invest in debt and equity securities issued by CLO Funds managed by our Asset Manager Affiliates or by other asset managers (the “CLO Fund Securities”).</w:t>
      </w:r>
    </w:p>
    <w:p>
      <w:pPr>
        <w:spacing w:after="0" w:line="170" w:lineRule="exact"/>
        <w:rPr>
          <w:sz w:val="20"/>
          <w:szCs w:val="20"/>
          <w:color w:val="auto"/>
        </w:rPr>
      </w:pPr>
    </w:p>
    <w:p>
      <w:pPr>
        <w:ind w:right="240" w:firstLine="270"/>
        <w:spacing w:after="0" w:line="271"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9"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dividend distributions and to generate capital appreciation through the addition of new collateralized loan obligation funds (“CLO Funds”) to manage. The Asset Manager Affiliates manage CLO Funds which invest in broadly syndicated loans, high-yield bonds and other credit instruments. Collectively the Asset Manager Affiliates have approximately $3.0 billion of par value assets under management as of March 31, 2014.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compliment the growth of our Asset Manager Affiliates.</w:t>
      </w:r>
    </w:p>
    <w:p>
      <w:pPr>
        <w:spacing w:after="0" w:line="181" w:lineRule="exact"/>
        <w:rPr>
          <w:sz w:val="20"/>
          <w:szCs w:val="20"/>
          <w:color w:val="auto"/>
        </w:rPr>
      </w:pPr>
    </w:p>
    <w:p>
      <w:pPr>
        <w:jc w:val="both"/>
        <w:ind w:right="360" w:firstLine="270"/>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Registered Investment Company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March 31, 2014 was $7.62. On March 31, 2014, the last reported sale price of a share of our common stock on The NASDAQ Global Select Market was $8.66.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invest in broadly syndicated loans, high-yield bonds and other credit instruments, and (3) CLO Fund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2014 (unaudited) and for the year ended December 31, 2013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Affiliates</w:t>
            </w:r>
          </w:p>
        </w:tc>
        <w:tc>
          <w:tcPr>
            <w:tcW w:w="2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Total Portfolio</w:t>
            </w:r>
          </w:p>
        </w:tc>
      </w:tr>
      <w:tr>
        <w:trPr>
          <w:trHeight w:val="210"/>
        </w:trPr>
        <w:tc>
          <w:tcPr>
            <w:tcW w:w="412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Fair Value at December 31, 2012</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111,037,882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279,558,105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2013 Activity: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Purchases / originations /draws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232,226,295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11,957,500</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217,212</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248,214,845</w:t>
            </w:r>
          </w:p>
        </w:tc>
        <w:tc>
          <w:tcPr>
            <w:tcW w:w="80" w:type="dxa"/>
            <w:vAlign w:val="bottom"/>
            <w:shd w:val="clear" w:color="auto" w:fill="CCFFCC"/>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(80,089,537)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(623,403)</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(83,595,046)</w:t>
            </w:r>
          </w:p>
        </w:tc>
      </w:tr>
      <w:tr>
        <w:trPr>
          <w:trHeight w:val="216"/>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accretion of interest</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238,554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216,444</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454,998</w:t>
            </w:r>
          </w:p>
        </w:tc>
        <w:tc>
          <w:tcPr>
            <w:tcW w:w="80" w:type="dxa"/>
            <w:vAlign w:val="bottom"/>
            <w:shd w:val="clear" w:color="auto" w:fill="CCFFCC"/>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(11,538,868)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(12,090,504)</w:t>
            </w: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(decrease) in fair value</w:t>
            </w: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14,956,101</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(15,355,828)</w:t>
            </w:r>
          </w:p>
        </w:tc>
        <w:tc>
          <w:tcPr>
            <w:tcW w:w="3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2,605,586</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(1,311,212)</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894,647</w:t>
            </w:r>
          </w:p>
        </w:tc>
        <w:tc>
          <w:tcPr>
            <w:tcW w:w="80" w:type="dxa"/>
            <w:vAlign w:val="bottom"/>
            <w:shd w:val="clear" w:color="auto" w:fill="CCFFCC"/>
          </w:tcPr>
          <w:p>
            <w:pPr>
              <w:spacing w:after="0"/>
              <w:rPr>
                <w:sz w:val="19"/>
                <w:szCs w:val="19"/>
                <w:color w:val="auto"/>
              </w:rPr>
            </w:pPr>
          </w:p>
        </w:tc>
      </w:tr>
      <w:tr>
        <w:trPr>
          <w:trHeight w:val="210"/>
        </w:trPr>
        <w:tc>
          <w:tcPr>
            <w:tcW w:w="4120" w:type="dxa"/>
            <w:vAlign w:val="bottom"/>
          </w:tcPr>
          <w:p>
            <w:pPr>
              <w:ind w:left="180"/>
              <w:spacing w:after="0"/>
              <w:rPr>
                <w:sz w:val="20"/>
                <w:szCs w:val="20"/>
                <w:color w:val="auto"/>
              </w:rPr>
            </w:pPr>
            <w:r>
              <w:rPr>
                <w:rFonts w:ascii="Arial" w:cs="Arial" w:eastAsia="Arial" w:hAnsi="Arial"/>
                <w:sz w:val="18"/>
                <w:szCs w:val="18"/>
                <w:color w:val="auto"/>
              </w:rPr>
              <w:t>Fair Value at December 31, 2013</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433,437,045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Purchases / originations /draws</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27,232,389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1,051,643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28,830,011</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(29,019,009)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(593,887)</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(3,516,700)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(33,129,596)</w:t>
            </w:r>
          </w:p>
        </w:tc>
      </w:tr>
      <w:tr>
        <w:trPr>
          <w:trHeight w:val="216"/>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accretion of interest</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39,706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66,083</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105,789</w:t>
            </w:r>
          </w:p>
        </w:tc>
        <w:tc>
          <w:tcPr>
            <w:tcW w:w="80" w:type="dxa"/>
            <w:vAlign w:val="bottom"/>
            <w:shd w:val="clear" w:color="auto" w:fill="CCFFCC"/>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realized gains (losses)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309,581</w:t>
            </w:r>
          </w:p>
        </w:tc>
        <w:tc>
          <w:tcPr>
            <w:tcW w:w="80" w:type="dxa"/>
            <w:vAlign w:val="bottom"/>
          </w:tcPr>
          <w:p>
            <w:pPr>
              <w:spacing w:after="0"/>
              <w:rPr>
                <w:sz w:val="18"/>
                <w:szCs w:val="18"/>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Decrease in fair value</w:t>
            </w: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(603,315)</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(1,176,892)</w:t>
            </w:r>
          </w:p>
        </w:tc>
        <w:tc>
          <w:tcPr>
            <w:tcW w:w="3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(327,662)</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(2,618,979)</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(4,726,848)</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Fair Value at March 31, 2014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264,791,172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77,747,524</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8,212,286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74,075,000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424,825,982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20"/>
                <w:szCs w:val="20"/>
                <w:color w:val="auto"/>
              </w:rPr>
            </w:pPr>
          </w:p>
        </w:tc>
        <w:tc>
          <w:tcPr>
            <w:tcW w:w="28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2"/>
              </w:rPr>
              <w:t>March 31, 2014 (unaudited)</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8"/>
              </w:rPr>
              <w:t>December 31, 2013</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Accounts²</w:t>
            </w:r>
          </w:p>
        </w:tc>
        <w:tc>
          <w:tcPr>
            <w:tcW w:w="106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4,133,429</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Loan</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159,596,442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152,797,023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59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175,021,272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168,188,453</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Junior Secured Loan</w:t>
            </w:r>
          </w:p>
        </w:tc>
        <w:tc>
          <w:tcPr>
            <w:tcW w:w="22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57,494,889</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54,978,035</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22</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50,831,407</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48,443,384</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Unsecured Loan</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27,000,000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27,000,000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23,000,000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23,000,000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22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2,948,836</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2,385,000</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2,948,332</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2,546,400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4,268,289</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4,268,550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1,037,707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1,051,540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22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10,896,631</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11,085,303</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10,855,804</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11,381,100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Bond</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1,518,123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1,619,550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1,519,072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1,619,550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22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101,169,147</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77,747,524</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31</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101,696,950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79,452,220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Equity Securities</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16,289,233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8,212,286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18,755,684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11,006,398</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Preferred</w:t>
            </w:r>
          </w:p>
        </w:tc>
        <w:tc>
          <w:tcPr>
            <w:tcW w:w="22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10,054,444</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10,657,711</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10,000,000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10,600,000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83,924,720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74,075,000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83,378,741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76,148,000</w:t>
            </w:r>
          </w:p>
        </w:tc>
        <w:tc>
          <w:tcPr>
            <w:tcW w:w="200" w:type="dxa"/>
            <w:vAlign w:val="bottom"/>
          </w:tcPr>
          <w:p>
            <w:pPr>
              <w:spacing w:after="0"/>
              <w:rPr>
                <w:sz w:val="19"/>
                <w:szCs w:val="19"/>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9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FFCC"/>
              <w:bottom w:val="single" w:sz="8" w:color="CCFFCC"/>
            </w:tcBorders>
            <w:shd w:val="clear" w:color="auto" w:fill="CCFFCC"/>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$ 479,294,183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$ 428,959,411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$ 486,157,918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$ 440,549,994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120" w:hanging="112"/>
        <w:spacing w:after="0" w:line="184" w:lineRule="auto"/>
        <w:tabs>
          <w:tab w:leader="none" w:pos="12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right="460" w:firstLine="414"/>
        <w:spacing w:after="0" w:line="277" w:lineRule="auto"/>
        <w:rPr>
          <w:sz w:val="20"/>
          <w:szCs w:val="20"/>
          <w:color w:val="auto"/>
        </w:rPr>
      </w:pPr>
      <w:r>
        <w:rPr>
          <w:rFonts w:ascii="Arial" w:cs="Arial" w:eastAsia="Arial" w:hAnsi="Arial"/>
          <w:sz w:val="18"/>
          <w:szCs w:val="18"/>
          <w:color w:val="auto"/>
        </w:rPr>
        <w:t>At March 31, 2014 and December 31, 2013, our investments in income producing loans and debt securities, excluding CLO Fund securities, had a weighted average interest rate of approximately 7.6% and 7.3%, respectively.</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March 31, 2014 was spread across 24 different industries and 93 different entities with an average balance per entity of approximately $3.8 million. As of March 31, 2014, all but four of our portfolio companies were current on their debt service obligations.</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public companies. The investments in our Debt Securities Portfolio are all or predominantly below investment grade, and therefore have speculative characteristics with respect to the issuer’s capacity to pay interest and repay principal.</w:t>
      </w:r>
    </w:p>
    <w:p>
      <w:pPr>
        <w:spacing w:after="0" w:line="14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At March 31, 2014, our ten largest portfolio companies represented approximately 43% of the total fair value of our investments. Our largest investment, the Asset Manager Affiliate, which are our wholly-owned portfolio companies represented 17% of the total fair value of our investments. Excluding the Asset Manager Affiliates and CLO Fund Securities, our ten largest portfolio companies represent approximately 19% of the total fair value of our investments.</w:t>
      </w:r>
    </w:p>
    <w:p>
      <w:pPr>
        <w:spacing w:after="0" w:line="14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2014 and December 31, 2013,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2"/>
              </w:rPr>
              <w:t>March 31, 2014 (unaudited)</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9"/>
              </w:rPr>
              <w:t>December 31, 2013³</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40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FFC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w w:val="97"/>
              </w:rPr>
              <w:t>%</w:t>
            </w:r>
            <w:r>
              <w:rPr>
                <w:rFonts w:ascii="Arial" w:cs="Arial" w:eastAsia="Arial" w:hAnsi="Arial"/>
                <w:sz w:val="29"/>
                <w:szCs w:val="29"/>
                <w:b w:val="1"/>
                <w:bCs w:val="1"/>
                <w:color w:val="auto"/>
                <w:w w:val="97"/>
                <w:vertAlign w:val="superscript"/>
              </w:rPr>
              <w:t>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FFCC"/>
            </w:tcBorders>
          </w:tcPr>
          <w:p>
            <w:pPr>
              <w:spacing w:after="0"/>
              <w:rPr>
                <w:sz w:val="21"/>
                <w:szCs w:val="21"/>
                <w:color w:val="auto"/>
              </w:rPr>
            </w:pPr>
          </w:p>
        </w:tc>
        <w:tc>
          <w:tcPr>
            <w:tcW w:w="6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FFCC"/>
            </w:tcBorders>
          </w:tcPr>
          <w:p>
            <w:pPr>
              <w:spacing w:after="0"/>
              <w:rPr>
                <w:sz w:val="21"/>
                <w:szCs w:val="21"/>
                <w:color w:val="auto"/>
              </w:rPr>
            </w:pPr>
          </w:p>
        </w:tc>
      </w:tr>
      <w:tr>
        <w:trPr>
          <w:trHeight w:val="210"/>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9,241,598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8,262,746</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9,244,538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83,924,720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74,075,000</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83,378,741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76,148,000</w:t>
            </w:r>
          </w:p>
        </w:tc>
        <w:tc>
          <w:tcPr>
            <w:tcW w:w="220" w:type="dxa"/>
            <w:vAlign w:val="bottom"/>
          </w:tcPr>
          <w:p>
            <w:pPr>
              <w:spacing w:after="0"/>
              <w:rPr>
                <w:sz w:val="22"/>
                <w:szCs w:val="22"/>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15,092,066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15,140,184</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15,248,090</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15,306,403</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30,106,699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30,073,375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4,190,265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4,299,050</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30,678,942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30,891,888</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33,758,684</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34,026,889</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11,448,449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11,861,307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11,450,641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11,792,925</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2,914,899</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2,913,300</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2,921,597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2,906,601</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101,169,147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77,747,524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101,696,950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79,452,220</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18,152,025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217,860</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18,224,720</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190,244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1,273,772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7,713,071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9,751,622</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20,753,460</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20,068,181</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18,864,695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18,266,939</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11,744,827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13,419,317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11,734,558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12,930,563</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6,931,964</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6,980,096</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6,937,663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6,965,896</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26,669,356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26,712,914</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29,001,457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28,744,797</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14,352,172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14,430,726</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1,079,617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18,340,534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18,445,673</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20,671,185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20,725,084</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17,989,624</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17,989,034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3,817,517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3,418,987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3,825,126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3,466,520</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14,208,104</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14,408,131</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12,797,615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13,035,590</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9,699,508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9,667,758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9,853,341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9,915,921</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Metals &amp; Mining</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1,378,742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1,283,542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3,364,579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3,325,032</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9,162,252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9,161,651</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2,984,555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2,999,791</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Services: Consumer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4,627,502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4,637,023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4,065,671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3,001,899</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17,136,126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17,174,621</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17,251,743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17,337,834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4</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4,133,429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4,133,429</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220" w:type="dxa"/>
            <w:vAlign w:val="bottom"/>
          </w:tcPr>
          <w:p>
            <w:pPr>
              <w:spacing w:after="0"/>
              <w:rPr>
                <w:sz w:val="22"/>
                <w:szCs w:val="22"/>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16,076,036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16,699,547</w:t>
            </w: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16,030,051</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16,643,254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5,915,349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5,978,291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5,927,826</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5,993,610</w:t>
            </w:r>
          </w:p>
        </w:tc>
        <w:tc>
          <w:tcPr>
            <w:tcW w:w="22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40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479,294,183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428,959,411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169</w:t>
            </w:r>
          </w:p>
        </w:tc>
        <w:tc>
          <w:tcPr>
            <w:tcW w:w="2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486,157,918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440,549,994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Represents the Asset Manager Affiliates.</w:t>
      </w:r>
    </w:p>
    <w:p>
      <w:pPr>
        <w:ind w:right="4560"/>
        <w:spacing w:after="0" w:line="206"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Certain prior year amounts have been reclassified to conform to the current year presentation. </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Includes restricted cash held under employee benefit plans.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2014, we had approximately $78 million invested in CLO Fund Securities, including those issued by funds managed by our Asset Manager Affiliates.</w:t>
      </w:r>
    </w:p>
    <w:p>
      <w:pPr>
        <w:spacing w:after="0" w:line="147" w:lineRule="exact"/>
        <w:rPr>
          <w:sz w:val="20"/>
          <w:szCs w:val="20"/>
          <w:color w:val="auto"/>
        </w:rPr>
      </w:pPr>
    </w:p>
    <w:p>
      <w:pPr>
        <w:ind w:right="360" w:firstLine="41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CLO Fund Securities as of March 31, 2014 and December 31, 2013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FFCC"/>
            </w:tcBorders>
          </w:tcPr>
          <w:p>
            <w:pPr>
              <w:spacing w:after="0"/>
              <w:rPr>
                <w:sz w:val="20"/>
                <w:szCs w:val="20"/>
                <w:color w:val="auto"/>
              </w:rPr>
            </w:pPr>
          </w:p>
        </w:tc>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FFC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Grant Grove CLO, Ltd.</w:t>
            </w: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20"/>
                <w:szCs w:val="20"/>
                <w:color w:val="auto"/>
              </w:rPr>
            </w:pPr>
            <w:r>
              <w:rPr>
                <w:rFonts w:ascii="Arial" w:cs="Arial" w:eastAsia="Arial" w:hAnsi="Arial"/>
                <w:sz w:val="18"/>
                <w:szCs w:val="18"/>
                <w:color w:val="auto"/>
                <w:w w:val="87"/>
              </w:rPr>
              <w:t>Subordinated Securities</w:t>
            </w:r>
          </w:p>
        </w:tc>
        <w:tc>
          <w:tcPr>
            <w:tcW w:w="1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4,717,004</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711,978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4,715,553</w:t>
            </w: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1,052,164</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1,607,836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1,618,611</w:t>
            </w: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3,320,000</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3,320,000</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w w:val="94"/>
              </w:rPr>
              <w:t>Subordinated Securities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4,487,193</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1,442,994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4,499,793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1,478,978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Subordinated Securities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3,384,505</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1,300,072</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3,390,005</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1,230,731</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2,014,687</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745,431</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2,023,287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829,739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Subordinated Securities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11,742,686</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5,463,221</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11,770,993</w:t>
            </w: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5,932,163</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31,051,393</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26,841,026</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31,064,973</w:t>
            </w: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27,758,379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Class B-2L Notes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1,305,288</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9,810,000</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1,300,937</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9,740,000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3,531,200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2,674,364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3,542,300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2,519,210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2,715,100</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1,775,415</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2,721,500</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1,844,276</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Income Notes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2,774,800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1,889,787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2,784,200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1,981,948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Notes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3,130,600</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2,333,786</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3,133,900</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2,513,261</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8,984,300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6,749,700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8,943,900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6,846,520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Class F Notes</w:t>
            </w:r>
          </w:p>
        </w:tc>
        <w:tc>
          <w:tcPr>
            <w:tcW w:w="120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3,869,455</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4,190,000</w:t>
            </w:r>
          </w:p>
        </w:tc>
        <w:tc>
          <w:tcPr>
            <w:tcW w:w="2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3,843,398</w:t>
            </w:r>
          </w:p>
        </w:tc>
        <w:tc>
          <w:tcPr>
            <w:tcW w:w="2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4,200,001</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9,353,900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9,960,400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8,225,100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Dryden 30 Senior Loan Fund</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Notes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3,179,200</w:t>
            </w: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2,973,750</w:t>
            </w: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3,063,200</w:t>
            </w:r>
          </w:p>
        </w:tc>
        <w:tc>
          <w:tcPr>
            <w:tcW w:w="2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2,973,750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101,169,147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77,747,524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101,696,950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79,452,220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class held.</w:t>
      </w:r>
    </w:p>
    <w:p>
      <w:pPr>
        <w:ind w:left="120" w:hanging="112"/>
        <w:spacing w:after="0" w:line="184" w:lineRule="auto"/>
        <w:tabs>
          <w:tab w:leader="none" w:pos="12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A CLO Fund managed by an Asset Manager Affiliate.</w:t>
      </w:r>
    </w:p>
    <w:p>
      <w:pPr>
        <w:spacing w:after="0" w:line="27" w:lineRule="exact"/>
        <w:rPr>
          <w:sz w:val="20"/>
          <w:szCs w:val="20"/>
          <w:color w:val="auto"/>
        </w:rPr>
      </w:pPr>
    </w:p>
    <w:p>
      <w:pPr>
        <w:ind w:left="5620" w:right="4860" w:hanging="5612"/>
        <w:spacing w:after="0" w:line="352" w:lineRule="auto"/>
        <w:tabs>
          <w:tab w:leader="none" w:pos="124"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As of March 31, 2014, this CLO Fund security was not providing a dividend distribution.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March 31, 2014, our Asset Manager Affiliates had approximately $3.0 billion of par value of assets under management on which they earn management fees, and were valued at approximately $74 million.</w:t>
      </w:r>
    </w:p>
    <w:p>
      <w:pPr>
        <w:spacing w:after="0" w:line="187"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our Asset Manager Affiliates are currently receiving incentive fees from five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Dividends and Interest from Investments in CLO Fund Securities</w:t>
      </w:r>
      <w:r>
        <w:rPr>
          <w:rFonts w:ascii="Arial" w:cs="Arial" w:eastAsia="Arial" w:hAnsi="Arial"/>
          <w:sz w:val="17"/>
          <w:szCs w:val="17"/>
          <w:color w:val="auto"/>
        </w:rPr>
        <w:t>. We generate dividend income from our investments in the securities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consolidated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of Class F notes of the Catamaran 2012-1, interest is earned at a fixed spread relative to the LIBOR index.</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1" w:name="page62"/>
    <w:bookmarkEnd w:id="61"/>
    <w:p>
      <w:pPr>
        <w:ind w:firstLine="324"/>
        <w:spacing w:after="0" w:line="269" w:lineRule="auto"/>
        <w:rPr>
          <w:sz w:val="20"/>
          <w:szCs w:val="20"/>
          <w:color w:val="auto"/>
        </w:rPr>
      </w:pPr>
      <w:r>
        <w:rPr>
          <w:rFonts w:ascii="Arial" w:cs="Arial" w:eastAsia="Arial" w:hAnsi="Arial"/>
          <w:sz w:val="17"/>
          <w:szCs w:val="17"/>
          <w:i w:val="1"/>
          <w:iCs w:val="1"/>
          <w:color w:val="auto"/>
        </w:rPr>
        <w:t xml:space="preserve">Dividends from Asset Manager Affiliates. </w:t>
      </w:r>
      <w:r>
        <w:rPr>
          <w:rFonts w:ascii="Arial" w:cs="Arial" w:eastAsia="Arial" w:hAnsi="Arial"/>
          <w:sz w:val="17"/>
          <w:szCs w:val="17"/>
          <w:color w:val="auto"/>
        </w:rPr>
        <w:t>We generate dividend income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managed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w:t>
      </w:r>
    </w:p>
    <w:p>
      <w:pPr>
        <w:spacing w:after="0" w:line="1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Investment income for the three months ended March 31, 2014 and 2013 was approximately $13 million and $11 million, respectively. Of these amounts, approximately $5.2 million and $2.5 million was attributable to interest income on our debt securities portfolio. Increases in interest income from 2013 to 2014 were due to higher average invested assets stemming primarily from capital raising activities.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weighted average yield on the performing investments debt securities portfolio was 7.6%, and 7.3%, as of March 31, 2014 and December 31, 2013, respectively.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three months ended March 31, 2014 and 2013, approximately $4.9 million and $5.9 million, respectively, of dividend income was attributable to investments in CLO Fund securities. 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Distributions from our Asset Manager Affiliates are recorded as “Dividends from Asset Manager Affiliates” in our Statement of Operations. For both the three months ended March 31, 2014 and 2013, we recognized dividend income of $3.0 million from the Asset Manager Affiliates.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Asset Manager Affiliates are expected to pay future dividends to the Company based upon their operating cash flow, which generally will be dependent upon the maintenance and growth in their assets under management. The change in fair value of our investment in our Asset Manager Affiliates was approximately a decrease of $2.1 million as of March 31, 2014 and an increase of $3.1 million as of March 31, 2013.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assets under management by our Asset Manager Affiliates was $3.0 billion and $3.2 billion as of March 31, 2014 and December 31, 2013,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 Interest expense is dependent on the average outstanding principal balance of our borrowings and the applicable interest rate for the period.</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Total expenses for the three months ended March 31, 2014 and 2013 were approximately $5.5 million and $4.4 million, respectively. Interest expense and amortization on debt issuance costs for the periods, were approximately $3.0 million and $2.3 million, respectively, on average debt outstanding of $196 million and $101 million, respectively.</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the three months ended March 31, 2014 and 2013, approximately $1.3 million and $910,000, respectively, of expenses were attributable to employee compensation, including salaries, bonuses, employee benefits, payroll taxes and stock-based compensation expense. The increase in compensation expense results from higher performance-based compensation and benefit plan expenses, as well as an increase in employee headcount. For the three months ended March 31, 2014 and 2013, respectively, professional fees and insurance expenses totaled approximately $807,000 and $771,000. Administrative costs, which include occupancy expense, technology and other office expenses, totaled approximately $468,000 and $506,000 for the three months ended March 31,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Net investment income and net realized gains (losses) represents the stockholder’s equity before net unrealized appreciation or depreciation on investments. For the three months ended March 31, 2014, net investment income and net realized gains were approximately $8.2 million, or $0.25 per share. For the three months ended March 31, 2013, net investment income and net realized losses were approximately $6.9 million or $0.23 per share. Net investment income represents the income earned on our investments less operating and interest expense before net realized gains or losses and unrealized appreciation or depreciation on investments. For the three months ended March 31, 2014, net investment income was approximately $7.9 million, or $0.24 per share.</w:t>
      </w:r>
    </w:p>
    <w:p>
      <w:pPr>
        <w:spacing w:after="0" w:line="19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Generally, we seek to fund our distributions from net investment income. For the three months ended March 31, 2014, total distributions were $8.2 million, or $.25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During the three months ended March 31, 2014, our total investments had net unrealized depreciation of approximately $4.7 million. During the three months ended March 31, 2013, our total investments had net unrealized appreciation of approximately $350,000. For the three months ended March 31, 2014, our Asset Manager Affiliates had net unrealized depreciation of approximately $2.6 million. For the three months ended March 31, 2013, our Asset Manager Affiliates had net unrealized appreciation of approximately $3.1 million. For the three months ended March 31, 2014, our middle market portfolio of debt securities and equity securities had net unrealized depreciation of approximately $900,000, compared with net unrealized appreciation of $2.2 million during the first quarter of 2013. For the three months ended March 31, 2014, our CLO Fund securities had net unrealized depreciation of approximately $1.2 million compared with net unrealized depreciation of $4.9 million during the first quarter of 2013.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net increase in stockholders’ equity resulting from operations for the three months ended March 31, 2014 was $3.4 million, or $0.10 per share. Net increase in stockholders’ equity resulting from operations for the three months ended March 31, 2013 was $7.2 million, or $0.25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and December 31, 2013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1"/>
              </w:rPr>
              <w:t>Investments at Fair Value</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80" w:type="dxa"/>
            <w:vAlign w:val="bottom"/>
          </w:tcPr>
          <w:p>
            <w:pPr>
              <w:spacing w:after="0"/>
              <w:rPr>
                <w:sz w:val="19"/>
                <w:szCs w:val="19"/>
                <w:color w:val="auto"/>
              </w:rPr>
            </w:pPr>
          </w:p>
        </w:tc>
        <w:tc>
          <w:tcPr>
            <w:tcW w:w="282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3"/>
              </w:rPr>
              <w:t>March 31, 2014  December 31, 2013</w:t>
            </w:r>
          </w:p>
        </w:tc>
        <w:tc>
          <w:tcPr>
            <w:tcW w:w="80" w:type="dxa"/>
            <w:vAlign w:val="bottom"/>
            <w:gridSpan w:val="2"/>
          </w:tcPr>
          <w:p>
            <w:pPr>
              <w:spacing w:after="0"/>
              <w:rPr>
                <w:sz w:val="19"/>
                <w:szCs w:val="19"/>
                <w:color w:val="auto"/>
              </w:rPr>
            </w:pPr>
          </w:p>
        </w:tc>
      </w:tr>
      <w:tr>
        <w:trPr>
          <w:trHeight w:val="210"/>
        </w:trPr>
        <w:tc>
          <w:tcPr>
            <w:tcW w:w="61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3,277,748</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center"/>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3,433,675</w:t>
            </w: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Money Market Accounts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4,133,429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7,112,949</w:t>
            </w:r>
          </w:p>
        </w:tc>
        <w:tc>
          <w:tcPr>
            <w:tcW w:w="6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152,797,023</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168,188,453</w:t>
            </w:r>
          </w:p>
        </w:tc>
        <w:tc>
          <w:tcPr>
            <w:tcW w:w="60" w:type="dxa"/>
            <w:vAlign w:val="bottom"/>
            <w:shd w:val="clear" w:color="auto" w:fill="CCFFC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Junior Secured Loan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54,978,035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48,443,384</w:t>
            </w:r>
          </w:p>
        </w:tc>
        <w:tc>
          <w:tcPr>
            <w:tcW w:w="6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Loan</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27,000,000</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23,000,000</w:t>
            </w:r>
          </w:p>
        </w:tc>
        <w:tc>
          <w:tcPr>
            <w:tcW w:w="60" w:type="dxa"/>
            <w:vAlign w:val="bottom"/>
            <w:shd w:val="clear" w:color="auto" w:fill="CCFFC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First Lien Bond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2,546,400</w:t>
            </w:r>
          </w:p>
        </w:tc>
        <w:tc>
          <w:tcPr>
            <w:tcW w:w="6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4,268,550</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1,051,540</w:t>
            </w:r>
          </w:p>
        </w:tc>
        <w:tc>
          <w:tcPr>
            <w:tcW w:w="60" w:type="dxa"/>
            <w:vAlign w:val="bottom"/>
            <w:shd w:val="clear" w:color="auto" w:fill="CCFFC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Senior Secured Bond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1,619,550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1,619,550</w:t>
            </w:r>
          </w:p>
        </w:tc>
        <w:tc>
          <w:tcPr>
            <w:tcW w:w="6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11,085,303</w:t>
            </w: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11,381,100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CLO Fund Securities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77,747,524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79,452,220</w:t>
            </w:r>
          </w:p>
        </w:tc>
        <w:tc>
          <w:tcPr>
            <w:tcW w:w="6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8,212,286</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11,006,398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Preferred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10,657,711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10,600,000</w:t>
            </w:r>
          </w:p>
        </w:tc>
        <w:tc>
          <w:tcPr>
            <w:tcW w:w="60" w:type="dxa"/>
            <w:vAlign w:val="bottom"/>
          </w:tcPr>
          <w:p>
            <w:pPr>
              <w:spacing w:after="0"/>
              <w:rPr>
                <w:sz w:val="18"/>
                <w:szCs w:val="18"/>
                <w:color w:val="auto"/>
              </w:rPr>
            </w:pPr>
          </w:p>
        </w:tc>
      </w:tr>
      <w:tr>
        <w:trPr>
          <w:trHeight w:val="230"/>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74,075,000</w:t>
            </w:r>
          </w:p>
        </w:tc>
        <w:tc>
          <w:tcPr>
            <w:tcW w:w="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76,148,000</w:t>
            </w:r>
          </w:p>
        </w:tc>
        <w:tc>
          <w:tcPr>
            <w:tcW w:w="60" w:type="dxa"/>
            <w:vAlign w:val="bottom"/>
            <w:shd w:val="clear" w:color="auto" w:fill="CCFFC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432,237,159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443,983,669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76" w:lineRule="auto"/>
        <w:rPr>
          <w:sz w:val="20"/>
          <w:szCs w:val="20"/>
          <w:color w:val="auto"/>
        </w:rPr>
      </w:pPr>
      <w:r>
        <w:rPr>
          <w:rFonts w:ascii="Arial" w:cs="Arial" w:eastAsia="Arial" w:hAnsi="Arial"/>
          <w:sz w:val="17"/>
          <w:szCs w:val="17"/>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2014, we had approximately $193 million of outstanding borrowings and our asset coverage ratio of total assets to total borrowings was 228%, compliant with the minimum asset coverage level of 200% generally required for a BDC by the 1940 Act. We may also borrow amounts of up to 5% of the value of our total assets for temporary purposes.</w:t>
      </w:r>
    </w:p>
    <w:p>
      <w:pPr>
        <w:spacing w:after="0" w:line="173"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93" w:lineRule="exact"/>
        <w:rPr>
          <w:sz w:val="20"/>
          <w:szCs w:val="20"/>
          <w:color w:val="auto"/>
        </w:rPr>
      </w:pPr>
    </w:p>
    <w:p>
      <w:pPr>
        <w:ind w:right="100" w:firstLine="414"/>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As of March 31, 2014, the conversion rate was 127.4733 shares of common stock per $1,000 principal amount of Convertible Notes, which is equivalent to a conversion price of approximately $7.84 per share of common stock. The conversion rate is subject to adjustment upon certain events. Upon conversion, the Company would issue the full amount of common stock or settle the conversion cash, at its option, and retire the full amount of debt outstanding.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ind w:right="140" w:firstLine="414"/>
        <w:spacing w:after="0" w:line="254" w:lineRule="auto"/>
        <w:rPr>
          <w:sz w:val="20"/>
          <w:szCs w:val="20"/>
          <w:color w:val="auto"/>
        </w:rPr>
      </w:pPr>
      <w:r>
        <w:rPr>
          <w:rFonts w:ascii="Arial" w:cs="Arial" w:eastAsia="Arial" w:hAnsi="Arial"/>
          <w:sz w:val="18"/>
          <w:szCs w:val="18"/>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Due to the cash conversion option embedded in the Convertible Notes, the Company applied the guidance in ASC 470-40-20, Debt with Conversion and Other Options, and realized a loss on the extinguishment of this debt. For the three months ended March 31, 2014, there were no realized losses on extinguishment of debt. For the year ended December 31, 2013 total realized losses on extinguishment of debt were approximately $537,000. The indenture governing the Convertible Notes contains certain restrictive covenants, including compliance with certain provisions of the 1940 Act and conditions governing the undertaking of new debt.</w:t>
      </w:r>
    </w:p>
    <w:p>
      <w:pPr>
        <w:spacing w:after="0" w:line="192"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181" w:lineRule="exact"/>
        <w:rPr>
          <w:sz w:val="20"/>
          <w:szCs w:val="20"/>
          <w:color w:val="auto"/>
        </w:rPr>
      </w:pPr>
    </w:p>
    <w:p>
      <w:pPr>
        <w:ind w:firstLine="414"/>
        <w:spacing w:after="0" w:line="284"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tests applicable to the Company as a BDC and a covenant that the Company agreed to in connection with the issuance of the7.375% Notes Due 2019, the Company is limited in its ability to make distributions in certain circumstances. At March 31, 2014, the Company was in compliance with all of its debt covenants. The indenture governing the</w:t>
      </w:r>
    </w:p>
    <w:p>
      <w:pPr>
        <w:spacing w:after="0" w:line="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7.375% Notes Due 2019 contains certain restrictive covenants, including compliance with certain provisions of the 1940 Act relating to borrowing and dividends.</w:t>
      </w:r>
    </w:p>
    <w:p>
      <w:pPr>
        <w:spacing w:after="0" w:line="184"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On June 18, 2013, KCAP Senior Funding I, LLC, or Issuer,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These junior notes eliminate in consolidation and the remaining notes with a par value of $105 million, net of $3.0 million of unamortized discount, are reflected on our consolidated balance sheet. The indenture governing the KCAP Senior Funding I Notes contains an event of default that is triggered in the event that certain coverage tests are not met</w:t>
      </w:r>
    </w:p>
    <w:p>
      <w:pPr>
        <w:spacing w:after="0" w:line="165"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187" w:lineRule="exact"/>
        <w:rPr>
          <w:sz w:val="20"/>
          <w:szCs w:val="20"/>
          <w:color w:val="auto"/>
        </w:rPr>
      </w:pPr>
    </w:p>
    <w:p>
      <w:pPr>
        <w:ind w:right="100" w:firstLine="414"/>
        <w:spacing w:after="0" w:line="273" w:lineRule="auto"/>
        <w:rPr>
          <w:sz w:val="20"/>
          <w:szCs w:val="20"/>
          <w:color w:val="auto"/>
        </w:rPr>
      </w:pPr>
      <w:r>
        <w:rPr>
          <w:rFonts w:ascii="Arial" w:cs="Arial" w:eastAsia="Arial" w:hAnsi="Arial"/>
          <w:sz w:val="17"/>
          <w:szCs w:val="17"/>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stockholders (at a special stockholder meeting held on June 21, 2013 and continued on July 19, 2013 and August 9, 2013) authorizes us to sell shares of our common stock below the then current net asset value per share of our common stock in one or more offerings for the period ending on the earlier of (i) August 9, 2013, or (ii) the date of our 2014 annual meeting of shareholders. We would need similar future approval from our shareholders to issue shares below the then current net asset value per share any time after the expiration of the current approval.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intend to continue to distribute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360" w:firstLine="414"/>
        <w:spacing w:after="0" w:line="25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on our evaluation of both distributable income for tax purposes and GAAP net investment income (which excludes unrealized gains and losses). Generally, we seek to fund our distributions from GAAP current earnings, primarily from net interest and dividend income generated by our investment portfolio and without a return of capital or a high reliance on realized capital gains. Distributions to our stockholders during 2013 and 2012 included $5.8 million and $1.3 million, respectively, of tax-basis return of capital.</w:t>
      </w:r>
    </w:p>
    <w:p>
      <w:pPr>
        <w:spacing w:after="0" w:line="188" w:lineRule="exact"/>
        <w:rPr>
          <w:sz w:val="20"/>
          <w:szCs w:val="20"/>
          <w:color w:val="auto"/>
        </w:rPr>
      </w:pPr>
    </w:p>
    <w:p>
      <w:pPr>
        <w:ind w:right="200" w:firstLine="414"/>
        <w:spacing w:after="0" w:line="342" w:lineRule="auto"/>
        <w:rPr>
          <w:sz w:val="20"/>
          <w:szCs w:val="20"/>
          <w:color w:val="auto"/>
        </w:rPr>
      </w:pPr>
      <w:r>
        <w:rPr>
          <w:rFonts w:ascii="Arial" w:cs="Arial" w:eastAsia="Arial" w:hAnsi="Arial"/>
          <w:sz w:val="16"/>
          <w:szCs w:val="16"/>
          <w:color w:val="auto"/>
        </w:rPr>
        <w:t>The following table sets forth the quarterly distributions declared by us since the most recent completed calendar year, which approximates our estimated net investment income for the specified quarter, including income distributed from the Asset Manager Affiliates received by the Company, if any.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Declaration</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Record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Dividend</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Date</w:t>
            </w: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3/21/2014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4/4/2014</w:t>
            </w:r>
          </w:p>
        </w:tc>
        <w:tc>
          <w:tcPr>
            <w:tcW w:w="134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declared in 2014</w:t>
            </w: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34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12/13/2013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12/27/2013</w:t>
            </w:r>
          </w:p>
        </w:tc>
        <w:tc>
          <w:tcPr>
            <w:tcW w:w="1340" w:type="dxa"/>
            <w:vAlign w:val="bottom"/>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9/13/2013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10/8/2013</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6/17/2013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7/5/2013</w:t>
            </w:r>
          </w:p>
        </w:tc>
        <w:tc>
          <w:tcPr>
            <w:tcW w:w="1340" w:type="dxa"/>
            <w:vAlign w:val="bottom"/>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3/15/2013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4/5/2013</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declared in 2013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FFCC"/>
            </w:tcBorders>
          </w:tcPr>
          <w:p>
            <w:pPr>
              <w:spacing w:after="0"/>
              <w:rPr>
                <w:sz w:val="22"/>
                <w:szCs w:val="22"/>
                <w:color w:val="auto"/>
              </w:rPr>
            </w:pPr>
          </w:p>
        </w:tc>
        <w:tc>
          <w:tcPr>
            <w:tcW w:w="136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36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34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12/17/2012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12/28/2012</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9/17/2012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10/10/2012</w:t>
            </w:r>
          </w:p>
        </w:tc>
        <w:tc>
          <w:tcPr>
            <w:tcW w:w="1340" w:type="dxa"/>
            <w:vAlign w:val="bottom"/>
          </w:tcPr>
          <w:p>
            <w:pPr>
              <w:jc w:val="right"/>
              <w:spacing w:after="0"/>
              <w:rPr>
                <w:sz w:val="20"/>
                <w:szCs w:val="20"/>
                <w:color w:val="auto"/>
              </w:rPr>
            </w:pPr>
            <w:r>
              <w:rPr>
                <w:rFonts w:ascii="Arial" w:cs="Arial" w:eastAsia="Arial" w:hAnsi="Arial"/>
                <w:sz w:val="18"/>
                <w:szCs w:val="18"/>
                <w:color w:val="auto"/>
              </w:rPr>
              <w:t>10/29/2012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0.24</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6/18/2012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7/6/2012</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7/27/2012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3/16/2012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4/6/2012</w:t>
            </w:r>
          </w:p>
        </w:tc>
        <w:tc>
          <w:tcPr>
            <w:tcW w:w="1340" w:type="dxa"/>
            <w:vAlign w:val="bottom"/>
          </w:tcPr>
          <w:p>
            <w:pPr>
              <w:jc w:val="right"/>
              <w:spacing w:after="0"/>
              <w:rPr>
                <w:sz w:val="20"/>
                <w:szCs w:val="20"/>
                <w:color w:val="auto"/>
              </w:rPr>
            </w:pPr>
            <w:r>
              <w:rPr>
                <w:rFonts w:ascii="Arial" w:cs="Arial" w:eastAsia="Arial" w:hAnsi="Arial"/>
                <w:sz w:val="18"/>
                <w:szCs w:val="18"/>
                <w:color w:val="auto"/>
              </w:rPr>
              <w:t>4/27/2012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declared in 2012</w:t>
            </w: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0.94</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34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March 31, 2014 and December 31, 2013, we did not have any such outstanding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center"/>
              <w:ind w:right="1560"/>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Obligations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1 - 3 years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years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4"/>
              </w:rPr>
              <w:t>$  192,701,250</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   49,008,000</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   143,693,250</w:t>
            </w:r>
          </w:p>
        </w:tc>
        <w:tc>
          <w:tcPr>
            <w:tcW w:w="12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660" w:right="20" w:hanging="328"/>
        <w:spacing w:after="0" w:line="28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7" w:name="page68"/>
    <w:bookmarkEnd w:id="67"/>
    <w:p>
      <w:pPr>
        <w:ind w:left="660" w:right="120" w:hanging="328"/>
        <w:spacing w:after="0" w:line="27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2" w:lineRule="exact"/>
        <w:rPr>
          <w:rFonts w:ascii="Arial" w:cs="Arial" w:eastAsia="Arial" w:hAnsi="Arial"/>
          <w:sz w:val="17"/>
          <w:szCs w:val="17"/>
          <w:color w:val="auto"/>
        </w:rPr>
      </w:pPr>
    </w:p>
    <w:p>
      <w:pPr>
        <w:ind w:left="660" w:right="60" w:hanging="328"/>
        <w:spacing w:after="0" w:line="293"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2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The Company’s investments in its wholly-owned asset management companies, the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8" w:name="page69"/>
    <w:bookmarkEnd w:id="68"/>
    <w:p>
      <w:pPr>
        <w:ind w:firstLine="270"/>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17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March 31, 2014, four issuers representing less than 1% of our total investments at fair value were on non-accrual status. As of December 31, 2013, five issuers representing less than 1% of our total investments at fair value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Income from CLO Fund Securities</w:t>
      </w:r>
    </w:p>
    <w:p>
      <w:pPr>
        <w:spacing w:after="0" w:line="22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We generate dividend income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73"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220"/>
        <w:spacing w:after="0"/>
        <w:rPr>
          <w:sz w:val="20"/>
          <w:szCs w:val="20"/>
          <w:color w:val="auto"/>
        </w:rPr>
      </w:pPr>
      <w:r>
        <w:rPr>
          <w:rFonts w:ascii="Arial" w:cs="Arial" w:eastAsia="Arial" w:hAnsi="Arial"/>
          <w:sz w:val="18"/>
          <w:szCs w:val="18"/>
          <w:b w:val="1"/>
          <w:bCs w:val="1"/>
          <w:i w:val="1"/>
          <w:iCs w:val="1"/>
          <w:color w:val="auto"/>
        </w:rPr>
        <w:t>Dividends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dividend income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414"/>
        <w:spacing w:after="0" w:line="308" w:lineRule="auto"/>
        <w:rPr>
          <w:sz w:val="20"/>
          <w:szCs w:val="20"/>
          <w:color w:val="auto"/>
        </w:rPr>
      </w:pPr>
      <w:r>
        <w:rPr>
          <w:rFonts w:ascii="Arial" w:cs="Arial" w:eastAsia="Arial" w:hAnsi="Arial"/>
          <w:sz w:val="17"/>
          <w:szCs w:val="17"/>
          <w:color w:val="auto"/>
        </w:rPr>
        <w:t>Dividends and distributions to common stockholders are recorded on the ex-dividend date. The amount to be paid out as a dividend is determined by the Board of Directors each quarter and is generally based upon the earnings estimated by management for the period and year.</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240" w:firstLine="414"/>
        <w:spacing w:after="0" w:line="259"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March 31, 2014, approximately 83.6% of our loans at fair value in our portfolio were at floating rates with a spread to an interest rate index such as LIBOR or the prime rate. We generally expect that future portfolio investments will predominately be floating rate investments. As of March 31, 2014, we had $195.7 million of borrowings outstanding at a weighted average rate of 5.08%.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right="40" w:firstLine="414"/>
        <w:spacing w:after="0" w:line="255"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or lowering interest rates, the cost of the proportion of our debt associated with our Convertible Notes or Retail Notes would remain the same at 8.75% and 7.375%, respectively, given that this debt is at a fixed rate. We would expect that an increase in the base rate index for our floating rate investment assets would increase our net investment income and that a decrease in the base rate index for such assets would decrease our net investment income (in either case, such increase/decrease may be limited by interest rate floors/minimums for certain investment assets).</w:t>
      </w:r>
    </w:p>
    <w:p>
      <w:pPr>
        <w:spacing w:after="0" w:line="18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have analyzed the potential impact of changes in interest rates on interest income net of interest expense. Assuming that our balance sheet at March 31, 2014 was to remain constant and no actions were taken to alter the existing interest rate sensitivity, a hypothetical increase of a 1% change in interest rates would correspondingly increase net interest income proportionately by approximately $607,000 over a one-year period. Conversely, a hypothetical decrease of a 1% change in interest rates would correspondingly decrease net interest income proportionately by approximately $41,000 over a one-year period.</w:t>
      </w:r>
    </w:p>
    <w:p>
      <w:pPr>
        <w:spacing w:after="0" w:line="154"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March 21, 2014, our Board of Directors elected to not renew their engagement of Grant Thornton LLP as the Company’s independent registered public accounting firm. The Board’s decision was recommended by the Audit Committee of the Board.</w:t>
      </w:r>
    </w:p>
    <w:p>
      <w:pPr>
        <w:spacing w:after="0" w:line="170"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Grant Thornton’s reports on the Company’s consolidated financial statements for the fiscal years ended December 31, 2013, 2012 and 2011, contained no adverse opinion or disclaimer of opinion, and were not qualified or modified as to uncertainty, audit scope or accounting principles.</w:t>
      </w:r>
    </w:p>
    <w:p>
      <w:pPr>
        <w:spacing w:after="0" w:line="147" w:lineRule="exact"/>
        <w:rPr>
          <w:sz w:val="20"/>
          <w:szCs w:val="20"/>
          <w:color w:val="auto"/>
        </w:rPr>
      </w:pPr>
    </w:p>
    <w:p>
      <w:pPr>
        <w:jc w:val="both"/>
        <w:ind w:right="180" w:firstLine="405"/>
        <w:spacing w:after="0" w:line="302" w:lineRule="auto"/>
        <w:rPr>
          <w:sz w:val="20"/>
          <w:szCs w:val="20"/>
          <w:color w:val="auto"/>
        </w:rPr>
      </w:pPr>
      <w:r>
        <w:rPr>
          <w:rFonts w:ascii="Arial" w:cs="Arial" w:eastAsia="Arial" w:hAnsi="Arial"/>
          <w:sz w:val="16"/>
          <w:szCs w:val="16"/>
          <w:color w:val="auto"/>
        </w:rPr>
        <w:t>During the fiscal years ended December 31, 2013, 2012 and 2011 through March 21, 2014, there were no (a) disagreements with Grant Thornton LLP on any matter of accounting principles or practices, consolidated financial statement disclosure or auditing scope or procedure, which disagreements, if not resolved to the satisfaction of Grant Thornton LLP, would have caused it to make reference to the subject matter of such disagreements in its reports on the consolidated financial statements for such years or (b) reportable events, as described under Item 304(a)(1)(v) of Regulation S-K.</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ind w:firstLine="405"/>
        <w:spacing w:after="0" w:line="286" w:lineRule="auto"/>
        <w:rPr>
          <w:sz w:val="20"/>
          <w:szCs w:val="20"/>
          <w:color w:val="auto"/>
        </w:rPr>
      </w:pPr>
      <w:r>
        <w:rPr>
          <w:rFonts w:ascii="Arial" w:cs="Arial" w:eastAsia="Arial" w:hAnsi="Arial"/>
          <w:sz w:val="17"/>
          <w:szCs w:val="17"/>
          <w:color w:val="auto"/>
        </w:rPr>
        <w:t>On March 26, 2014, our Board of Directors engaged, upon the recommendation of the Audit Committee of the Board, Ernst &amp; Young LLP (“EY”) to serve as the Company’s new independent registered public accounting firm to audit the Company’s consolidated financial statements for the fiscal year ending December 31, 2014, subject to ratification by our stockholders. EY’s engagement was ratified by the Company’s shareholders on May 5, 2014.</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4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During the quarter ended March 31, 2014,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2013.</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2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2014, we issued a total of 8,484 shares of common stock under our dividend reinvestment plan (“DRIP”). This issuance was not subject to the registration requirements of the Securities Act of 1933. For the three months ended March 31, 2014, the aggregate value of the shares of our common stock issued under our DRIP was approximately $68,043.</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520"/>
              <w:spacing w:after="0"/>
              <w:rPr>
                <w:sz w:val="20"/>
                <w:szCs w:val="20"/>
                <w:color w:val="auto"/>
              </w:rPr>
            </w:pPr>
            <w:r>
              <w:rPr>
                <w:rFonts w:ascii="Arial" w:cs="Arial" w:eastAsia="Arial" w:hAnsi="Arial"/>
                <w:sz w:val="18"/>
                <w:szCs w:val="18"/>
                <w:color w:val="auto"/>
              </w:rPr>
              <w:t>KCAP FINANCIAL, INC.</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May 7, 2014</w:t>
            </w:r>
          </w:p>
        </w:tc>
        <w:tc>
          <w:tcPr>
            <w:tcW w:w="2860" w:type="dxa"/>
            <w:vAlign w:val="bottom"/>
          </w:tcPr>
          <w:p>
            <w:pPr>
              <w:ind w:left="25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/s/ Dayl W. Pearson</w:t>
            </w:r>
          </w:p>
        </w:tc>
      </w:tr>
      <w:tr>
        <w:trPr>
          <w:trHeight w:val="195"/>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68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3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80" w:type="dxa"/>
            <w:vAlign w:val="bottom"/>
          </w:tcPr>
          <w:p>
            <w:pPr>
              <w:jc w:val="center"/>
              <w:ind w:left="30"/>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80" w:type="dxa"/>
            <w:vAlign w:val="bottom"/>
          </w:tcPr>
          <w:p>
            <w:pPr>
              <w:jc w:val="center"/>
              <w:ind w:left="1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May 7, 2014</w:t>
            </w:r>
          </w:p>
        </w:tc>
        <w:tc>
          <w:tcPr>
            <w:tcW w:w="2860" w:type="dxa"/>
            <w:vAlign w:val="bottom"/>
          </w:tcPr>
          <w:p>
            <w:pPr>
              <w:ind w:left="252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left="10"/>
              <w:spacing w:after="0"/>
              <w:rPr>
                <w:sz w:val="20"/>
                <w:szCs w:val="20"/>
                <w:color w:val="auto"/>
              </w:rPr>
            </w:pPr>
            <w:r>
              <w:rPr>
                <w:rFonts w:ascii="Arial" w:cs="Arial" w:eastAsia="Arial" w:hAnsi="Arial"/>
                <w:sz w:val="18"/>
                <w:szCs w:val="18"/>
                <w:color w:val="auto"/>
                <w:w w:val="94"/>
              </w:rPr>
              <w:t>/s/ Edward U. Gilpin</w:t>
            </w:r>
          </w:p>
        </w:tc>
      </w:tr>
    </w:tbl>
    <w:p>
      <w:pPr>
        <w:jc w:val="center"/>
        <w:ind w:left="686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40" w:type="dxa"/>
            <w:vAlign w:val="bottom"/>
          </w:tcPr>
          <w:p>
            <w:pPr>
              <w:spacing w:after="0"/>
              <w:rPr>
                <w:sz w:val="24"/>
                <w:szCs w:val="24"/>
                <w:color w:val="auto"/>
              </w:rPr>
            </w:pPr>
          </w:p>
        </w:tc>
      </w:t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Certification of Chief Executive Officer Pursuant to Rule 13a-14(a) under the Securities Exchange Act of 1934, as adopted pursuant to Section</w:t>
            </w:r>
          </w:p>
        </w:tc>
      </w:tr>
      <w:tr>
        <w:trPr>
          <w:trHeight w:val="230"/>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Rule 13a-14(a) under the Securities Exchange Act of 1934, as adopted pursuant to Section</w:t>
            </w:r>
          </w:p>
        </w:tc>
      </w:tr>
      <w:tr>
        <w:trPr>
          <w:trHeight w:val="230"/>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 S. C. 1350, as adopted pursuant to Section 906 of the Sarbanes-Oxley Act of 2002.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 S. C. 1350, as adopted pursuant to Section 906 of the Sarbanes-Oxley Act of 2002.</w:t>
            </w:r>
          </w:p>
        </w:tc>
      </w:tr>
    </w:tbl>
    <w:p>
      <w:pPr>
        <w:spacing w:after="0" w:line="20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50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 w:leader="none" w:pos="798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2014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740" w:val="left"/>
          <w:tab w:leader="none" w:pos="850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2014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00" w:val="left"/>
          <w:tab w:leader="none" w:pos="792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bullet"/>
      <w:start w:val="1"/>
    </w:lvl>
  </w:abstractNum>
  <w:abstractNum w:abstractNumId="3">
    <w:nsid w:val="6CEAF087"/>
    <w:multiLevelType w:val="hybridMultilevel"/>
    <w:lvl w:ilvl="0">
      <w:lvlJc w:val="left"/>
      <w:lvlText w:val="2"/>
      <w:numFmt w:val="bullet"/>
      <w:start w:val="1"/>
    </w:lvl>
  </w:abstractNum>
  <w:abstractNum w:abstractNumId="4">
    <w:nsid w:val="22221A70"/>
    <w:multiLevelType w:val="hybridMultilevel"/>
    <w:lvl w:ilvl="0">
      <w:lvlJc w:val="left"/>
      <w:lvlText w:val="3"/>
      <w:numFmt w:val="bullet"/>
      <w:start w:val="1"/>
    </w:lvl>
  </w:abstractNum>
  <w:abstractNum w:abstractNumId="5">
    <w:nsid w:val="4516DDE9"/>
    <w:multiLevelType w:val="hybridMultilevel"/>
    <w:lvl w:ilvl="0">
      <w:lvlJc w:val="left"/>
      <w:lvlText w:val="4"/>
      <w:numFmt w:val="bullet"/>
      <w:start w:val="1"/>
    </w:lvl>
  </w:abstractNum>
  <w:abstractNum w:abstractNumId="6">
    <w:nsid w:val="3006C83E"/>
    <w:multiLevelType w:val="hybridMultilevel"/>
    <w:lvl w:ilvl="0">
      <w:lvlJc w:val="left"/>
      <w:lvlText w:val="5"/>
      <w:numFmt w:val="bullet"/>
      <w:start w:val="1"/>
    </w:lvl>
  </w:abstractNum>
  <w:abstractNum w:abstractNumId="7">
    <w:nsid w:val="614FD4A1"/>
    <w:multiLevelType w:val="hybridMultilevel"/>
    <w:lvl w:ilvl="0">
      <w:lvlJc w:val="left"/>
      <w:lvlText w:val="6"/>
      <w:numFmt w:val="bullet"/>
      <w:start w:val="1"/>
    </w:lvl>
  </w:abstractNum>
  <w:abstractNum w:abstractNumId="8">
    <w:nsid w:val="419AC241"/>
    <w:multiLevelType w:val="hybridMultilevel"/>
    <w:lvl w:ilvl="0">
      <w:lvlJc w:val="left"/>
      <w:lvlText w:val="7"/>
      <w:numFmt w:val="bullet"/>
      <w:start w:val="1"/>
    </w:lvl>
  </w:abstractNum>
  <w:abstractNum w:abstractNumId="9">
    <w:nsid w:val="5577F8E1"/>
    <w:multiLevelType w:val="hybridMultilevel"/>
    <w:lvl w:ilvl="0">
      <w:lvlJc w:val="left"/>
      <w:lvlText w:val="8"/>
      <w:numFmt w:val="bullet"/>
      <w:start w:val="1"/>
    </w:lvl>
  </w:abstractNum>
  <w:abstractNum w:abstractNumId="10">
    <w:nsid w:val="440BADFC"/>
    <w:multiLevelType w:val="hybridMultilevel"/>
    <w:lvl w:ilvl="0">
      <w:lvlJc w:val="left"/>
      <w:lvlText w:val="9"/>
      <w:numFmt w:val="bullet"/>
      <w:start w:val="1"/>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1"/>
      <w:numFmt w:val="upperLetter"/>
      <w:start w:val="54"/>
    </w:lvl>
  </w:abstractNum>
  <w:abstractNum w:abstractNumId="13">
    <w:nsid w:val="77465F01"/>
    <w:multiLevelType w:val="hybridMultilevel"/>
    <w:lvl w:ilvl="0">
      <w:lvlJc w:val="left"/>
      <w:lvlText w:val="1"/>
      <w:numFmt w:val="bullet"/>
      <w:start w:val="1"/>
    </w:lvl>
  </w:abstractNum>
  <w:abstractNum w:abstractNumId="14">
    <w:nsid w:val="7724C67E"/>
    <w:multiLevelType w:val="hybridMultilevel"/>
    <w:lvl w:ilvl="0">
      <w:lvlJc w:val="left"/>
      <w:lvlText w:val="2"/>
      <w:numFmt w:val="bullet"/>
      <w:start w:val="1"/>
    </w:lvl>
  </w:abstractNum>
  <w:abstractNum w:abstractNumId="15">
    <w:nsid w:val="5C482A97"/>
    <w:multiLevelType w:val="hybridMultilevel"/>
    <w:lvl w:ilvl="0">
      <w:lvlJc w:val="left"/>
      <w:lvlText w:val="3"/>
      <w:numFmt w:val="bullet"/>
      <w:start w:val="1"/>
    </w:lvl>
  </w:abstractNum>
  <w:abstractNum w:abstractNumId="16">
    <w:nsid w:val="2463B9EA"/>
    <w:multiLevelType w:val="hybridMultilevel"/>
    <w:lvl w:ilvl="0">
      <w:lvlJc w:val="left"/>
      <w:lvlText w:val="4"/>
      <w:numFmt w:val="bullet"/>
      <w:start w:val="1"/>
    </w:lvl>
  </w:abstractNum>
  <w:abstractNum w:abstractNumId="17">
    <w:nsid w:val="5E884ADC"/>
    <w:multiLevelType w:val="hybridMultilevel"/>
    <w:lvl w:ilvl="0">
      <w:lvlJc w:val="left"/>
      <w:lvlText w:val="5"/>
      <w:numFmt w:val="bullet"/>
      <w:start w:val="1"/>
    </w:lvl>
  </w:abstractNum>
  <w:abstractNum w:abstractNumId="18">
    <w:nsid w:val="51EAD36B"/>
    <w:multiLevelType w:val="hybridMultilevel"/>
    <w:lvl w:ilvl="0">
      <w:lvlJc w:val="left"/>
      <w:lvlText w:val="6"/>
      <w:numFmt w:val="bullet"/>
      <w:start w:val="1"/>
    </w:lvl>
  </w:abstractNum>
  <w:abstractNum w:abstractNumId="19">
    <w:nsid w:val="2D517796"/>
    <w:multiLevelType w:val="hybridMultilevel"/>
    <w:lvl w:ilvl="0">
      <w:lvlJc w:val="left"/>
      <w:lvlText w:val="7"/>
      <w:numFmt w:val="bullet"/>
      <w:start w:val="1"/>
    </w:lvl>
  </w:abstractNum>
  <w:abstractNum w:abstractNumId="20">
    <w:nsid w:val="580BD78F"/>
    <w:multiLevelType w:val="hybridMultilevel"/>
    <w:lvl w:ilvl="0">
      <w:lvlJc w:val="left"/>
      <w:lvlText w:val="8"/>
      <w:numFmt w:val="bullet"/>
      <w:start w:val="1"/>
    </w:lvl>
  </w:abstractNum>
  <w:abstractNum w:abstractNumId="21">
    <w:nsid w:val="153EA438"/>
    <w:multiLevelType w:val="hybridMultilevel"/>
    <w:lvl w:ilvl="0">
      <w:lvlJc w:val="left"/>
      <w:lvlText w:val="9"/>
      <w:numFmt w:val="bullet"/>
      <w:start w:val="1"/>
    </w:lvl>
  </w:abstractNum>
  <w:abstractNum w:abstractNumId="22">
    <w:nsid w:val="3855585C"/>
    <w:multiLevelType w:val="hybridMultilevel"/>
    <w:lvl w:ilvl="0">
      <w:lvlJc w:val="left"/>
      <w:lvlText w:val="%1"/>
      <w:numFmt w:val="decimal"/>
      <w:start w:val="10"/>
    </w:lvl>
  </w:abstractNum>
  <w:abstractNum w:abstractNumId="23">
    <w:nsid w:val="70A64E2A"/>
    <w:multiLevelType w:val="hybridMultilevel"/>
    <w:lvl w:ilvl="0">
      <w:lvlJc w:val="left"/>
      <w:lvlText w:val="1"/>
      <w:numFmt w:val="bullet"/>
      <w:start w:val="1"/>
    </w:lvl>
  </w:abstractNum>
  <w:abstractNum w:abstractNumId="24">
    <w:nsid w:val="6A2342EC"/>
    <w:multiLevelType w:val="hybridMultilevel"/>
    <w:lvl w:ilvl="0">
      <w:lvlJc w:val="left"/>
      <w:lvlText w:val="2"/>
      <w:numFmt w:val="bullet"/>
      <w:start w:val="1"/>
    </w:lvl>
  </w:abstractNum>
  <w:abstractNum w:abstractNumId="25">
    <w:nsid w:val="2A487CB0"/>
    <w:multiLevelType w:val="hybridMultilevel"/>
    <w:lvl w:ilvl="0">
      <w:lvlJc w:val="left"/>
      <w:lvlText w:val="3"/>
      <w:numFmt w:val="bullet"/>
      <w:start w:val="1"/>
    </w:lvl>
  </w:abstractNum>
  <w:abstractNum w:abstractNumId="26">
    <w:nsid w:val="1D4ED43B"/>
    <w:multiLevelType w:val="hybridMultilevel"/>
    <w:lvl w:ilvl="0">
      <w:lvlJc w:val="left"/>
      <w:lvlText w:val="4"/>
      <w:numFmt w:val="bullet"/>
      <w:start w:val="1"/>
    </w:lvl>
  </w:abstractNum>
  <w:abstractNum w:abstractNumId="27">
    <w:nsid w:val="725A06FB"/>
    <w:multiLevelType w:val="hybridMultilevel"/>
    <w:lvl w:ilvl="0">
      <w:lvlJc w:val="left"/>
      <w:lvlText w:val="%1."/>
      <w:numFmt w:val="decimal"/>
      <w:start w:val="2"/>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bullet"/>
      <w:start w:val="1"/>
    </w:lvl>
  </w:abstractNum>
  <w:abstractNum w:abstractNumId="31">
    <w:nsid w:val="4B588F54"/>
    <w:multiLevelType w:val="hybridMultilevel"/>
    <w:lvl w:ilvl="0">
      <w:lvlJc w:val="left"/>
      <w:lvlText w:val="2"/>
      <w:numFmt w:val="bullet"/>
      <w:start w:val="1"/>
    </w:lvl>
  </w:abstractNum>
  <w:abstractNum w:abstractNumId="32">
    <w:nsid w:val="542289EC"/>
    <w:multiLevelType w:val="hybridMultilevel"/>
    <w:lvl w:ilvl="0">
      <w:lvlJc w:val="left"/>
      <w:lvlText w:val="1"/>
      <w:numFmt w:val="bullet"/>
      <w:start w:val="1"/>
    </w:lvl>
  </w:abstractNum>
  <w:abstractNum w:abstractNumId="33">
    <w:nsid w:val="6DE91B18"/>
    <w:multiLevelType w:val="hybridMultilevel"/>
    <w:lvl w:ilvl="0">
      <w:lvlJc w:val="left"/>
      <w:lvlText w:val="2"/>
      <w:numFmt w:val="bullet"/>
      <w:start w:val="1"/>
    </w:lvl>
  </w:abstractNum>
  <w:abstractNum w:abstractNumId="34">
    <w:nsid w:val="38437FDB"/>
    <w:multiLevelType w:val="hybridMultilevel"/>
    <w:lvl w:ilvl="0">
      <w:lvlJc w:val="left"/>
      <w:lvlText w:val="3"/>
      <w:numFmt w:val="bullet"/>
      <w:start w:val="1"/>
    </w:lvl>
  </w:abstractNum>
  <w:abstractNum w:abstractNumId="35">
    <w:nsid w:val="7644A45C"/>
    <w:multiLevelType w:val="hybridMultilevel"/>
    <w:lvl w:ilvl="0">
      <w:lvlJc w:val="left"/>
      <w:lvlText w:val="4"/>
      <w:numFmt w:val="bullet"/>
      <w:start w:val="1"/>
    </w:lvl>
  </w:abstractNum>
  <w:abstractNum w:abstractNumId="36">
    <w:nsid w:val="32FFF902"/>
    <w:multiLevelType w:val="hybridMultilevel"/>
    <w:lvl w:ilvl="0">
      <w:lvlJc w:val="left"/>
      <w:lvlText w:val="1"/>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bullet"/>
      <w:start w:val="1"/>
    </w:lvl>
  </w:abstractNum>
  <w:abstractNum w:abstractNumId="41">
    <w:nsid w:val="1BA026FA"/>
    <w:multiLevelType w:val="hybridMultilevel"/>
    <w:lvl w:ilvl="0">
      <w:lvlJc w:val="left"/>
      <w:lvlText w:val="2"/>
      <w:numFmt w:val="bullet"/>
      <w:start w:val="1"/>
    </w:lvl>
  </w:abstractNum>
  <w:abstractNum w:abstractNumId="42">
    <w:nsid w:val="79A1DEAA"/>
    <w:multiLevelType w:val="hybridMultilevel"/>
    <w:lvl w:ilvl="0">
      <w:lvlJc w:val="left"/>
      <w:lvlText w:val="1"/>
      <w:numFmt w:val="bullet"/>
      <w:start w:val="1"/>
    </w:lvl>
  </w:abstractNum>
  <w:abstractNum w:abstractNumId="43">
    <w:nsid w:val="75C6C33A"/>
    <w:multiLevelType w:val="hybridMultilevel"/>
    <w:lvl w:ilvl="0">
      <w:lvlJc w:val="left"/>
      <w:lvlText w:val="1"/>
      <w:numFmt w:val="bullet"/>
      <w:start w:val="1"/>
    </w:lvl>
  </w:abstractNum>
  <w:abstractNum w:abstractNumId="44">
    <w:nsid w:val="12E685FB"/>
    <w:multiLevelType w:val="hybridMultilevel"/>
    <w:lvl w:ilvl="0">
      <w:lvlJc w:val="left"/>
      <w:lvlText w:val="2"/>
      <w:numFmt w:val="bullet"/>
      <w:start w:val="1"/>
    </w:lvl>
  </w:abstractNum>
  <w:abstractNum w:abstractNumId="45">
    <w:nsid w:val="70C6A529"/>
    <w:multiLevelType w:val="hybridMultilevel"/>
    <w:lvl w:ilvl="0">
      <w:lvlJc w:val="left"/>
      <w:lvlText w:val="3"/>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2019-12-07T14:08:44Z</dcterms:created>
  <dcterms:modified xsi:type="dcterms:W3CDTF">2019-12-07T14:08:44Z</dcterms:modified>
</cp:coreProperties>
</file>